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442C43" w14:textId="77777777" w:rsidR="009007C5" w:rsidRDefault="009007C5" w:rsidP="009007C5">
      <w:pPr>
        <w:pStyle w:val="Header"/>
        <w:ind w:left="0"/>
        <w:jc w:val="left"/>
      </w:pPr>
      <w:r>
        <w:t>SIGNATURE PAGE</w:t>
      </w:r>
    </w:p>
    <w:p w14:paraId="5E6311DB" w14:textId="6B2C010F" w:rsidR="009007C5" w:rsidRDefault="009007C5" w:rsidP="009007C5">
      <w:pPr>
        <w:pStyle w:val="BodyText"/>
        <w:rPr>
          <w:rFonts w:asciiTheme="majorHAnsi" w:hAnsiTheme="majorHAnsi"/>
        </w:rPr>
      </w:pPr>
    </w:p>
    <w:p w14:paraId="19B0E0CB" w14:textId="77777777" w:rsidR="009007C5" w:rsidRDefault="009007C5" w:rsidP="009007C5">
      <w:pPr>
        <w:pStyle w:val="BodyText"/>
        <w:rPr>
          <w:rFonts w:asciiTheme="majorHAnsi" w:hAnsiTheme="majorHAnsi"/>
        </w:rPr>
      </w:pPr>
    </w:p>
    <w:p w14:paraId="31AC843E" w14:textId="77777777" w:rsidR="009007C5" w:rsidRDefault="009007C5" w:rsidP="009007C5">
      <w:pPr>
        <w:pStyle w:val="BodyText"/>
        <w:rPr>
          <w:rFonts w:asciiTheme="majorHAnsi" w:hAnsiTheme="majorHAnsi"/>
        </w:rPr>
      </w:pPr>
    </w:p>
    <w:p w14:paraId="425A16B7" w14:textId="77777777" w:rsidR="009007C5" w:rsidRDefault="009007C5" w:rsidP="009007C5">
      <w:pPr>
        <w:pStyle w:val="BodyText"/>
        <w:rPr>
          <w:rFonts w:asciiTheme="majorHAnsi" w:hAnsiTheme="majorHAnsi"/>
        </w:rPr>
      </w:pPr>
    </w:p>
    <w:p w14:paraId="15263C4E" w14:textId="77777777" w:rsidR="009007C5" w:rsidRDefault="009007C5" w:rsidP="009007C5">
      <w:pPr>
        <w:pStyle w:val="BodyText"/>
        <w:rPr>
          <w:rFonts w:asciiTheme="majorHAnsi" w:hAnsiTheme="majorHAnsi"/>
        </w:rPr>
      </w:pPr>
    </w:p>
    <w:p w14:paraId="76E43D4C" w14:textId="77777777" w:rsidR="009007C5" w:rsidRDefault="009007C5" w:rsidP="009007C5">
      <w:pPr>
        <w:pStyle w:val="BodyText"/>
        <w:rPr>
          <w:rFonts w:asciiTheme="majorHAnsi" w:hAnsiTheme="majorHAnsi"/>
        </w:rPr>
      </w:pPr>
      <w:r>
        <w:rPr>
          <w:rFonts w:asciiTheme="majorHAnsi" w:hAnsiTheme="majorHAnsi"/>
        </w:rPr>
        <w:t>______________________________</w:t>
      </w:r>
    </w:p>
    <w:p w14:paraId="2D1078F5" w14:textId="77777777" w:rsidR="009007C5" w:rsidRDefault="009007C5" w:rsidP="009007C5">
      <w:pPr>
        <w:pStyle w:val="BodyText"/>
        <w:spacing w:before="0" w:after="0"/>
        <w:rPr>
          <w:rFonts w:asciiTheme="majorHAnsi" w:hAnsiTheme="majorHAnsi"/>
        </w:rPr>
      </w:pPr>
      <w:r>
        <w:rPr>
          <w:rFonts w:asciiTheme="majorHAnsi" w:hAnsiTheme="majorHAnsi"/>
        </w:rPr>
        <w:t>David Robert Jones, P.E.</w:t>
      </w:r>
    </w:p>
    <w:p w14:paraId="6BFD1BA7" w14:textId="77777777" w:rsidR="009007C5" w:rsidRDefault="009007C5" w:rsidP="009007C5">
      <w:pPr>
        <w:pStyle w:val="BodyText"/>
        <w:spacing w:before="0"/>
        <w:rPr>
          <w:rFonts w:asciiTheme="majorHAnsi" w:hAnsiTheme="majorHAnsi"/>
        </w:rPr>
      </w:pPr>
      <w:r>
        <w:rPr>
          <w:rFonts w:asciiTheme="majorHAnsi" w:hAnsiTheme="majorHAnsi"/>
        </w:rPr>
        <w:t>Hazen and Sawyer</w:t>
      </w:r>
    </w:p>
    <w:p w14:paraId="681ACEE6" w14:textId="77777777" w:rsidR="009007C5" w:rsidRDefault="009007C5" w:rsidP="009007C5">
      <w:pPr>
        <w:pStyle w:val="BodyText"/>
        <w:rPr>
          <w:rFonts w:asciiTheme="majorHAnsi" w:hAnsiTheme="majorHAnsi"/>
        </w:rPr>
      </w:pPr>
    </w:p>
    <w:tbl>
      <w:tblPr>
        <w:tblStyle w:val="TableGrid"/>
        <w:tblW w:w="0" w:type="auto"/>
        <w:tblLook w:val="04A0" w:firstRow="1" w:lastRow="0" w:firstColumn="1" w:lastColumn="0" w:noHBand="0" w:noVBand="1"/>
      </w:tblPr>
      <w:tblGrid>
        <w:gridCol w:w="1440"/>
      </w:tblGrid>
      <w:tr w:rsidR="009007C5" w14:paraId="3F9E63E0" w14:textId="77777777" w:rsidTr="009007C5">
        <w:tc>
          <w:tcPr>
            <w:tcW w:w="1440" w:type="dxa"/>
            <w:tcBorders>
              <w:top w:val="nil"/>
              <w:left w:val="nil"/>
              <w:bottom w:val="single" w:sz="4" w:space="0" w:color="auto"/>
              <w:right w:val="nil"/>
            </w:tcBorders>
            <w:vAlign w:val="bottom"/>
            <w:hideMark/>
          </w:tcPr>
          <w:p w14:paraId="678049DC" w14:textId="1BA9291A" w:rsidR="009007C5" w:rsidRDefault="009007C5">
            <w:pPr>
              <w:pStyle w:val="BodyText"/>
              <w:spacing w:after="0"/>
              <w:jc w:val="center"/>
              <w:rPr>
                <w:rFonts w:asciiTheme="majorHAnsi" w:hAnsiTheme="majorHAnsi"/>
              </w:rPr>
            </w:pPr>
            <w:r>
              <w:rPr>
                <w:rFonts w:asciiTheme="majorHAnsi" w:hAnsiTheme="majorHAnsi"/>
              </w:rPr>
              <w:t>05/</w:t>
            </w:r>
            <w:r w:rsidR="00A65ABA">
              <w:rPr>
                <w:rFonts w:asciiTheme="majorHAnsi" w:hAnsiTheme="majorHAnsi"/>
              </w:rPr>
              <w:t>2</w:t>
            </w:r>
            <w:r w:rsidR="007B3ADE">
              <w:rPr>
                <w:rFonts w:asciiTheme="majorHAnsi" w:hAnsiTheme="majorHAnsi"/>
              </w:rPr>
              <w:t>9</w:t>
            </w:r>
            <w:r>
              <w:rPr>
                <w:rFonts w:asciiTheme="majorHAnsi" w:hAnsiTheme="majorHAnsi"/>
              </w:rPr>
              <w:t>/2020</w:t>
            </w:r>
          </w:p>
        </w:tc>
      </w:tr>
    </w:tbl>
    <w:p w14:paraId="3A6A51E1" w14:textId="77777777" w:rsidR="009007C5" w:rsidRDefault="009007C5" w:rsidP="009007C5">
      <w:pPr>
        <w:pStyle w:val="BodyText"/>
        <w:spacing w:before="0"/>
        <w:jc w:val="left"/>
        <w:rPr>
          <w:rFonts w:asciiTheme="majorHAnsi" w:hAnsiTheme="majorHAnsi"/>
        </w:rPr>
      </w:pPr>
      <w:r>
        <w:rPr>
          <w:rFonts w:asciiTheme="majorHAnsi" w:hAnsiTheme="majorHAnsi"/>
        </w:rPr>
        <w:t>Date</w:t>
      </w:r>
    </w:p>
    <w:p w14:paraId="1BD405D9" w14:textId="77777777" w:rsidR="009007C5" w:rsidRDefault="009007C5" w:rsidP="009007C5">
      <w:pPr>
        <w:pStyle w:val="BodyText"/>
        <w:rPr>
          <w:rFonts w:asciiTheme="majorHAnsi" w:hAnsiTheme="majorHAnsi"/>
        </w:rPr>
      </w:pPr>
    </w:p>
    <w:p w14:paraId="2FF118E5" w14:textId="5502E585" w:rsidR="009007C5" w:rsidRDefault="009007C5" w:rsidP="009007C5">
      <w:pPr>
        <w:pStyle w:val="BodyText"/>
        <w:rPr>
          <w:rFonts w:asciiTheme="majorHAnsi" w:hAnsiTheme="majorHAnsi"/>
        </w:rPr>
      </w:pPr>
    </w:p>
    <w:p w14:paraId="4F54D278" w14:textId="77777777" w:rsidR="009007C5" w:rsidRDefault="009007C5" w:rsidP="009007C5">
      <w:pPr>
        <w:pStyle w:val="BodyText"/>
        <w:rPr>
          <w:rFonts w:asciiTheme="majorHAnsi" w:hAnsiTheme="majorHAnsi"/>
        </w:rPr>
      </w:pPr>
    </w:p>
    <w:p w14:paraId="041B382A" w14:textId="77777777" w:rsidR="009007C5" w:rsidRDefault="009007C5" w:rsidP="009007C5">
      <w:pPr>
        <w:pStyle w:val="BodyText"/>
        <w:rPr>
          <w:rFonts w:asciiTheme="majorHAnsi" w:hAnsiTheme="majorHAnsi"/>
        </w:rPr>
      </w:pPr>
    </w:p>
    <w:p w14:paraId="23464C52" w14:textId="77777777" w:rsidR="009007C5" w:rsidRDefault="009007C5" w:rsidP="009007C5">
      <w:pPr>
        <w:pStyle w:val="BodyText"/>
        <w:rPr>
          <w:rFonts w:asciiTheme="majorHAnsi" w:hAnsiTheme="majorHAnsi"/>
        </w:rPr>
      </w:pPr>
    </w:p>
    <w:p w14:paraId="5AEAADF2" w14:textId="77777777" w:rsidR="009007C5" w:rsidRDefault="009007C5" w:rsidP="009007C5">
      <w:pPr>
        <w:pStyle w:val="BodyText"/>
        <w:rPr>
          <w:rFonts w:asciiTheme="majorHAnsi" w:hAnsiTheme="majorHAnsi"/>
        </w:rPr>
      </w:pPr>
    </w:p>
    <w:p w14:paraId="781FF3AE" w14:textId="77777777" w:rsidR="009007C5" w:rsidRDefault="009007C5" w:rsidP="009007C5">
      <w:pPr>
        <w:pStyle w:val="BodyText"/>
        <w:rPr>
          <w:rFonts w:asciiTheme="majorHAnsi" w:hAnsiTheme="majorHAnsi"/>
        </w:rPr>
      </w:pPr>
      <w:r>
        <w:rPr>
          <w:rFonts w:asciiTheme="majorHAnsi" w:hAnsiTheme="majorHAnsi"/>
        </w:rPr>
        <w:t>______________________________</w:t>
      </w:r>
    </w:p>
    <w:p w14:paraId="7CD44116" w14:textId="77777777" w:rsidR="009007C5" w:rsidRDefault="009007C5" w:rsidP="009007C5">
      <w:pPr>
        <w:pStyle w:val="BodyText"/>
        <w:spacing w:before="0" w:after="0"/>
        <w:rPr>
          <w:rFonts w:asciiTheme="majorHAnsi" w:hAnsiTheme="majorHAnsi"/>
        </w:rPr>
      </w:pPr>
      <w:r>
        <w:rPr>
          <w:rFonts w:asciiTheme="majorHAnsi" w:hAnsiTheme="majorHAnsi"/>
        </w:rPr>
        <w:t>M. Scott Goldman, P.E.</w:t>
      </w:r>
    </w:p>
    <w:p w14:paraId="75D1D1F7" w14:textId="77777777" w:rsidR="009007C5" w:rsidRDefault="009007C5" w:rsidP="009007C5">
      <w:pPr>
        <w:pStyle w:val="BodyText"/>
        <w:spacing w:before="0"/>
        <w:rPr>
          <w:rFonts w:asciiTheme="majorHAnsi" w:hAnsiTheme="majorHAnsi"/>
        </w:rPr>
      </w:pPr>
      <w:r>
        <w:rPr>
          <w:rFonts w:asciiTheme="majorHAnsi" w:hAnsiTheme="majorHAnsi"/>
        </w:rPr>
        <w:t>Woodard &amp; Curran, Inc.</w:t>
      </w:r>
    </w:p>
    <w:p w14:paraId="0D70DD01" w14:textId="77777777" w:rsidR="009007C5" w:rsidRDefault="009007C5" w:rsidP="009007C5">
      <w:pPr>
        <w:pStyle w:val="BodyText"/>
        <w:rPr>
          <w:rFonts w:asciiTheme="majorHAnsi" w:hAnsiTheme="majorHAnsi"/>
        </w:rPr>
      </w:pPr>
    </w:p>
    <w:tbl>
      <w:tblPr>
        <w:tblStyle w:val="TableGrid"/>
        <w:tblW w:w="0" w:type="auto"/>
        <w:tblLook w:val="04A0" w:firstRow="1" w:lastRow="0" w:firstColumn="1" w:lastColumn="0" w:noHBand="0" w:noVBand="1"/>
      </w:tblPr>
      <w:tblGrid>
        <w:gridCol w:w="1440"/>
      </w:tblGrid>
      <w:tr w:rsidR="009007C5" w14:paraId="1D8C047C" w14:textId="77777777" w:rsidTr="009007C5">
        <w:tc>
          <w:tcPr>
            <w:tcW w:w="1440" w:type="dxa"/>
            <w:tcBorders>
              <w:top w:val="nil"/>
              <w:left w:val="nil"/>
              <w:bottom w:val="single" w:sz="4" w:space="0" w:color="auto"/>
              <w:right w:val="nil"/>
            </w:tcBorders>
            <w:vAlign w:val="bottom"/>
            <w:hideMark/>
          </w:tcPr>
          <w:p w14:paraId="3DDB34F9" w14:textId="190E7636" w:rsidR="009007C5" w:rsidRDefault="009007C5">
            <w:pPr>
              <w:pStyle w:val="BodyText"/>
              <w:spacing w:after="0"/>
              <w:jc w:val="center"/>
              <w:rPr>
                <w:rFonts w:asciiTheme="majorHAnsi" w:hAnsiTheme="majorHAnsi"/>
              </w:rPr>
            </w:pPr>
            <w:r>
              <w:rPr>
                <w:rFonts w:asciiTheme="majorHAnsi" w:hAnsiTheme="majorHAnsi"/>
              </w:rPr>
              <w:t>05/</w:t>
            </w:r>
            <w:r w:rsidR="00A65ABA">
              <w:rPr>
                <w:rFonts w:asciiTheme="majorHAnsi" w:hAnsiTheme="majorHAnsi"/>
              </w:rPr>
              <w:t>2</w:t>
            </w:r>
            <w:r w:rsidR="007B3ADE">
              <w:rPr>
                <w:rFonts w:asciiTheme="majorHAnsi" w:hAnsiTheme="majorHAnsi"/>
              </w:rPr>
              <w:t>9</w:t>
            </w:r>
            <w:r>
              <w:rPr>
                <w:rFonts w:asciiTheme="majorHAnsi" w:hAnsiTheme="majorHAnsi"/>
              </w:rPr>
              <w:t>/2020</w:t>
            </w:r>
          </w:p>
        </w:tc>
      </w:tr>
    </w:tbl>
    <w:p w14:paraId="1F94BC3A" w14:textId="77777777" w:rsidR="009007C5" w:rsidRDefault="009007C5" w:rsidP="009007C5">
      <w:pPr>
        <w:pStyle w:val="BodyText"/>
        <w:spacing w:before="0"/>
      </w:pPr>
      <w:r>
        <w:rPr>
          <w:rFonts w:asciiTheme="majorHAnsi" w:hAnsiTheme="majorHAnsi"/>
        </w:rPr>
        <w:t xml:space="preserve"> Date</w:t>
      </w:r>
    </w:p>
    <w:p w14:paraId="2805B2DF" w14:textId="77777777" w:rsidR="009007C5" w:rsidRDefault="009007C5" w:rsidP="009007C5">
      <w:pPr>
        <w:pStyle w:val="BodyText"/>
      </w:pPr>
    </w:p>
    <w:p w14:paraId="7DABD885" w14:textId="77777777" w:rsidR="009007C5" w:rsidRDefault="009007C5" w:rsidP="009007C5">
      <w:pPr>
        <w:rPr>
          <w:b/>
          <w:caps/>
          <w:sz w:val="28"/>
          <w:szCs w:val="28"/>
        </w:rPr>
      </w:pPr>
    </w:p>
    <w:p w14:paraId="68B67326" w14:textId="21A72EC7" w:rsidR="005920CD" w:rsidRPr="008A0812" w:rsidRDefault="005920CD" w:rsidP="005A3D70">
      <w:pPr>
        <w:pStyle w:val="Header"/>
      </w:pPr>
      <w:r w:rsidRPr="008A0812">
        <w:lastRenderedPageBreak/>
        <w:t>Table of Contents</w:t>
      </w:r>
    </w:p>
    <w:p w14:paraId="3A6C7363" w14:textId="77777777" w:rsidR="005920CD" w:rsidRPr="008A0812" w:rsidRDefault="005920CD" w:rsidP="005920CD">
      <w:pPr>
        <w:pBdr>
          <w:bottom w:val="single" w:sz="4" w:space="1" w:color="auto"/>
        </w:pBdr>
        <w:tabs>
          <w:tab w:val="right" w:pos="9360"/>
        </w:tabs>
        <w:spacing w:after="120"/>
        <w:jc w:val="center"/>
        <w:rPr>
          <w:rFonts w:cs="Arial"/>
          <w:b/>
          <w:bCs/>
          <w:sz w:val="24"/>
          <w:szCs w:val="24"/>
        </w:rPr>
      </w:pPr>
      <w:r w:rsidRPr="008A0812">
        <w:rPr>
          <w:rFonts w:cs="Arial"/>
          <w:b/>
          <w:bCs/>
          <w:sz w:val="24"/>
          <w:szCs w:val="24"/>
        </w:rPr>
        <w:t>SECTION</w:t>
      </w:r>
      <w:r w:rsidRPr="008A0812">
        <w:rPr>
          <w:rFonts w:cs="Arial"/>
          <w:b/>
          <w:bCs/>
          <w:sz w:val="24"/>
          <w:szCs w:val="24"/>
        </w:rPr>
        <w:tab/>
        <w:t>PAGE NO.</w:t>
      </w:r>
    </w:p>
    <w:p w14:paraId="25C34E06" w14:textId="35D96CE0" w:rsidR="007B3ADE" w:rsidRDefault="005920CD">
      <w:pPr>
        <w:pStyle w:val="TOC1"/>
        <w:rPr>
          <w:rFonts w:asciiTheme="minorHAnsi" w:eastAsiaTheme="minorEastAsia" w:hAnsiTheme="minorHAnsi" w:cstheme="minorBidi"/>
          <w:bCs w:val="0"/>
        </w:rPr>
      </w:pPr>
      <w:r w:rsidRPr="008A0812">
        <w:rPr>
          <w:rFonts w:asciiTheme="minorHAnsi" w:eastAsiaTheme="minorEastAsia" w:hAnsiTheme="minorHAnsi" w:cstheme="minorBidi"/>
          <w:b/>
          <w:caps/>
          <w:szCs w:val="24"/>
        </w:rPr>
        <w:fldChar w:fldCharType="begin"/>
      </w:r>
      <w:r w:rsidRPr="008A0812">
        <w:rPr>
          <w:rFonts w:asciiTheme="minorHAnsi" w:eastAsiaTheme="minorEastAsia" w:hAnsiTheme="minorHAnsi" w:cstheme="minorBidi"/>
          <w:szCs w:val="24"/>
        </w:rPr>
        <w:instrText xml:space="preserve"> TOC \o "4-4" \h \z \t "Heading 1,1,Heading 2,2,Heading 3,3" </w:instrText>
      </w:r>
      <w:r w:rsidRPr="008A0812">
        <w:rPr>
          <w:rFonts w:asciiTheme="minorHAnsi" w:eastAsiaTheme="minorEastAsia" w:hAnsiTheme="minorHAnsi" w:cstheme="minorBidi"/>
          <w:b/>
          <w:caps/>
          <w:szCs w:val="24"/>
        </w:rPr>
        <w:fldChar w:fldCharType="separate"/>
      </w:r>
      <w:hyperlink w:anchor="_Toc41680792" w:history="1">
        <w:r w:rsidR="007B3ADE" w:rsidRPr="00700A31">
          <w:rPr>
            <w:rStyle w:val="Hyperlink"/>
          </w:rPr>
          <w:t>1.</w:t>
        </w:r>
        <w:r w:rsidR="007B3ADE">
          <w:rPr>
            <w:rFonts w:asciiTheme="minorHAnsi" w:eastAsiaTheme="minorEastAsia" w:hAnsiTheme="minorHAnsi" w:cstheme="minorBidi"/>
            <w:bCs w:val="0"/>
          </w:rPr>
          <w:tab/>
        </w:r>
        <w:r w:rsidR="007B3ADE" w:rsidRPr="00700A31">
          <w:rPr>
            <w:rStyle w:val="Hyperlink"/>
          </w:rPr>
          <w:t>Background and Approach Summary</w:t>
        </w:r>
        <w:r w:rsidR="007B3ADE">
          <w:rPr>
            <w:webHidden/>
          </w:rPr>
          <w:tab/>
        </w:r>
        <w:r w:rsidR="007B3ADE">
          <w:rPr>
            <w:webHidden/>
          </w:rPr>
          <w:fldChar w:fldCharType="begin"/>
        </w:r>
        <w:r w:rsidR="007B3ADE">
          <w:rPr>
            <w:webHidden/>
          </w:rPr>
          <w:instrText xml:space="preserve"> PAGEREF _Toc41680792 \h </w:instrText>
        </w:r>
        <w:r w:rsidR="007B3ADE">
          <w:rPr>
            <w:webHidden/>
          </w:rPr>
        </w:r>
        <w:r w:rsidR="007B3ADE">
          <w:rPr>
            <w:webHidden/>
          </w:rPr>
          <w:fldChar w:fldCharType="separate"/>
        </w:r>
        <w:r w:rsidR="00AA68F8">
          <w:rPr>
            <w:webHidden/>
          </w:rPr>
          <w:t>1-1</w:t>
        </w:r>
        <w:r w:rsidR="007B3ADE">
          <w:rPr>
            <w:webHidden/>
          </w:rPr>
          <w:fldChar w:fldCharType="end"/>
        </w:r>
      </w:hyperlink>
    </w:p>
    <w:p w14:paraId="5094FDE4" w14:textId="5B627F01" w:rsidR="007B3ADE" w:rsidRDefault="00C723CB">
      <w:pPr>
        <w:pStyle w:val="TOC2"/>
        <w:rPr>
          <w:rFonts w:asciiTheme="minorHAnsi" w:eastAsiaTheme="minorEastAsia" w:hAnsiTheme="minorHAnsi" w:cstheme="minorBidi"/>
          <w:noProof/>
        </w:rPr>
      </w:pPr>
      <w:hyperlink w:anchor="_Toc41680793" w:history="1">
        <w:r w:rsidR="007B3ADE" w:rsidRPr="00700A31">
          <w:rPr>
            <w:rStyle w:val="Hyperlink"/>
            <w:noProof/>
          </w:rPr>
          <w:t>1.1</w:t>
        </w:r>
        <w:r w:rsidR="007B3ADE">
          <w:rPr>
            <w:rFonts w:asciiTheme="minorHAnsi" w:eastAsiaTheme="minorEastAsia" w:hAnsiTheme="minorHAnsi" w:cstheme="minorBidi"/>
            <w:noProof/>
          </w:rPr>
          <w:tab/>
        </w:r>
        <w:r w:rsidR="007B3ADE" w:rsidRPr="00700A31">
          <w:rPr>
            <w:rStyle w:val="Hyperlink"/>
            <w:noProof/>
          </w:rPr>
          <w:t>Facilities Master Plan Goals</w:t>
        </w:r>
        <w:r w:rsidR="007B3ADE">
          <w:rPr>
            <w:noProof/>
            <w:webHidden/>
          </w:rPr>
          <w:tab/>
        </w:r>
        <w:r w:rsidR="007B3ADE">
          <w:rPr>
            <w:noProof/>
            <w:webHidden/>
          </w:rPr>
          <w:fldChar w:fldCharType="begin"/>
        </w:r>
        <w:r w:rsidR="007B3ADE">
          <w:rPr>
            <w:noProof/>
            <w:webHidden/>
          </w:rPr>
          <w:instrText xml:space="preserve"> PAGEREF _Toc41680793 \h </w:instrText>
        </w:r>
        <w:r w:rsidR="007B3ADE">
          <w:rPr>
            <w:noProof/>
            <w:webHidden/>
          </w:rPr>
        </w:r>
        <w:r w:rsidR="007B3ADE">
          <w:rPr>
            <w:noProof/>
            <w:webHidden/>
          </w:rPr>
          <w:fldChar w:fldCharType="separate"/>
        </w:r>
        <w:r w:rsidR="00AA68F8">
          <w:rPr>
            <w:noProof/>
            <w:webHidden/>
          </w:rPr>
          <w:t>1-1</w:t>
        </w:r>
        <w:r w:rsidR="007B3ADE">
          <w:rPr>
            <w:noProof/>
            <w:webHidden/>
          </w:rPr>
          <w:fldChar w:fldCharType="end"/>
        </w:r>
      </w:hyperlink>
    </w:p>
    <w:p w14:paraId="7EDCF921" w14:textId="1A727F30" w:rsidR="007B3ADE" w:rsidRDefault="00C723CB">
      <w:pPr>
        <w:pStyle w:val="TOC2"/>
        <w:rPr>
          <w:rFonts w:asciiTheme="minorHAnsi" w:eastAsiaTheme="minorEastAsia" w:hAnsiTheme="minorHAnsi" w:cstheme="minorBidi"/>
          <w:noProof/>
        </w:rPr>
      </w:pPr>
      <w:hyperlink w:anchor="_Toc41680794" w:history="1">
        <w:r w:rsidR="007B3ADE" w:rsidRPr="00700A31">
          <w:rPr>
            <w:rStyle w:val="Hyperlink"/>
            <w:noProof/>
          </w:rPr>
          <w:t>1.2</w:t>
        </w:r>
        <w:r w:rsidR="007B3ADE">
          <w:rPr>
            <w:rFonts w:asciiTheme="minorHAnsi" w:eastAsiaTheme="minorEastAsia" w:hAnsiTheme="minorHAnsi" w:cstheme="minorBidi"/>
            <w:noProof/>
          </w:rPr>
          <w:tab/>
        </w:r>
        <w:r w:rsidR="007B3ADE" w:rsidRPr="00700A31">
          <w:rPr>
            <w:rStyle w:val="Hyperlink"/>
            <w:noProof/>
          </w:rPr>
          <w:t>Facilities Master Plan Approach</w:t>
        </w:r>
        <w:r w:rsidR="007B3ADE">
          <w:rPr>
            <w:noProof/>
            <w:webHidden/>
          </w:rPr>
          <w:tab/>
        </w:r>
        <w:r w:rsidR="007B3ADE">
          <w:rPr>
            <w:noProof/>
            <w:webHidden/>
          </w:rPr>
          <w:fldChar w:fldCharType="begin"/>
        </w:r>
        <w:r w:rsidR="007B3ADE">
          <w:rPr>
            <w:noProof/>
            <w:webHidden/>
          </w:rPr>
          <w:instrText xml:space="preserve"> PAGEREF _Toc41680794 \h </w:instrText>
        </w:r>
        <w:r w:rsidR="007B3ADE">
          <w:rPr>
            <w:noProof/>
            <w:webHidden/>
          </w:rPr>
        </w:r>
        <w:r w:rsidR="007B3ADE">
          <w:rPr>
            <w:noProof/>
            <w:webHidden/>
          </w:rPr>
          <w:fldChar w:fldCharType="separate"/>
        </w:r>
        <w:r w:rsidR="00AA68F8">
          <w:rPr>
            <w:noProof/>
            <w:webHidden/>
          </w:rPr>
          <w:t>1-1</w:t>
        </w:r>
        <w:r w:rsidR="007B3ADE">
          <w:rPr>
            <w:noProof/>
            <w:webHidden/>
          </w:rPr>
          <w:fldChar w:fldCharType="end"/>
        </w:r>
      </w:hyperlink>
    </w:p>
    <w:p w14:paraId="7E4E5701" w14:textId="74B34D9B" w:rsidR="007B3ADE" w:rsidRDefault="00C723CB">
      <w:pPr>
        <w:pStyle w:val="TOC2"/>
        <w:rPr>
          <w:rFonts w:asciiTheme="minorHAnsi" w:eastAsiaTheme="minorEastAsia" w:hAnsiTheme="minorHAnsi" w:cstheme="minorBidi"/>
          <w:noProof/>
        </w:rPr>
      </w:pPr>
      <w:hyperlink w:anchor="_Toc41680795" w:history="1">
        <w:r w:rsidR="007B3ADE" w:rsidRPr="00700A31">
          <w:rPr>
            <w:rStyle w:val="Hyperlink"/>
            <w:noProof/>
          </w:rPr>
          <w:t>1.3</w:t>
        </w:r>
        <w:r w:rsidR="007B3ADE">
          <w:rPr>
            <w:rFonts w:asciiTheme="minorHAnsi" w:eastAsiaTheme="minorEastAsia" w:hAnsiTheme="minorHAnsi" w:cstheme="minorBidi"/>
            <w:noProof/>
          </w:rPr>
          <w:tab/>
        </w:r>
        <w:r w:rsidR="007B3ADE" w:rsidRPr="00700A31">
          <w:rPr>
            <w:rStyle w:val="Hyperlink"/>
            <w:noProof/>
          </w:rPr>
          <w:t>Facility Description</w:t>
        </w:r>
        <w:r w:rsidR="007B3ADE">
          <w:rPr>
            <w:noProof/>
            <w:webHidden/>
          </w:rPr>
          <w:tab/>
        </w:r>
        <w:r w:rsidR="007B3ADE">
          <w:rPr>
            <w:noProof/>
            <w:webHidden/>
          </w:rPr>
          <w:fldChar w:fldCharType="begin"/>
        </w:r>
        <w:r w:rsidR="007B3ADE">
          <w:rPr>
            <w:noProof/>
            <w:webHidden/>
          </w:rPr>
          <w:instrText xml:space="preserve"> PAGEREF _Toc41680795 \h </w:instrText>
        </w:r>
        <w:r w:rsidR="007B3ADE">
          <w:rPr>
            <w:noProof/>
            <w:webHidden/>
          </w:rPr>
        </w:r>
        <w:r w:rsidR="007B3ADE">
          <w:rPr>
            <w:noProof/>
            <w:webHidden/>
          </w:rPr>
          <w:fldChar w:fldCharType="separate"/>
        </w:r>
        <w:r w:rsidR="00AA68F8">
          <w:rPr>
            <w:noProof/>
            <w:webHidden/>
          </w:rPr>
          <w:t>1-3</w:t>
        </w:r>
        <w:r w:rsidR="007B3ADE">
          <w:rPr>
            <w:noProof/>
            <w:webHidden/>
          </w:rPr>
          <w:fldChar w:fldCharType="end"/>
        </w:r>
      </w:hyperlink>
    </w:p>
    <w:p w14:paraId="1E6CB07C" w14:textId="47C5E588" w:rsidR="007B3ADE" w:rsidRDefault="00C723CB">
      <w:pPr>
        <w:pStyle w:val="TOC2"/>
        <w:rPr>
          <w:rFonts w:asciiTheme="minorHAnsi" w:eastAsiaTheme="minorEastAsia" w:hAnsiTheme="minorHAnsi" w:cstheme="minorBidi"/>
          <w:noProof/>
        </w:rPr>
      </w:pPr>
      <w:hyperlink w:anchor="_Toc41680796" w:history="1">
        <w:r w:rsidR="007B3ADE" w:rsidRPr="00700A31">
          <w:rPr>
            <w:rStyle w:val="Hyperlink"/>
            <w:noProof/>
          </w:rPr>
          <w:t>1.4</w:t>
        </w:r>
        <w:r w:rsidR="007B3ADE">
          <w:rPr>
            <w:rFonts w:asciiTheme="minorHAnsi" w:eastAsiaTheme="minorEastAsia" w:hAnsiTheme="minorHAnsi" w:cstheme="minorBidi"/>
            <w:noProof/>
          </w:rPr>
          <w:tab/>
        </w:r>
        <w:r w:rsidR="007B3ADE" w:rsidRPr="00700A31">
          <w:rPr>
            <w:rStyle w:val="Hyperlink"/>
            <w:noProof/>
          </w:rPr>
          <w:t>Plant Overview and Upgrade History</w:t>
        </w:r>
        <w:r w:rsidR="007B3ADE">
          <w:rPr>
            <w:noProof/>
            <w:webHidden/>
          </w:rPr>
          <w:tab/>
        </w:r>
        <w:r w:rsidR="007B3ADE">
          <w:rPr>
            <w:noProof/>
            <w:webHidden/>
          </w:rPr>
          <w:fldChar w:fldCharType="begin"/>
        </w:r>
        <w:r w:rsidR="007B3ADE">
          <w:rPr>
            <w:noProof/>
            <w:webHidden/>
          </w:rPr>
          <w:instrText xml:space="preserve"> PAGEREF _Toc41680796 \h </w:instrText>
        </w:r>
        <w:r w:rsidR="007B3ADE">
          <w:rPr>
            <w:noProof/>
            <w:webHidden/>
          </w:rPr>
        </w:r>
        <w:r w:rsidR="007B3ADE">
          <w:rPr>
            <w:noProof/>
            <w:webHidden/>
          </w:rPr>
          <w:fldChar w:fldCharType="separate"/>
        </w:r>
        <w:r w:rsidR="00AA68F8">
          <w:rPr>
            <w:noProof/>
            <w:webHidden/>
          </w:rPr>
          <w:t>1-3</w:t>
        </w:r>
        <w:r w:rsidR="007B3ADE">
          <w:rPr>
            <w:noProof/>
            <w:webHidden/>
          </w:rPr>
          <w:fldChar w:fldCharType="end"/>
        </w:r>
      </w:hyperlink>
    </w:p>
    <w:p w14:paraId="4ABB46E9" w14:textId="34A45B54" w:rsidR="007B3ADE" w:rsidRDefault="00C723CB">
      <w:pPr>
        <w:pStyle w:val="TOC2"/>
        <w:rPr>
          <w:rFonts w:asciiTheme="minorHAnsi" w:eastAsiaTheme="minorEastAsia" w:hAnsiTheme="minorHAnsi" w:cstheme="minorBidi"/>
          <w:noProof/>
        </w:rPr>
      </w:pPr>
      <w:hyperlink w:anchor="_Toc41680797" w:history="1">
        <w:r w:rsidR="007B3ADE" w:rsidRPr="00700A31">
          <w:rPr>
            <w:rStyle w:val="Hyperlink"/>
            <w:noProof/>
          </w:rPr>
          <w:t>1.5</w:t>
        </w:r>
        <w:r w:rsidR="007B3ADE">
          <w:rPr>
            <w:rFonts w:asciiTheme="minorHAnsi" w:eastAsiaTheme="minorEastAsia" w:hAnsiTheme="minorHAnsi" w:cstheme="minorBidi"/>
            <w:noProof/>
          </w:rPr>
          <w:tab/>
        </w:r>
        <w:r w:rsidR="007B3ADE" w:rsidRPr="00700A31">
          <w:rPr>
            <w:rStyle w:val="Hyperlink"/>
            <w:noProof/>
          </w:rPr>
          <w:t>Existing Facilities</w:t>
        </w:r>
        <w:r w:rsidR="007B3ADE">
          <w:rPr>
            <w:noProof/>
            <w:webHidden/>
          </w:rPr>
          <w:tab/>
        </w:r>
        <w:r w:rsidR="007B3ADE">
          <w:rPr>
            <w:noProof/>
            <w:webHidden/>
          </w:rPr>
          <w:fldChar w:fldCharType="begin"/>
        </w:r>
        <w:r w:rsidR="007B3ADE">
          <w:rPr>
            <w:noProof/>
            <w:webHidden/>
          </w:rPr>
          <w:instrText xml:space="preserve"> PAGEREF _Toc41680797 \h </w:instrText>
        </w:r>
        <w:r w:rsidR="007B3ADE">
          <w:rPr>
            <w:noProof/>
            <w:webHidden/>
          </w:rPr>
        </w:r>
        <w:r w:rsidR="007B3ADE">
          <w:rPr>
            <w:noProof/>
            <w:webHidden/>
          </w:rPr>
          <w:fldChar w:fldCharType="separate"/>
        </w:r>
        <w:r w:rsidR="00AA68F8">
          <w:rPr>
            <w:noProof/>
            <w:webHidden/>
          </w:rPr>
          <w:t>1-4</w:t>
        </w:r>
        <w:r w:rsidR="007B3ADE">
          <w:rPr>
            <w:noProof/>
            <w:webHidden/>
          </w:rPr>
          <w:fldChar w:fldCharType="end"/>
        </w:r>
      </w:hyperlink>
    </w:p>
    <w:p w14:paraId="0D9C2586" w14:textId="473065E6" w:rsidR="007B3ADE" w:rsidRDefault="00C723CB">
      <w:pPr>
        <w:pStyle w:val="TOC3"/>
        <w:tabs>
          <w:tab w:val="left" w:pos="1980"/>
        </w:tabs>
        <w:rPr>
          <w:rFonts w:asciiTheme="minorHAnsi" w:eastAsiaTheme="minorEastAsia" w:hAnsiTheme="minorHAnsi" w:cstheme="minorBidi"/>
          <w:iCs w:val="0"/>
        </w:rPr>
      </w:pPr>
      <w:hyperlink w:anchor="_Toc41680798" w:history="1">
        <w:r w:rsidR="007B3ADE" w:rsidRPr="00700A31">
          <w:rPr>
            <w:rStyle w:val="Hyperlink"/>
          </w:rPr>
          <w:t>1.5.1</w:t>
        </w:r>
        <w:r w:rsidR="007B3ADE">
          <w:rPr>
            <w:rFonts w:asciiTheme="minorHAnsi" w:eastAsiaTheme="minorEastAsia" w:hAnsiTheme="minorHAnsi" w:cstheme="minorBidi"/>
            <w:iCs w:val="0"/>
          </w:rPr>
          <w:tab/>
        </w:r>
        <w:r w:rsidR="007B3ADE" w:rsidRPr="00700A31">
          <w:rPr>
            <w:rStyle w:val="Hyperlink"/>
          </w:rPr>
          <w:t>Preliminary Processes</w:t>
        </w:r>
        <w:r w:rsidR="007B3ADE">
          <w:rPr>
            <w:webHidden/>
          </w:rPr>
          <w:tab/>
        </w:r>
        <w:r w:rsidR="007B3ADE">
          <w:rPr>
            <w:webHidden/>
          </w:rPr>
          <w:fldChar w:fldCharType="begin"/>
        </w:r>
        <w:r w:rsidR="007B3ADE">
          <w:rPr>
            <w:webHidden/>
          </w:rPr>
          <w:instrText xml:space="preserve"> PAGEREF _Toc41680798 \h </w:instrText>
        </w:r>
        <w:r w:rsidR="007B3ADE">
          <w:rPr>
            <w:webHidden/>
          </w:rPr>
        </w:r>
        <w:r w:rsidR="007B3ADE">
          <w:rPr>
            <w:webHidden/>
          </w:rPr>
          <w:fldChar w:fldCharType="separate"/>
        </w:r>
        <w:r w:rsidR="00AA68F8">
          <w:rPr>
            <w:webHidden/>
          </w:rPr>
          <w:t>1-5</w:t>
        </w:r>
        <w:r w:rsidR="007B3ADE">
          <w:rPr>
            <w:webHidden/>
          </w:rPr>
          <w:fldChar w:fldCharType="end"/>
        </w:r>
      </w:hyperlink>
    </w:p>
    <w:p w14:paraId="3A584718" w14:textId="7DD3F7FD" w:rsidR="007B3ADE" w:rsidRDefault="00C723CB">
      <w:pPr>
        <w:pStyle w:val="TOC4"/>
        <w:tabs>
          <w:tab w:val="left" w:pos="2700"/>
        </w:tabs>
        <w:rPr>
          <w:rFonts w:asciiTheme="minorHAnsi" w:eastAsiaTheme="minorEastAsia" w:hAnsiTheme="minorHAnsi" w:cstheme="minorBidi"/>
          <w:iCs w:val="0"/>
          <w:szCs w:val="22"/>
        </w:rPr>
      </w:pPr>
      <w:hyperlink w:anchor="_Toc41680799" w:history="1">
        <w:r w:rsidR="007B3ADE" w:rsidRPr="00700A31">
          <w:rPr>
            <w:rStyle w:val="Hyperlink"/>
          </w:rPr>
          <w:t>1.5.1.1</w:t>
        </w:r>
        <w:r w:rsidR="007B3ADE">
          <w:rPr>
            <w:rFonts w:asciiTheme="minorHAnsi" w:eastAsiaTheme="minorEastAsia" w:hAnsiTheme="minorHAnsi" w:cstheme="minorBidi"/>
            <w:iCs w:val="0"/>
            <w:szCs w:val="22"/>
          </w:rPr>
          <w:tab/>
        </w:r>
        <w:r w:rsidR="007B3ADE" w:rsidRPr="00700A31">
          <w:rPr>
            <w:rStyle w:val="Hyperlink"/>
          </w:rPr>
          <w:t>Influent Lift Stations</w:t>
        </w:r>
        <w:r w:rsidR="007B3ADE">
          <w:rPr>
            <w:webHidden/>
          </w:rPr>
          <w:tab/>
        </w:r>
        <w:r w:rsidR="007B3ADE">
          <w:rPr>
            <w:webHidden/>
          </w:rPr>
          <w:fldChar w:fldCharType="begin"/>
        </w:r>
        <w:r w:rsidR="007B3ADE">
          <w:rPr>
            <w:webHidden/>
          </w:rPr>
          <w:instrText xml:space="preserve"> PAGEREF _Toc41680799 \h </w:instrText>
        </w:r>
        <w:r w:rsidR="007B3ADE">
          <w:rPr>
            <w:webHidden/>
          </w:rPr>
        </w:r>
        <w:r w:rsidR="007B3ADE">
          <w:rPr>
            <w:webHidden/>
          </w:rPr>
          <w:fldChar w:fldCharType="separate"/>
        </w:r>
        <w:r w:rsidR="00AA68F8">
          <w:rPr>
            <w:webHidden/>
          </w:rPr>
          <w:t>1-6</w:t>
        </w:r>
        <w:r w:rsidR="007B3ADE">
          <w:rPr>
            <w:webHidden/>
          </w:rPr>
          <w:fldChar w:fldCharType="end"/>
        </w:r>
      </w:hyperlink>
    </w:p>
    <w:p w14:paraId="67AC2D25" w14:textId="19A762CE" w:rsidR="007B3ADE" w:rsidRDefault="00C723CB">
      <w:pPr>
        <w:pStyle w:val="TOC4"/>
        <w:tabs>
          <w:tab w:val="left" w:pos="2700"/>
        </w:tabs>
        <w:rPr>
          <w:rFonts w:asciiTheme="minorHAnsi" w:eastAsiaTheme="minorEastAsia" w:hAnsiTheme="minorHAnsi" w:cstheme="minorBidi"/>
          <w:iCs w:val="0"/>
          <w:szCs w:val="22"/>
        </w:rPr>
      </w:pPr>
      <w:hyperlink w:anchor="_Toc41680800" w:history="1">
        <w:r w:rsidR="007B3ADE" w:rsidRPr="00700A31">
          <w:rPr>
            <w:rStyle w:val="Hyperlink"/>
          </w:rPr>
          <w:t>1.5.1.2</w:t>
        </w:r>
        <w:r w:rsidR="007B3ADE">
          <w:rPr>
            <w:rFonts w:asciiTheme="minorHAnsi" w:eastAsiaTheme="minorEastAsia" w:hAnsiTheme="minorHAnsi" w:cstheme="minorBidi"/>
            <w:iCs w:val="0"/>
            <w:szCs w:val="22"/>
          </w:rPr>
          <w:tab/>
        </w:r>
        <w:r w:rsidR="007B3ADE" w:rsidRPr="00700A31">
          <w:rPr>
            <w:rStyle w:val="Hyperlink"/>
          </w:rPr>
          <w:t>East Hydraulic Structure</w:t>
        </w:r>
        <w:r w:rsidR="007B3ADE">
          <w:rPr>
            <w:webHidden/>
          </w:rPr>
          <w:tab/>
        </w:r>
        <w:r w:rsidR="007B3ADE">
          <w:rPr>
            <w:webHidden/>
          </w:rPr>
          <w:fldChar w:fldCharType="begin"/>
        </w:r>
        <w:r w:rsidR="007B3ADE">
          <w:rPr>
            <w:webHidden/>
          </w:rPr>
          <w:instrText xml:space="preserve"> PAGEREF _Toc41680800 \h </w:instrText>
        </w:r>
        <w:r w:rsidR="007B3ADE">
          <w:rPr>
            <w:webHidden/>
          </w:rPr>
        </w:r>
        <w:r w:rsidR="007B3ADE">
          <w:rPr>
            <w:webHidden/>
          </w:rPr>
          <w:fldChar w:fldCharType="separate"/>
        </w:r>
        <w:r w:rsidR="00AA68F8">
          <w:rPr>
            <w:webHidden/>
          </w:rPr>
          <w:t>1-6</w:t>
        </w:r>
        <w:r w:rsidR="007B3ADE">
          <w:rPr>
            <w:webHidden/>
          </w:rPr>
          <w:fldChar w:fldCharType="end"/>
        </w:r>
      </w:hyperlink>
    </w:p>
    <w:p w14:paraId="534CE4F1" w14:textId="4808631B" w:rsidR="007B3ADE" w:rsidRDefault="00C723CB">
      <w:pPr>
        <w:pStyle w:val="TOC4"/>
        <w:tabs>
          <w:tab w:val="left" w:pos="2700"/>
        </w:tabs>
        <w:rPr>
          <w:rFonts w:asciiTheme="minorHAnsi" w:eastAsiaTheme="minorEastAsia" w:hAnsiTheme="minorHAnsi" w:cstheme="minorBidi"/>
          <w:iCs w:val="0"/>
          <w:szCs w:val="22"/>
        </w:rPr>
      </w:pPr>
      <w:hyperlink w:anchor="_Toc41680801" w:history="1">
        <w:r w:rsidR="007B3ADE" w:rsidRPr="00700A31">
          <w:rPr>
            <w:rStyle w:val="Hyperlink"/>
          </w:rPr>
          <w:t>1.5.1.3</w:t>
        </w:r>
        <w:r w:rsidR="007B3ADE">
          <w:rPr>
            <w:rFonts w:asciiTheme="minorHAnsi" w:eastAsiaTheme="minorEastAsia" w:hAnsiTheme="minorHAnsi" w:cstheme="minorBidi"/>
            <w:iCs w:val="0"/>
            <w:szCs w:val="22"/>
          </w:rPr>
          <w:tab/>
        </w:r>
        <w:r w:rsidR="007B3ADE" w:rsidRPr="00700A31">
          <w:rPr>
            <w:rStyle w:val="Hyperlink"/>
          </w:rPr>
          <w:t>Influent Metering Station</w:t>
        </w:r>
        <w:r w:rsidR="007B3ADE">
          <w:rPr>
            <w:webHidden/>
          </w:rPr>
          <w:tab/>
        </w:r>
        <w:r w:rsidR="007B3ADE">
          <w:rPr>
            <w:webHidden/>
          </w:rPr>
          <w:fldChar w:fldCharType="begin"/>
        </w:r>
        <w:r w:rsidR="007B3ADE">
          <w:rPr>
            <w:webHidden/>
          </w:rPr>
          <w:instrText xml:space="preserve"> PAGEREF _Toc41680801 \h </w:instrText>
        </w:r>
        <w:r w:rsidR="007B3ADE">
          <w:rPr>
            <w:webHidden/>
          </w:rPr>
        </w:r>
        <w:r w:rsidR="007B3ADE">
          <w:rPr>
            <w:webHidden/>
          </w:rPr>
          <w:fldChar w:fldCharType="separate"/>
        </w:r>
        <w:r w:rsidR="00AA68F8">
          <w:rPr>
            <w:webHidden/>
          </w:rPr>
          <w:t>1-6</w:t>
        </w:r>
        <w:r w:rsidR="007B3ADE">
          <w:rPr>
            <w:webHidden/>
          </w:rPr>
          <w:fldChar w:fldCharType="end"/>
        </w:r>
      </w:hyperlink>
    </w:p>
    <w:p w14:paraId="47F7DF19" w14:textId="0CF11521" w:rsidR="007B3ADE" w:rsidRDefault="00C723CB">
      <w:pPr>
        <w:pStyle w:val="TOC4"/>
        <w:tabs>
          <w:tab w:val="left" w:pos="2700"/>
        </w:tabs>
        <w:rPr>
          <w:rFonts w:asciiTheme="minorHAnsi" w:eastAsiaTheme="minorEastAsia" w:hAnsiTheme="minorHAnsi" w:cstheme="minorBidi"/>
          <w:iCs w:val="0"/>
          <w:szCs w:val="22"/>
        </w:rPr>
      </w:pPr>
      <w:hyperlink w:anchor="_Toc41680802" w:history="1">
        <w:r w:rsidR="007B3ADE" w:rsidRPr="00700A31">
          <w:rPr>
            <w:rStyle w:val="Hyperlink"/>
          </w:rPr>
          <w:t>1.5.1.4</w:t>
        </w:r>
        <w:r w:rsidR="007B3ADE">
          <w:rPr>
            <w:rFonts w:asciiTheme="minorHAnsi" w:eastAsiaTheme="minorEastAsia" w:hAnsiTheme="minorHAnsi" w:cstheme="minorBidi"/>
            <w:iCs w:val="0"/>
            <w:szCs w:val="22"/>
          </w:rPr>
          <w:tab/>
        </w:r>
        <w:r w:rsidR="007B3ADE" w:rsidRPr="00700A31">
          <w:rPr>
            <w:rStyle w:val="Hyperlink"/>
          </w:rPr>
          <w:t>Septage Receiving</w:t>
        </w:r>
        <w:r w:rsidR="007B3ADE">
          <w:rPr>
            <w:webHidden/>
          </w:rPr>
          <w:tab/>
        </w:r>
        <w:r w:rsidR="007B3ADE">
          <w:rPr>
            <w:webHidden/>
          </w:rPr>
          <w:fldChar w:fldCharType="begin"/>
        </w:r>
        <w:r w:rsidR="007B3ADE">
          <w:rPr>
            <w:webHidden/>
          </w:rPr>
          <w:instrText xml:space="preserve"> PAGEREF _Toc41680802 \h </w:instrText>
        </w:r>
        <w:r w:rsidR="007B3ADE">
          <w:rPr>
            <w:webHidden/>
          </w:rPr>
        </w:r>
        <w:r w:rsidR="007B3ADE">
          <w:rPr>
            <w:webHidden/>
          </w:rPr>
          <w:fldChar w:fldCharType="separate"/>
        </w:r>
        <w:r w:rsidR="00AA68F8">
          <w:rPr>
            <w:webHidden/>
          </w:rPr>
          <w:t>1-7</w:t>
        </w:r>
        <w:r w:rsidR="007B3ADE">
          <w:rPr>
            <w:webHidden/>
          </w:rPr>
          <w:fldChar w:fldCharType="end"/>
        </w:r>
      </w:hyperlink>
    </w:p>
    <w:p w14:paraId="0B368AFE" w14:textId="610F268C" w:rsidR="007B3ADE" w:rsidRDefault="00C723CB">
      <w:pPr>
        <w:pStyle w:val="TOC4"/>
        <w:tabs>
          <w:tab w:val="left" w:pos="2700"/>
        </w:tabs>
        <w:rPr>
          <w:rFonts w:asciiTheme="minorHAnsi" w:eastAsiaTheme="minorEastAsia" w:hAnsiTheme="minorHAnsi" w:cstheme="minorBidi"/>
          <w:iCs w:val="0"/>
          <w:szCs w:val="22"/>
        </w:rPr>
      </w:pPr>
      <w:hyperlink w:anchor="_Toc41680803" w:history="1">
        <w:r w:rsidR="007B3ADE" w:rsidRPr="00700A31">
          <w:rPr>
            <w:rStyle w:val="Hyperlink"/>
          </w:rPr>
          <w:t>1.5.1.5</w:t>
        </w:r>
        <w:r w:rsidR="007B3ADE">
          <w:rPr>
            <w:rFonts w:asciiTheme="minorHAnsi" w:eastAsiaTheme="minorEastAsia" w:hAnsiTheme="minorHAnsi" w:cstheme="minorBidi"/>
            <w:iCs w:val="0"/>
            <w:szCs w:val="22"/>
          </w:rPr>
          <w:tab/>
        </w:r>
        <w:r w:rsidR="007B3ADE" w:rsidRPr="00700A31">
          <w:rPr>
            <w:rStyle w:val="Hyperlink"/>
          </w:rPr>
          <w:t>Bar Screens</w:t>
        </w:r>
        <w:r w:rsidR="007B3ADE">
          <w:rPr>
            <w:webHidden/>
          </w:rPr>
          <w:tab/>
        </w:r>
        <w:r w:rsidR="007B3ADE">
          <w:rPr>
            <w:webHidden/>
          </w:rPr>
          <w:fldChar w:fldCharType="begin"/>
        </w:r>
        <w:r w:rsidR="007B3ADE">
          <w:rPr>
            <w:webHidden/>
          </w:rPr>
          <w:instrText xml:space="preserve"> PAGEREF _Toc41680803 \h </w:instrText>
        </w:r>
        <w:r w:rsidR="007B3ADE">
          <w:rPr>
            <w:webHidden/>
          </w:rPr>
        </w:r>
        <w:r w:rsidR="007B3ADE">
          <w:rPr>
            <w:webHidden/>
          </w:rPr>
          <w:fldChar w:fldCharType="separate"/>
        </w:r>
        <w:r w:rsidR="00AA68F8">
          <w:rPr>
            <w:webHidden/>
          </w:rPr>
          <w:t>1-7</w:t>
        </w:r>
        <w:r w:rsidR="007B3ADE">
          <w:rPr>
            <w:webHidden/>
          </w:rPr>
          <w:fldChar w:fldCharType="end"/>
        </w:r>
      </w:hyperlink>
    </w:p>
    <w:p w14:paraId="467EDBA2" w14:textId="3A3B5A6F" w:rsidR="007B3ADE" w:rsidRDefault="00C723CB">
      <w:pPr>
        <w:pStyle w:val="TOC4"/>
        <w:tabs>
          <w:tab w:val="left" w:pos="2700"/>
        </w:tabs>
        <w:rPr>
          <w:rFonts w:asciiTheme="minorHAnsi" w:eastAsiaTheme="minorEastAsia" w:hAnsiTheme="minorHAnsi" w:cstheme="minorBidi"/>
          <w:iCs w:val="0"/>
          <w:szCs w:val="22"/>
        </w:rPr>
      </w:pPr>
      <w:hyperlink w:anchor="_Toc41680804" w:history="1">
        <w:r w:rsidR="007B3ADE" w:rsidRPr="00700A31">
          <w:rPr>
            <w:rStyle w:val="Hyperlink"/>
          </w:rPr>
          <w:t>1.5.1.6</w:t>
        </w:r>
        <w:r w:rsidR="007B3ADE">
          <w:rPr>
            <w:rFonts w:asciiTheme="minorHAnsi" w:eastAsiaTheme="minorEastAsia" w:hAnsiTheme="minorHAnsi" w:cstheme="minorBidi"/>
            <w:iCs w:val="0"/>
            <w:szCs w:val="22"/>
          </w:rPr>
          <w:tab/>
        </w:r>
        <w:r w:rsidR="007B3ADE" w:rsidRPr="00700A31">
          <w:rPr>
            <w:rStyle w:val="Hyperlink"/>
          </w:rPr>
          <w:t>Grit Removal</w:t>
        </w:r>
        <w:r w:rsidR="007B3ADE">
          <w:rPr>
            <w:webHidden/>
          </w:rPr>
          <w:tab/>
        </w:r>
        <w:r w:rsidR="007B3ADE">
          <w:rPr>
            <w:webHidden/>
          </w:rPr>
          <w:fldChar w:fldCharType="begin"/>
        </w:r>
        <w:r w:rsidR="007B3ADE">
          <w:rPr>
            <w:webHidden/>
          </w:rPr>
          <w:instrText xml:space="preserve"> PAGEREF _Toc41680804 \h </w:instrText>
        </w:r>
        <w:r w:rsidR="007B3ADE">
          <w:rPr>
            <w:webHidden/>
          </w:rPr>
        </w:r>
        <w:r w:rsidR="007B3ADE">
          <w:rPr>
            <w:webHidden/>
          </w:rPr>
          <w:fldChar w:fldCharType="separate"/>
        </w:r>
        <w:r w:rsidR="00AA68F8">
          <w:rPr>
            <w:webHidden/>
          </w:rPr>
          <w:t>1-7</w:t>
        </w:r>
        <w:r w:rsidR="007B3ADE">
          <w:rPr>
            <w:webHidden/>
          </w:rPr>
          <w:fldChar w:fldCharType="end"/>
        </w:r>
      </w:hyperlink>
    </w:p>
    <w:p w14:paraId="0BBCB9E2" w14:textId="020997CB" w:rsidR="007B3ADE" w:rsidRDefault="00C723CB">
      <w:pPr>
        <w:pStyle w:val="TOC3"/>
        <w:tabs>
          <w:tab w:val="left" w:pos="1980"/>
        </w:tabs>
        <w:rPr>
          <w:rFonts w:asciiTheme="minorHAnsi" w:eastAsiaTheme="minorEastAsia" w:hAnsiTheme="minorHAnsi" w:cstheme="minorBidi"/>
          <w:iCs w:val="0"/>
        </w:rPr>
      </w:pPr>
      <w:hyperlink w:anchor="_Toc41680805" w:history="1">
        <w:r w:rsidR="007B3ADE" w:rsidRPr="00700A31">
          <w:rPr>
            <w:rStyle w:val="Hyperlink"/>
          </w:rPr>
          <w:t>1.5.2</w:t>
        </w:r>
        <w:r w:rsidR="007B3ADE">
          <w:rPr>
            <w:rFonts w:asciiTheme="minorHAnsi" w:eastAsiaTheme="minorEastAsia" w:hAnsiTheme="minorHAnsi" w:cstheme="minorBidi"/>
            <w:iCs w:val="0"/>
          </w:rPr>
          <w:tab/>
        </w:r>
        <w:r w:rsidR="007B3ADE" w:rsidRPr="00700A31">
          <w:rPr>
            <w:rStyle w:val="Hyperlink"/>
          </w:rPr>
          <w:t>Primary and Secondary Treatment</w:t>
        </w:r>
        <w:r w:rsidR="007B3ADE">
          <w:rPr>
            <w:webHidden/>
          </w:rPr>
          <w:tab/>
        </w:r>
        <w:r w:rsidR="007B3ADE">
          <w:rPr>
            <w:webHidden/>
          </w:rPr>
          <w:fldChar w:fldCharType="begin"/>
        </w:r>
        <w:r w:rsidR="007B3ADE">
          <w:rPr>
            <w:webHidden/>
          </w:rPr>
          <w:instrText xml:space="preserve"> PAGEREF _Toc41680805 \h </w:instrText>
        </w:r>
        <w:r w:rsidR="007B3ADE">
          <w:rPr>
            <w:webHidden/>
          </w:rPr>
        </w:r>
        <w:r w:rsidR="007B3ADE">
          <w:rPr>
            <w:webHidden/>
          </w:rPr>
          <w:fldChar w:fldCharType="separate"/>
        </w:r>
        <w:r w:rsidR="00AA68F8">
          <w:rPr>
            <w:webHidden/>
          </w:rPr>
          <w:t>1-8</w:t>
        </w:r>
        <w:r w:rsidR="007B3ADE">
          <w:rPr>
            <w:webHidden/>
          </w:rPr>
          <w:fldChar w:fldCharType="end"/>
        </w:r>
      </w:hyperlink>
    </w:p>
    <w:p w14:paraId="6233D962" w14:textId="3514A8A3" w:rsidR="007B3ADE" w:rsidRDefault="00C723CB">
      <w:pPr>
        <w:pStyle w:val="TOC4"/>
        <w:tabs>
          <w:tab w:val="left" w:pos="2700"/>
        </w:tabs>
        <w:rPr>
          <w:rFonts w:asciiTheme="minorHAnsi" w:eastAsiaTheme="minorEastAsia" w:hAnsiTheme="minorHAnsi" w:cstheme="minorBidi"/>
          <w:iCs w:val="0"/>
          <w:szCs w:val="22"/>
        </w:rPr>
      </w:pPr>
      <w:hyperlink w:anchor="_Toc41680806" w:history="1">
        <w:r w:rsidR="007B3ADE" w:rsidRPr="00700A31">
          <w:rPr>
            <w:rStyle w:val="Hyperlink"/>
          </w:rPr>
          <w:t>1.5.2.1</w:t>
        </w:r>
        <w:r w:rsidR="007B3ADE">
          <w:rPr>
            <w:rFonts w:asciiTheme="minorHAnsi" w:eastAsiaTheme="minorEastAsia" w:hAnsiTheme="minorHAnsi" w:cstheme="minorBidi"/>
            <w:iCs w:val="0"/>
            <w:szCs w:val="22"/>
          </w:rPr>
          <w:tab/>
        </w:r>
        <w:r w:rsidR="007B3ADE" w:rsidRPr="00700A31">
          <w:rPr>
            <w:rStyle w:val="Hyperlink"/>
          </w:rPr>
          <w:t>Primary Clarifiers</w:t>
        </w:r>
        <w:r w:rsidR="007B3ADE">
          <w:rPr>
            <w:webHidden/>
          </w:rPr>
          <w:tab/>
        </w:r>
        <w:r w:rsidR="007B3ADE">
          <w:rPr>
            <w:webHidden/>
          </w:rPr>
          <w:fldChar w:fldCharType="begin"/>
        </w:r>
        <w:r w:rsidR="007B3ADE">
          <w:rPr>
            <w:webHidden/>
          </w:rPr>
          <w:instrText xml:space="preserve"> PAGEREF _Toc41680806 \h </w:instrText>
        </w:r>
        <w:r w:rsidR="007B3ADE">
          <w:rPr>
            <w:webHidden/>
          </w:rPr>
        </w:r>
        <w:r w:rsidR="007B3ADE">
          <w:rPr>
            <w:webHidden/>
          </w:rPr>
          <w:fldChar w:fldCharType="separate"/>
        </w:r>
        <w:r w:rsidR="00AA68F8">
          <w:rPr>
            <w:webHidden/>
          </w:rPr>
          <w:t>1-8</w:t>
        </w:r>
        <w:r w:rsidR="007B3ADE">
          <w:rPr>
            <w:webHidden/>
          </w:rPr>
          <w:fldChar w:fldCharType="end"/>
        </w:r>
      </w:hyperlink>
    </w:p>
    <w:p w14:paraId="7A276CF9" w14:textId="41E885D9" w:rsidR="007B3ADE" w:rsidRDefault="00C723CB">
      <w:pPr>
        <w:pStyle w:val="TOC4"/>
        <w:tabs>
          <w:tab w:val="left" w:pos="2700"/>
        </w:tabs>
        <w:rPr>
          <w:rFonts w:asciiTheme="minorHAnsi" w:eastAsiaTheme="minorEastAsia" w:hAnsiTheme="minorHAnsi" w:cstheme="minorBidi"/>
          <w:iCs w:val="0"/>
          <w:szCs w:val="22"/>
        </w:rPr>
      </w:pPr>
      <w:hyperlink w:anchor="_Toc41680807" w:history="1">
        <w:r w:rsidR="007B3ADE" w:rsidRPr="00700A31">
          <w:rPr>
            <w:rStyle w:val="Hyperlink"/>
          </w:rPr>
          <w:t>1.5.2.2</w:t>
        </w:r>
        <w:r w:rsidR="007B3ADE">
          <w:rPr>
            <w:rFonts w:asciiTheme="minorHAnsi" w:eastAsiaTheme="minorEastAsia" w:hAnsiTheme="minorHAnsi" w:cstheme="minorBidi"/>
            <w:iCs w:val="0"/>
            <w:szCs w:val="22"/>
          </w:rPr>
          <w:tab/>
        </w:r>
        <w:r w:rsidR="007B3ADE" w:rsidRPr="00700A31">
          <w:rPr>
            <w:rStyle w:val="Hyperlink"/>
          </w:rPr>
          <w:t>Primary Sludge Pumping</w:t>
        </w:r>
        <w:r w:rsidR="007B3ADE">
          <w:rPr>
            <w:webHidden/>
          </w:rPr>
          <w:tab/>
        </w:r>
        <w:r w:rsidR="007B3ADE">
          <w:rPr>
            <w:webHidden/>
          </w:rPr>
          <w:fldChar w:fldCharType="begin"/>
        </w:r>
        <w:r w:rsidR="007B3ADE">
          <w:rPr>
            <w:webHidden/>
          </w:rPr>
          <w:instrText xml:space="preserve"> PAGEREF _Toc41680807 \h </w:instrText>
        </w:r>
        <w:r w:rsidR="007B3ADE">
          <w:rPr>
            <w:webHidden/>
          </w:rPr>
        </w:r>
        <w:r w:rsidR="007B3ADE">
          <w:rPr>
            <w:webHidden/>
          </w:rPr>
          <w:fldChar w:fldCharType="separate"/>
        </w:r>
        <w:r w:rsidR="00AA68F8">
          <w:rPr>
            <w:webHidden/>
          </w:rPr>
          <w:t>1-9</w:t>
        </w:r>
        <w:r w:rsidR="007B3ADE">
          <w:rPr>
            <w:webHidden/>
          </w:rPr>
          <w:fldChar w:fldCharType="end"/>
        </w:r>
      </w:hyperlink>
    </w:p>
    <w:p w14:paraId="558C8DA2" w14:textId="5D009804" w:rsidR="007B3ADE" w:rsidRDefault="00C723CB">
      <w:pPr>
        <w:pStyle w:val="TOC4"/>
        <w:tabs>
          <w:tab w:val="left" w:pos="2700"/>
        </w:tabs>
        <w:rPr>
          <w:rFonts w:asciiTheme="minorHAnsi" w:eastAsiaTheme="minorEastAsia" w:hAnsiTheme="minorHAnsi" w:cstheme="minorBidi"/>
          <w:iCs w:val="0"/>
          <w:szCs w:val="22"/>
        </w:rPr>
      </w:pPr>
      <w:hyperlink w:anchor="_Toc41680808" w:history="1">
        <w:r w:rsidR="007B3ADE" w:rsidRPr="00700A31">
          <w:rPr>
            <w:rStyle w:val="Hyperlink"/>
          </w:rPr>
          <w:t>1.5.2.3</w:t>
        </w:r>
        <w:r w:rsidR="007B3ADE">
          <w:rPr>
            <w:rFonts w:asciiTheme="minorHAnsi" w:eastAsiaTheme="minorEastAsia" w:hAnsiTheme="minorHAnsi" w:cstheme="minorBidi"/>
            <w:iCs w:val="0"/>
            <w:szCs w:val="22"/>
          </w:rPr>
          <w:tab/>
        </w:r>
        <w:r w:rsidR="007B3ADE" w:rsidRPr="00700A31">
          <w:rPr>
            <w:rStyle w:val="Hyperlink"/>
          </w:rPr>
          <w:t>Secondary Treatment</w:t>
        </w:r>
        <w:r w:rsidR="007B3ADE">
          <w:rPr>
            <w:webHidden/>
          </w:rPr>
          <w:tab/>
        </w:r>
        <w:r w:rsidR="007B3ADE">
          <w:rPr>
            <w:webHidden/>
          </w:rPr>
          <w:fldChar w:fldCharType="begin"/>
        </w:r>
        <w:r w:rsidR="007B3ADE">
          <w:rPr>
            <w:webHidden/>
          </w:rPr>
          <w:instrText xml:space="preserve"> PAGEREF _Toc41680808 \h </w:instrText>
        </w:r>
        <w:r w:rsidR="007B3ADE">
          <w:rPr>
            <w:webHidden/>
          </w:rPr>
        </w:r>
        <w:r w:rsidR="007B3ADE">
          <w:rPr>
            <w:webHidden/>
          </w:rPr>
          <w:fldChar w:fldCharType="separate"/>
        </w:r>
        <w:r w:rsidR="00AA68F8">
          <w:rPr>
            <w:webHidden/>
          </w:rPr>
          <w:t>1-10</w:t>
        </w:r>
        <w:r w:rsidR="007B3ADE">
          <w:rPr>
            <w:webHidden/>
          </w:rPr>
          <w:fldChar w:fldCharType="end"/>
        </w:r>
      </w:hyperlink>
    </w:p>
    <w:p w14:paraId="0C225F63" w14:textId="4C4067F8" w:rsidR="007B3ADE" w:rsidRDefault="00C723CB">
      <w:pPr>
        <w:pStyle w:val="TOC4"/>
        <w:tabs>
          <w:tab w:val="left" w:pos="2700"/>
        </w:tabs>
        <w:rPr>
          <w:rFonts w:asciiTheme="minorHAnsi" w:eastAsiaTheme="minorEastAsia" w:hAnsiTheme="minorHAnsi" w:cstheme="minorBidi"/>
          <w:iCs w:val="0"/>
          <w:szCs w:val="22"/>
        </w:rPr>
      </w:pPr>
      <w:hyperlink w:anchor="_Toc41680809" w:history="1">
        <w:r w:rsidR="007B3ADE" w:rsidRPr="00700A31">
          <w:rPr>
            <w:rStyle w:val="Hyperlink"/>
          </w:rPr>
          <w:t>1.5.2.4</w:t>
        </w:r>
        <w:r w:rsidR="007B3ADE">
          <w:rPr>
            <w:rFonts w:asciiTheme="minorHAnsi" w:eastAsiaTheme="minorEastAsia" w:hAnsiTheme="minorHAnsi" w:cstheme="minorBidi"/>
            <w:iCs w:val="0"/>
            <w:szCs w:val="22"/>
          </w:rPr>
          <w:tab/>
        </w:r>
        <w:r w:rsidR="007B3ADE" w:rsidRPr="00700A31">
          <w:rPr>
            <w:rStyle w:val="Hyperlink"/>
          </w:rPr>
          <w:t>RAS Pumping Systems</w:t>
        </w:r>
        <w:r w:rsidR="007B3ADE">
          <w:rPr>
            <w:webHidden/>
          </w:rPr>
          <w:tab/>
        </w:r>
        <w:r w:rsidR="007B3ADE">
          <w:rPr>
            <w:webHidden/>
          </w:rPr>
          <w:fldChar w:fldCharType="begin"/>
        </w:r>
        <w:r w:rsidR="007B3ADE">
          <w:rPr>
            <w:webHidden/>
          </w:rPr>
          <w:instrText xml:space="preserve"> PAGEREF _Toc41680809 \h </w:instrText>
        </w:r>
        <w:r w:rsidR="007B3ADE">
          <w:rPr>
            <w:webHidden/>
          </w:rPr>
        </w:r>
        <w:r w:rsidR="007B3ADE">
          <w:rPr>
            <w:webHidden/>
          </w:rPr>
          <w:fldChar w:fldCharType="separate"/>
        </w:r>
        <w:r w:rsidR="00AA68F8">
          <w:rPr>
            <w:webHidden/>
          </w:rPr>
          <w:t>1-13</w:t>
        </w:r>
        <w:r w:rsidR="007B3ADE">
          <w:rPr>
            <w:webHidden/>
          </w:rPr>
          <w:fldChar w:fldCharType="end"/>
        </w:r>
      </w:hyperlink>
    </w:p>
    <w:p w14:paraId="1DB22325" w14:textId="2CAE9565" w:rsidR="007B3ADE" w:rsidRDefault="00C723CB">
      <w:pPr>
        <w:pStyle w:val="TOC4"/>
        <w:tabs>
          <w:tab w:val="left" w:pos="2700"/>
        </w:tabs>
        <w:rPr>
          <w:rFonts w:asciiTheme="minorHAnsi" w:eastAsiaTheme="minorEastAsia" w:hAnsiTheme="minorHAnsi" w:cstheme="minorBidi"/>
          <w:iCs w:val="0"/>
          <w:szCs w:val="22"/>
        </w:rPr>
      </w:pPr>
      <w:hyperlink w:anchor="_Toc41680810" w:history="1">
        <w:r w:rsidR="007B3ADE" w:rsidRPr="00700A31">
          <w:rPr>
            <w:rStyle w:val="Hyperlink"/>
          </w:rPr>
          <w:t>1.5.2.5</w:t>
        </w:r>
        <w:r w:rsidR="007B3ADE">
          <w:rPr>
            <w:rFonts w:asciiTheme="minorHAnsi" w:eastAsiaTheme="minorEastAsia" w:hAnsiTheme="minorHAnsi" w:cstheme="minorBidi"/>
            <w:iCs w:val="0"/>
            <w:szCs w:val="22"/>
          </w:rPr>
          <w:tab/>
        </w:r>
        <w:r w:rsidR="007B3ADE" w:rsidRPr="00700A31">
          <w:rPr>
            <w:rStyle w:val="Hyperlink"/>
          </w:rPr>
          <w:t>WAS Pumping Systems</w:t>
        </w:r>
        <w:r w:rsidR="007B3ADE">
          <w:rPr>
            <w:webHidden/>
          </w:rPr>
          <w:tab/>
        </w:r>
        <w:r w:rsidR="007B3ADE">
          <w:rPr>
            <w:webHidden/>
          </w:rPr>
          <w:fldChar w:fldCharType="begin"/>
        </w:r>
        <w:r w:rsidR="007B3ADE">
          <w:rPr>
            <w:webHidden/>
          </w:rPr>
          <w:instrText xml:space="preserve"> PAGEREF _Toc41680810 \h </w:instrText>
        </w:r>
        <w:r w:rsidR="007B3ADE">
          <w:rPr>
            <w:webHidden/>
          </w:rPr>
        </w:r>
        <w:r w:rsidR="007B3ADE">
          <w:rPr>
            <w:webHidden/>
          </w:rPr>
          <w:fldChar w:fldCharType="separate"/>
        </w:r>
        <w:r w:rsidR="00AA68F8">
          <w:rPr>
            <w:webHidden/>
          </w:rPr>
          <w:t>1-13</w:t>
        </w:r>
        <w:r w:rsidR="007B3ADE">
          <w:rPr>
            <w:webHidden/>
          </w:rPr>
          <w:fldChar w:fldCharType="end"/>
        </w:r>
      </w:hyperlink>
    </w:p>
    <w:p w14:paraId="55FB1589" w14:textId="3C63A323" w:rsidR="007B3ADE" w:rsidRDefault="00C723CB">
      <w:pPr>
        <w:pStyle w:val="TOC3"/>
        <w:tabs>
          <w:tab w:val="left" w:pos="1980"/>
        </w:tabs>
        <w:rPr>
          <w:rFonts w:asciiTheme="minorHAnsi" w:eastAsiaTheme="minorEastAsia" w:hAnsiTheme="minorHAnsi" w:cstheme="minorBidi"/>
          <w:iCs w:val="0"/>
        </w:rPr>
      </w:pPr>
      <w:hyperlink w:anchor="_Toc41680811" w:history="1">
        <w:r w:rsidR="007B3ADE" w:rsidRPr="00700A31">
          <w:rPr>
            <w:rStyle w:val="Hyperlink"/>
          </w:rPr>
          <w:t>1.5.3</w:t>
        </w:r>
        <w:r w:rsidR="007B3ADE">
          <w:rPr>
            <w:rFonts w:asciiTheme="minorHAnsi" w:eastAsiaTheme="minorEastAsia" w:hAnsiTheme="minorHAnsi" w:cstheme="minorBidi"/>
            <w:iCs w:val="0"/>
          </w:rPr>
          <w:tab/>
        </w:r>
        <w:r w:rsidR="007B3ADE" w:rsidRPr="00700A31">
          <w:rPr>
            <w:rStyle w:val="Hyperlink"/>
          </w:rPr>
          <w:t>Nitrogen Removal Carousel</w:t>
        </w:r>
        <w:r w:rsidR="007B3ADE">
          <w:rPr>
            <w:webHidden/>
          </w:rPr>
          <w:tab/>
        </w:r>
        <w:r w:rsidR="007B3ADE">
          <w:rPr>
            <w:webHidden/>
          </w:rPr>
          <w:fldChar w:fldCharType="begin"/>
        </w:r>
        <w:r w:rsidR="007B3ADE">
          <w:rPr>
            <w:webHidden/>
          </w:rPr>
          <w:instrText xml:space="preserve"> PAGEREF _Toc41680811 \h </w:instrText>
        </w:r>
        <w:r w:rsidR="007B3ADE">
          <w:rPr>
            <w:webHidden/>
          </w:rPr>
        </w:r>
        <w:r w:rsidR="007B3ADE">
          <w:rPr>
            <w:webHidden/>
          </w:rPr>
          <w:fldChar w:fldCharType="separate"/>
        </w:r>
        <w:r w:rsidR="00AA68F8">
          <w:rPr>
            <w:webHidden/>
          </w:rPr>
          <w:t>1-14</w:t>
        </w:r>
        <w:r w:rsidR="007B3ADE">
          <w:rPr>
            <w:webHidden/>
          </w:rPr>
          <w:fldChar w:fldCharType="end"/>
        </w:r>
      </w:hyperlink>
    </w:p>
    <w:p w14:paraId="1C761378" w14:textId="338F7206" w:rsidR="007B3ADE" w:rsidRDefault="00C723CB">
      <w:pPr>
        <w:pStyle w:val="TOC3"/>
        <w:tabs>
          <w:tab w:val="left" w:pos="1980"/>
        </w:tabs>
        <w:rPr>
          <w:rFonts w:asciiTheme="minorHAnsi" w:eastAsiaTheme="minorEastAsia" w:hAnsiTheme="minorHAnsi" w:cstheme="minorBidi"/>
          <w:iCs w:val="0"/>
        </w:rPr>
      </w:pPr>
      <w:hyperlink w:anchor="_Toc41680812" w:history="1">
        <w:r w:rsidR="007B3ADE" w:rsidRPr="00700A31">
          <w:rPr>
            <w:rStyle w:val="Hyperlink"/>
          </w:rPr>
          <w:t>1.5.4</w:t>
        </w:r>
        <w:r w:rsidR="007B3ADE">
          <w:rPr>
            <w:rFonts w:asciiTheme="minorHAnsi" w:eastAsiaTheme="minorEastAsia" w:hAnsiTheme="minorHAnsi" w:cstheme="minorBidi"/>
            <w:iCs w:val="0"/>
          </w:rPr>
          <w:tab/>
        </w:r>
        <w:r w:rsidR="007B3ADE" w:rsidRPr="00700A31">
          <w:rPr>
            <w:rStyle w:val="Hyperlink"/>
          </w:rPr>
          <w:t>Solids Handling</w:t>
        </w:r>
        <w:r w:rsidR="007B3ADE">
          <w:rPr>
            <w:webHidden/>
          </w:rPr>
          <w:tab/>
        </w:r>
        <w:r w:rsidR="007B3ADE">
          <w:rPr>
            <w:webHidden/>
          </w:rPr>
          <w:fldChar w:fldCharType="begin"/>
        </w:r>
        <w:r w:rsidR="007B3ADE">
          <w:rPr>
            <w:webHidden/>
          </w:rPr>
          <w:instrText xml:space="preserve"> PAGEREF _Toc41680812 \h </w:instrText>
        </w:r>
        <w:r w:rsidR="007B3ADE">
          <w:rPr>
            <w:webHidden/>
          </w:rPr>
        </w:r>
        <w:r w:rsidR="007B3ADE">
          <w:rPr>
            <w:webHidden/>
          </w:rPr>
          <w:fldChar w:fldCharType="separate"/>
        </w:r>
        <w:r w:rsidR="00AA68F8">
          <w:rPr>
            <w:webHidden/>
          </w:rPr>
          <w:t>1-14</w:t>
        </w:r>
        <w:r w:rsidR="007B3ADE">
          <w:rPr>
            <w:webHidden/>
          </w:rPr>
          <w:fldChar w:fldCharType="end"/>
        </w:r>
      </w:hyperlink>
    </w:p>
    <w:p w14:paraId="78D5AF3E" w14:textId="66A23E2A" w:rsidR="007B3ADE" w:rsidRDefault="00C723CB">
      <w:pPr>
        <w:pStyle w:val="TOC4"/>
        <w:tabs>
          <w:tab w:val="left" w:pos="2700"/>
        </w:tabs>
        <w:rPr>
          <w:rFonts w:asciiTheme="minorHAnsi" w:eastAsiaTheme="minorEastAsia" w:hAnsiTheme="minorHAnsi" w:cstheme="minorBidi"/>
          <w:iCs w:val="0"/>
          <w:szCs w:val="22"/>
        </w:rPr>
      </w:pPr>
      <w:hyperlink w:anchor="_Toc41680813" w:history="1">
        <w:r w:rsidR="007B3ADE" w:rsidRPr="00700A31">
          <w:rPr>
            <w:rStyle w:val="Hyperlink"/>
          </w:rPr>
          <w:t>1.5.4.1</w:t>
        </w:r>
        <w:r w:rsidR="007B3ADE">
          <w:rPr>
            <w:rFonts w:asciiTheme="minorHAnsi" w:eastAsiaTheme="minorEastAsia" w:hAnsiTheme="minorHAnsi" w:cstheme="minorBidi"/>
            <w:iCs w:val="0"/>
            <w:szCs w:val="22"/>
          </w:rPr>
          <w:tab/>
        </w:r>
        <w:r w:rsidR="007B3ADE" w:rsidRPr="00700A31">
          <w:rPr>
            <w:rStyle w:val="Hyperlink"/>
          </w:rPr>
          <w:t>Solids Thickening</w:t>
        </w:r>
        <w:r w:rsidR="007B3ADE">
          <w:rPr>
            <w:webHidden/>
          </w:rPr>
          <w:tab/>
        </w:r>
        <w:r w:rsidR="007B3ADE">
          <w:rPr>
            <w:webHidden/>
          </w:rPr>
          <w:fldChar w:fldCharType="begin"/>
        </w:r>
        <w:r w:rsidR="007B3ADE">
          <w:rPr>
            <w:webHidden/>
          </w:rPr>
          <w:instrText xml:space="preserve"> PAGEREF _Toc41680813 \h </w:instrText>
        </w:r>
        <w:r w:rsidR="007B3ADE">
          <w:rPr>
            <w:webHidden/>
          </w:rPr>
        </w:r>
        <w:r w:rsidR="007B3ADE">
          <w:rPr>
            <w:webHidden/>
          </w:rPr>
          <w:fldChar w:fldCharType="separate"/>
        </w:r>
        <w:r w:rsidR="00AA68F8">
          <w:rPr>
            <w:webHidden/>
          </w:rPr>
          <w:t>1-14</w:t>
        </w:r>
        <w:r w:rsidR="007B3ADE">
          <w:rPr>
            <w:webHidden/>
          </w:rPr>
          <w:fldChar w:fldCharType="end"/>
        </w:r>
      </w:hyperlink>
    </w:p>
    <w:p w14:paraId="38B0D6C2" w14:textId="6A2F92C8" w:rsidR="007B3ADE" w:rsidRDefault="00C723CB">
      <w:pPr>
        <w:pStyle w:val="TOC4"/>
        <w:tabs>
          <w:tab w:val="left" w:pos="2700"/>
        </w:tabs>
        <w:rPr>
          <w:rFonts w:asciiTheme="minorHAnsi" w:eastAsiaTheme="minorEastAsia" w:hAnsiTheme="minorHAnsi" w:cstheme="minorBidi"/>
          <w:iCs w:val="0"/>
          <w:szCs w:val="22"/>
        </w:rPr>
      </w:pPr>
      <w:hyperlink w:anchor="_Toc41680814" w:history="1">
        <w:r w:rsidR="007B3ADE" w:rsidRPr="00700A31">
          <w:rPr>
            <w:rStyle w:val="Hyperlink"/>
          </w:rPr>
          <w:t>1.5.4.2</w:t>
        </w:r>
        <w:r w:rsidR="007B3ADE">
          <w:rPr>
            <w:rFonts w:asciiTheme="minorHAnsi" w:eastAsiaTheme="minorEastAsia" w:hAnsiTheme="minorHAnsi" w:cstheme="minorBidi"/>
            <w:iCs w:val="0"/>
            <w:szCs w:val="22"/>
          </w:rPr>
          <w:tab/>
        </w:r>
        <w:r w:rsidR="007B3ADE" w:rsidRPr="00700A31">
          <w:rPr>
            <w:rStyle w:val="Hyperlink"/>
          </w:rPr>
          <w:t>Anaerobic Digestion</w:t>
        </w:r>
        <w:r w:rsidR="007B3ADE">
          <w:rPr>
            <w:webHidden/>
          </w:rPr>
          <w:tab/>
        </w:r>
        <w:r w:rsidR="007B3ADE">
          <w:rPr>
            <w:webHidden/>
          </w:rPr>
          <w:fldChar w:fldCharType="begin"/>
        </w:r>
        <w:r w:rsidR="007B3ADE">
          <w:rPr>
            <w:webHidden/>
          </w:rPr>
          <w:instrText xml:space="preserve"> PAGEREF _Toc41680814 \h </w:instrText>
        </w:r>
        <w:r w:rsidR="007B3ADE">
          <w:rPr>
            <w:webHidden/>
          </w:rPr>
        </w:r>
        <w:r w:rsidR="007B3ADE">
          <w:rPr>
            <w:webHidden/>
          </w:rPr>
          <w:fldChar w:fldCharType="separate"/>
        </w:r>
        <w:r w:rsidR="00AA68F8">
          <w:rPr>
            <w:webHidden/>
          </w:rPr>
          <w:t>1-15</w:t>
        </w:r>
        <w:r w:rsidR="007B3ADE">
          <w:rPr>
            <w:webHidden/>
          </w:rPr>
          <w:fldChar w:fldCharType="end"/>
        </w:r>
      </w:hyperlink>
    </w:p>
    <w:p w14:paraId="732BA66B" w14:textId="46560840" w:rsidR="007B3ADE" w:rsidRDefault="00C723CB">
      <w:pPr>
        <w:pStyle w:val="TOC4"/>
        <w:tabs>
          <w:tab w:val="left" w:pos="2700"/>
        </w:tabs>
        <w:rPr>
          <w:rFonts w:asciiTheme="minorHAnsi" w:eastAsiaTheme="minorEastAsia" w:hAnsiTheme="minorHAnsi" w:cstheme="minorBidi"/>
          <w:iCs w:val="0"/>
          <w:szCs w:val="22"/>
        </w:rPr>
      </w:pPr>
      <w:hyperlink w:anchor="_Toc41680815" w:history="1">
        <w:r w:rsidR="007B3ADE" w:rsidRPr="00700A31">
          <w:rPr>
            <w:rStyle w:val="Hyperlink"/>
          </w:rPr>
          <w:t>1.5.4.3</w:t>
        </w:r>
        <w:r w:rsidR="007B3ADE">
          <w:rPr>
            <w:rFonts w:asciiTheme="minorHAnsi" w:eastAsiaTheme="minorEastAsia" w:hAnsiTheme="minorHAnsi" w:cstheme="minorBidi"/>
            <w:iCs w:val="0"/>
            <w:szCs w:val="22"/>
          </w:rPr>
          <w:tab/>
        </w:r>
        <w:r w:rsidR="007B3ADE" w:rsidRPr="00700A31">
          <w:rPr>
            <w:rStyle w:val="Hyperlink"/>
          </w:rPr>
          <w:t>Digester Gas Management</w:t>
        </w:r>
        <w:r w:rsidR="007B3ADE">
          <w:rPr>
            <w:webHidden/>
          </w:rPr>
          <w:tab/>
        </w:r>
        <w:r w:rsidR="007B3ADE">
          <w:rPr>
            <w:webHidden/>
          </w:rPr>
          <w:fldChar w:fldCharType="begin"/>
        </w:r>
        <w:r w:rsidR="007B3ADE">
          <w:rPr>
            <w:webHidden/>
          </w:rPr>
          <w:instrText xml:space="preserve"> PAGEREF _Toc41680815 \h </w:instrText>
        </w:r>
        <w:r w:rsidR="007B3ADE">
          <w:rPr>
            <w:webHidden/>
          </w:rPr>
        </w:r>
        <w:r w:rsidR="007B3ADE">
          <w:rPr>
            <w:webHidden/>
          </w:rPr>
          <w:fldChar w:fldCharType="separate"/>
        </w:r>
        <w:r w:rsidR="00AA68F8">
          <w:rPr>
            <w:webHidden/>
          </w:rPr>
          <w:t>1-16</w:t>
        </w:r>
        <w:r w:rsidR="007B3ADE">
          <w:rPr>
            <w:webHidden/>
          </w:rPr>
          <w:fldChar w:fldCharType="end"/>
        </w:r>
      </w:hyperlink>
    </w:p>
    <w:p w14:paraId="6C9C3DD2" w14:textId="7B9CE298" w:rsidR="007B3ADE" w:rsidRDefault="00C723CB">
      <w:pPr>
        <w:pStyle w:val="TOC4"/>
        <w:tabs>
          <w:tab w:val="left" w:pos="2700"/>
        </w:tabs>
        <w:rPr>
          <w:rFonts w:asciiTheme="minorHAnsi" w:eastAsiaTheme="minorEastAsia" w:hAnsiTheme="minorHAnsi" w:cstheme="minorBidi"/>
          <w:iCs w:val="0"/>
          <w:szCs w:val="22"/>
        </w:rPr>
      </w:pPr>
      <w:hyperlink w:anchor="_Toc41680816" w:history="1">
        <w:r w:rsidR="007B3ADE" w:rsidRPr="00700A31">
          <w:rPr>
            <w:rStyle w:val="Hyperlink"/>
          </w:rPr>
          <w:t>1.5.4.4</w:t>
        </w:r>
        <w:r w:rsidR="007B3ADE">
          <w:rPr>
            <w:rFonts w:asciiTheme="minorHAnsi" w:eastAsiaTheme="minorEastAsia" w:hAnsiTheme="minorHAnsi" w:cstheme="minorBidi"/>
            <w:iCs w:val="0"/>
            <w:szCs w:val="22"/>
          </w:rPr>
          <w:tab/>
        </w:r>
        <w:r w:rsidR="007B3ADE" w:rsidRPr="00700A31">
          <w:rPr>
            <w:rStyle w:val="Hyperlink"/>
          </w:rPr>
          <w:t>Sludge Dewatering</w:t>
        </w:r>
        <w:r w:rsidR="007B3ADE">
          <w:rPr>
            <w:webHidden/>
          </w:rPr>
          <w:tab/>
        </w:r>
        <w:r w:rsidR="007B3ADE">
          <w:rPr>
            <w:webHidden/>
          </w:rPr>
          <w:fldChar w:fldCharType="begin"/>
        </w:r>
        <w:r w:rsidR="007B3ADE">
          <w:rPr>
            <w:webHidden/>
          </w:rPr>
          <w:instrText xml:space="preserve"> PAGEREF _Toc41680816 \h </w:instrText>
        </w:r>
        <w:r w:rsidR="007B3ADE">
          <w:rPr>
            <w:webHidden/>
          </w:rPr>
        </w:r>
        <w:r w:rsidR="007B3ADE">
          <w:rPr>
            <w:webHidden/>
          </w:rPr>
          <w:fldChar w:fldCharType="separate"/>
        </w:r>
        <w:r w:rsidR="00AA68F8">
          <w:rPr>
            <w:webHidden/>
          </w:rPr>
          <w:t>1-17</w:t>
        </w:r>
        <w:r w:rsidR="007B3ADE">
          <w:rPr>
            <w:webHidden/>
          </w:rPr>
          <w:fldChar w:fldCharType="end"/>
        </w:r>
      </w:hyperlink>
    </w:p>
    <w:p w14:paraId="40FC914F" w14:textId="4551C21F" w:rsidR="007B3ADE" w:rsidRDefault="00C723CB">
      <w:pPr>
        <w:pStyle w:val="TOC4"/>
        <w:tabs>
          <w:tab w:val="left" w:pos="2700"/>
        </w:tabs>
        <w:rPr>
          <w:rFonts w:asciiTheme="minorHAnsi" w:eastAsiaTheme="minorEastAsia" w:hAnsiTheme="minorHAnsi" w:cstheme="minorBidi"/>
          <w:iCs w:val="0"/>
          <w:szCs w:val="22"/>
        </w:rPr>
      </w:pPr>
      <w:hyperlink w:anchor="_Toc41680817" w:history="1">
        <w:r w:rsidR="007B3ADE" w:rsidRPr="00700A31">
          <w:rPr>
            <w:rStyle w:val="Hyperlink"/>
          </w:rPr>
          <w:t>1.5.4.5</w:t>
        </w:r>
        <w:r w:rsidR="007B3ADE">
          <w:rPr>
            <w:rFonts w:asciiTheme="minorHAnsi" w:eastAsiaTheme="minorEastAsia" w:hAnsiTheme="minorHAnsi" w:cstheme="minorBidi"/>
            <w:iCs w:val="0"/>
            <w:szCs w:val="22"/>
          </w:rPr>
          <w:tab/>
        </w:r>
        <w:r w:rsidR="007B3ADE" w:rsidRPr="00700A31">
          <w:rPr>
            <w:rStyle w:val="Hyperlink"/>
          </w:rPr>
          <w:t>Solids Storage</w:t>
        </w:r>
        <w:r w:rsidR="007B3ADE">
          <w:rPr>
            <w:webHidden/>
          </w:rPr>
          <w:tab/>
        </w:r>
        <w:r w:rsidR="007B3ADE">
          <w:rPr>
            <w:webHidden/>
          </w:rPr>
          <w:fldChar w:fldCharType="begin"/>
        </w:r>
        <w:r w:rsidR="007B3ADE">
          <w:rPr>
            <w:webHidden/>
          </w:rPr>
          <w:instrText xml:space="preserve"> PAGEREF _Toc41680817 \h </w:instrText>
        </w:r>
        <w:r w:rsidR="007B3ADE">
          <w:rPr>
            <w:webHidden/>
          </w:rPr>
        </w:r>
        <w:r w:rsidR="007B3ADE">
          <w:rPr>
            <w:webHidden/>
          </w:rPr>
          <w:fldChar w:fldCharType="separate"/>
        </w:r>
        <w:r w:rsidR="00AA68F8">
          <w:rPr>
            <w:webHidden/>
          </w:rPr>
          <w:t>1-17</w:t>
        </w:r>
        <w:r w:rsidR="007B3ADE">
          <w:rPr>
            <w:webHidden/>
          </w:rPr>
          <w:fldChar w:fldCharType="end"/>
        </w:r>
      </w:hyperlink>
    </w:p>
    <w:p w14:paraId="345F4C75" w14:textId="0E6F661D" w:rsidR="007B3ADE" w:rsidRDefault="00C723CB">
      <w:pPr>
        <w:pStyle w:val="TOC3"/>
        <w:tabs>
          <w:tab w:val="left" w:pos="1980"/>
        </w:tabs>
        <w:rPr>
          <w:rFonts w:asciiTheme="minorHAnsi" w:eastAsiaTheme="minorEastAsia" w:hAnsiTheme="minorHAnsi" w:cstheme="minorBidi"/>
          <w:iCs w:val="0"/>
        </w:rPr>
      </w:pPr>
      <w:hyperlink w:anchor="_Toc41680818" w:history="1">
        <w:r w:rsidR="007B3ADE" w:rsidRPr="00700A31">
          <w:rPr>
            <w:rStyle w:val="Hyperlink"/>
          </w:rPr>
          <w:t>1.5.5</w:t>
        </w:r>
        <w:r w:rsidR="007B3ADE">
          <w:rPr>
            <w:rFonts w:asciiTheme="minorHAnsi" w:eastAsiaTheme="minorEastAsia" w:hAnsiTheme="minorHAnsi" w:cstheme="minorBidi"/>
            <w:iCs w:val="0"/>
          </w:rPr>
          <w:tab/>
        </w:r>
        <w:r w:rsidR="007B3ADE" w:rsidRPr="00700A31">
          <w:rPr>
            <w:rStyle w:val="Hyperlink"/>
          </w:rPr>
          <w:t>Disinfection</w:t>
        </w:r>
        <w:r w:rsidR="007B3ADE">
          <w:rPr>
            <w:webHidden/>
          </w:rPr>
          <w:tab/>
        </w:r>
        <w:r w:rsidR="007B3ADE">
          <w:rPr>
            <w:webHidden/>
          </w:rPr>
          <w:fldChar w:fldCharType="begin"/>
        </w:r>
        <w:r w:rsidR="007B3ADE">
          <w:rPr>
            <w:webHidden/>
          </w:rPr>
          <w:instrText xml:space="preserve"> PAGEREF _Toc41680818 \h </w:instrText>
        </w:r>
        <w:r w:rsidR="007B3ADE">
          <w:rPr>
            <w:webHidden/>
          </w:rPr>
        </w:r>
        <w:r w:rsidR="007B3ADE">
          <w:rPr>
            <w:webHidden/>
          </w:rPr>
          <w:fldChar w:fldCharType="separate"/>
        </w:r>
        <w:r w:rsidR="00AA68F8">
          <w:rPr>
            <w:webHidden/>
          </w:rPr>
          <w:t>1-18</w:t>
        </w:r>
        <w:r w:rsidR="007B3ADE">
          <w:rPr>
            <w:webHidden/>
          </w:rPr>
          <w:fldChar w:fldCharType="end"/>
        </w:r>
      </w:hyperlink>
    </w:p>
    <w:p w14:paraId="4704E64A" w14:textId="29245039" w:rsidR="007B3ADE" w:rsidRDefault="00C723CB">
      <w:pPr>
        <w:pStyle w:val="TOC3"/>
        <w:tabs>
          <w:tab w:val="left" w:pos="1980"/>
        </w:tabs>
        <w:rPr>
          <w:rFonts w:asciiTheme="minorHAnsi" w:eastAsiaTheme="minorEastAsia" w:hAnsiTheme="minorHAnsi" w:cstheme="minorBidi"/>
          <w:iCs w:val="0"/>
        </w:rPr>
      </w:pPr>
      <w:hyperlink w:anchor="_Toc41680819" w:history="1">
        <w:r w:rsidR="007B3ADE" w:rsidRPr="00700A31">
          <w:rPr>
            <w:rStyle w:val="Hyperlink"/>
          </w:rPr>
          <w:t>1.5.6</w:t>
        </w:r>
        <w:r w:rsidR="007B3ADE">
          <w:rPr>
            <w:rFonts w:asciiTheme="minorHAnsi" w:eastAsiaTheme="minorEastAsia" w:hAnsiTheme="minorHAnsi" w:cstheme="minorBidi"/>
            <w:iCs w:val="0"/>
          </w:rPr>
          <w:tab/>
        </w:r>
        <w:r w:rsidR="007B3ADE" w:rsidRPr="00700A31">
          <w:rPr>
            <w:rStyle w:val="Hyperlink"/>
          </w:rPr>
          <w:t>Odor Control</w:t>
        </w:r>
        <w:r w:rsidR="007B3ADE">
          <w:rPr>
            <w:webHidden/>
          </w:rPr>
          <w:tab/>
        </w:r>
        <w:r w:rsidR="007B3ADE">
          <w:rPr>
            <w:webHidden/>
          </w:rPr>
          <w:fldChar w:fldCharType="begin"/>
        </w:r>
        <w:r w:rsidR="007B3ADE">
          <w:rPr>
            <w:webHidden/>
          </w:rPr>
          <w:instrText xml:space="preserve"> PAGEREF _Toc41680819 \h </w:instrText>
        </w:r>
        <w:r w:rsidR="007B3ADE">
          <w:rPr>
            <w:webHidden/>
          </w:rPr>
        </w:r>
        <w:r w:rsidR="007B3ADE">
          <w:rPr>
            <w:webHidden/>
          </w:rPr>
          <w:fldChar w:fldCharType="separate"/>
        </w:r>
        <w:r w:rsidR="00AA68F8">
          <w:rPr>
            <w:webHidden/>
          </w:rPr>
          <w:t>1-18</w:t>
        </w:r>
        <w:r w:rsidR="007B3ADE">
          <w:rPr>
            <w:webHidden/>
          </w:rPr>
          <w:fldChar w:fldCharType="end"/>
        </w:r>
      </w:hyperlink>
    </w:p>
    <w:p w14:paraId="22039128" w14:textId="6B2F7215" w:rsidR="007B3ADE" w:rsidRDefault="00C723CB">
      <w:pPr>
        <w:pStyle w:val="TOC1"/>
        <w:rPr>
          <w:rFonts w:asciiTheme="minorHAnsi" w:eastAsiaTheme="minorEastAsia" w:hAnsiTheme="minorHAnsi" w:cstheme="minorBidi"/>
          <w:bCs w:val="0"/>
        </w:rPr>
      </w:pPr>
      <w:hyperlink w:anchor="_Toc41680820" w:history="1">
        <w:r w:rsidR="007B3ADE" w:rsidRPr="00700A31">
          <w:rPr>
            <w:rStyle w:val="Hyperlink"/>
          </w:rPr>
          <w:t>2.</w:t>
        </w:r>
        <w:r w:rsidR="007B3ADE">
          <w:rPr>
            <w:rFonts w:asciiTheme="minorHAnsi" w:eastAsiaTheme="minorEastAsia" w:hAnsiTheme="minorHAnsi" w:cstheme="minorBidi"/>
            <w:bCs w:val="0"/>
          </w:rPr>
          <w:tab/>
        </w:r>
        <w:r w:rsidR="007B3ADE" w:rsidRPr="00700A31">
          <w:rPr>
            <w:rStyle w:val="Hyperlink"/>
          </w:rPr>
          <w:t>Asset Inventory</w:t>
        </w:r>
        <w:r w:rsidR="007B3ADE">
          <w:rPr>
            <w:webHidden/>
          </w:rPr>
          <w:tab/>
        </w:r>
        <w:r w:rsidR="007B3ADE">
          <w:rPr>
            <w:webHidden/>
          </w:rPr>
          <w:fldChar w:fldCharType="begin"/>
        </w:r>
        <w:r w:rsidR="007B3ADE">
          <w:rPr>
            <w:webHidden/>
          </w:rPr>
          <w:instrText xml:space="preserve"> PAGEREF _Toc41680820 \h </w:instrText>
        </w:r>
        <w:r w:rsidR="007B3ADE">
          <w:rPr>
            <w:webHidden/>
          </w:rPr>
        </w:r>
        <w:r w:rsidR="007B3ADE">
          <w:rPr>
            <w:webHidden/>
          </w:rPr>
          <w:fldChar w:fldCharType="separate"/>
        </w:r>
        <w:r w:rsidR="00AA68F8">
          <w:rPr>
            <w:webHidden/>
          </w:rPr>
          <w:t>2-1</w:t>
        </w:r>
        <w:r w:rsidR="007B3ADE">
          <w:rPr>
            <w:webHidden/>
          </w:rPr>
          <w:fldChar w:fldCharType="end"/>
        </w:r>
      </w:hyperlink>
    </w:p>
    <w:p w14:paraId="7DE47110" w14:textId="0ED0DFB9" w:rsidR="007B3ADE" w:rsidRDefault="00C723CB">
      <w:pPr>
        <w:pStyle w:val="TOC2"/>
        <w:rPr>
          <w:rFonts w:asciiTheme="minorHAnsi" w:eastAsiaTheme="minorEastAsia" w:hAnsiTheme="minorHAnsi" w:cstheme="minorBidi"/>
          <w:noProof/>
        </w:rPr>
      </w:pPr>
      <w:hyperlink w:anchor="_Toc41680821" w:history="1">
        <w:r w:rsidR="007B3ADE" w:rsidRPr="00700A31">
          <w:rPr>
            <w:rStyle w:val="Hyperlink"/>
            <w:noProof/>
          </w:rPr>
          <w:t>2.1</w:t>
        </w:r>
        <w:r w:rsidR="007B3ADE">
          <w:rPr>
            <w:rFonts w:asciiTheme="minorHAnsi" w:eastAsiaTheme="minorEastAsia" w:hAnsiTheme="minorHAnsi" w:cstheme="minorBidi"/>
            <w:noProof/>
          </w:rPr>
          <w:tab/>
        </w:r>
        <w:r w:rsidR="007B3ADE" w:rsidRPr="00700A31">
          <w:rPr>
            <w:rStyle w:val="Hyperlink"/>
            <w:noProof/>
          </w:rPr>
          <w:t>Introduction</w:t>
        </w:r>
        <w:r w:rsidR="007B3ADE">
          <w:rPr>
            <w:noProof/>
            <w:webHidden/>
          </w:rPr>
          <w:tab/>
        </w:r>
        <w:r w:rsidR="007B3ADE">
          <w:rPr>
            <w:noProof/>
            <w:webHidden/>
          </w:rPr>
          <w:fldChar w:fldCharType="begin"/>
        </w:r>
        <w:r w:rsidR="007B3ADE">
          <w:rPr>
            <w:noProof/>
            <w:webHidden/>
          </w:rPr>
          <w:instrText xml:space="preserve"> PAGEREF _Toc41680821 \h </w:instrText>
        </w:r>
        <w:r w:rsidR="007B3ADE">
          <w:rPr>
            <w:noProof/>
            <w:webHidden/>
          </w:rPr>
        </w:r>
        <w:r w:rsidR="007B3ADE">
          <w:rPr>
            <w:noProof/>
            <w:webHidden/>
          </w:rPr>
          <w:fldChar w:fldCharType="separate"/>
        </w:r>
        <w:r w:rsidR="00AA68F8">
          <w:rPr>
            <w:noProof/>
            <w:webHidden/>
          </w:rPr>
          <w:t>2-1</w:t>
        </w:r>
        <w:r w:rsidR="007B3ADE">
          <w:rPr>
            <w:noProof/>
            <w:webHidden/>
          </w:rPr>
          <w:fldChar w:fldCharType="end"/>
        </w:r>
      </w:hyperlink>
    </w:p>
    <w:p w14:paraId="3FD2623B" w14:textId="2EC89209" w:rsidR="007B3ADE" w:rsidRDefault="00C723CB">
      <w:pPr>
        <w:pStyle w:val="TOC2"/>
        <w:rPr>
          <w:rFonts w:asciiTheme="minorHAnsi" w:eastAsiaTheme="minorEastAsia" w:hAnsiTheme="minorHAnsi" w:cstheme="minorBidi"/>
          <w:noProof/>
        </w:rPr>
      </w:pPr>
      <w:hyperlink w:anchor="_Toc41680822" w:history="1">
        <w:r w:rsidR="007B3ADE" w:rsidRPr="00700A31">
          <w:rPr>
            <w:rStyle w:val="Hyperlink"/>
            <w:noProof/>
          </w:rPr>
          <w:t>2.2</w:t>
        </w:r>
        <w:r w:rsidR="007B3ADE">
          <w:rPr>
            <w:rFonts w:asciiTheme="minorHAnsi" w:eastAsiaTheme="minorEastAsia" w:hAnsiTheme="minorHAnsi" w:cstheme="minorBidi"/>
            <w:noProof/>
          </w:rPr>
          <w:tab/>
        </w:r>
        <w:r w:rsidR="007B3ADE" w:rsidRPr="00700A31">
          <w:rPr>
            <w:rStyle w:val="Hyperlink"/>
            <w:noProof/>
          </w:rPr>
          <w:t>Data Collection</w:t>
        </w:r>
        <w:r w:rsidR="007B3ADE">
          <w:rPr>
            <w:noProof/>
            <w:webHidden/>
          </w:rPr>
          <w:tab/>
        </w:r>
        <w:r w:rsidR="007B3ADE">
          <w:rPr>
            <w:noProof/>
            <w:webHidden/>
          </w:rPr>
          <w:fldChar w:fldCharType="begin"/>
        </w:r>
        <w:r w:rsidR="007B3ADE">
          <w:rPr>
            <w:noProof/>
            <w:webHidden/>
          </w:rPr>
          <w:instrText xml:space="preserve"> PAGEREF _Toc41680822 \h </w:instrText>
        </w:r>
        <w:r w:rsidR="007B3ADE">
          <w:rPr>
            <w:noProof/>
            <w:webHidden/>
          </w:rPr>
        </w:r>
        <w:r w:rsidR="007B3ADE">
          <w:rPr>
            <w:noProof/>
            <w:webHidden/>
          </w:rPr>
          <w:fldChar w:fldCharType="separate"/>
        </w:r>
        <w:r w:rsidR="00AA68F8">
          <w:rPr>
            <w:noProof/>
            <w:webHidden/>
          </w:rPr>
          <w:t>2-1</w:t>
        </w:r>
        <w:r w:rsidR="007B3ADE">
          <w:rPr>
            <w:noProof/>
            <w:webHidden/>
          </w:rPr>
          <w:fldChar w:fldCharType="end"/>
        </w:r>
      </w:hyperlink>
    </w:p>
    <w:p w14:paraId="050F4F2C" w14:textId="44C312DE" w:rsidR="007B3ADE" w:rsidRDefault="00C723CB">
      <w:pPr>
        <w:pStyle w:val="TOC3"/>
        <w:tabs>
          <w:tab w:val="left" w:pos="1980"/>
        </w:tabs>
        <w:rPr>
          <w:rFonts w:asciiTheme="minorHAnsi" w:eastAsiaTheme="minorEastAsia" w:hAnsiTheme="minorHAnsi" w:cstheme="minorBidi"/>
          <w:iCs w:val="0"/>
        </w:rPr>
      </w:pPr>
      <w:hyperlink w:anchor="_Toc41680823" w:history="1">
        <w:r w:rsidR="007B3ADE" w:rsidRPr="00700A31">
          <w:rPr>
            <w:rStyle w:val="Hyperlink"/>
          </w:rPr>
          <w:t>2.2.1</w:t>
        </w:r>
        <w:r w:rsidR="007B3ADE">
          <w:rPr>
            <w:rFonts w:asciiTheme="minorHAnsi" w:eastAsiaTheme="minorEastAsia" w:hAnsiTheme="minorHAnsi" w:cstheme="minorBidi"/>
            <w:iCs w:val="0"/>
          </w:rPr>
          <w:tab/>
        </w:r>
        <w:r w:rsidR="007B3ADE" w:rsidRPr="00700A31">
          <w:rPr>
            <w:rStyle w:val="Hyperlink"/>
          </w:rPr>
          <w:t>Above-Ground Assets</w:t>
        </w:r>
        <w:r w:rsidR="007B3ADE">
          <w:rPr>
            <w:webHidden/>
          </w:rPr>
          <w:tab/>
        </w:r>
        <w:r w:rsidR="007B3ADE">
          <w:rPr>
            <w:webHidden/>
          </w:rPr>
          <w:fldChar w:fldCharType="begin"/>
        </w:r>
        <w:r w:rsidR="007B3ADE">
          <w:rPr>
            <w:webHidden/>
          </w:rPr>
          <w:instrText xml:space="preserve"> PAGEREF _Toc41680823 \h </w:instrText>
        </w:r>
        <w:r w:rsidR="007B3ADE">
          <w:rPr>
            <w:webHidden/>
          </w:rPr>
        </w:r>
        <w:r w:rsidR="007B3ADE">
          <w:rPr>
            <w:webHidden/>
          </w:rPr>
          <w:fldChar w:fldCharType="separate"/>
        </w:r>
        <w:r w:rsidR="00AA68F8">
          <w:rPr>
            <w:webHidden/>
          </w:rPr>
          <w:t>2-2</w:t>
        </w:r>
        <w:r w:rsidR="007B3ADE">
          <w:rPr>
            <w:webHidden/>
          </w:rPr>
          <w:fldChar w:fldCharType="end"/>
        </w:r>
      </w:hyperlink>
    </w:p>
    <w:p w14:paraId="375D0761" w14:textId="404F3189" w:rsidR="007B3ADE" w:rsidRDefault="00C723CB">
      <w:pPr>
        <w:pStyle w:val="TOC3"/>
        <w:tabs>
          <w:tab w:val="left" w:pos="1980"/>
        </w:tabs>
        <w:rPr>
          <w:rFonts w:asciiTheme="minorHAnsi" w:eastAsiaTheme="minorEastAsia" w:hAnsiTheme="minorHAnsi" w:cstheme="minorBidi"/>
          <w:iCs w:val="0"/>
        </w:rPr>
      </w:pPr>
      <w:hyperlink w:anchor="_Toc41680824" w:history="1">
        <w:r w:rsidR="007B3ADE" w:rsidRPr="00700A31">
          <w:rPr>
            <w:rStyle w:val="Hyperlink"/>
          </w:rPr>
          <w:t>2.2.2</w:t>
        </w:r>
        <w:r w:rsidR="007B3ADE">
          <w:rPr>
            <w:rFonts w:asciiTheme="minorHAnsi" w:eastAsiaTheme="minorEastAsia" w:hAnsiTheme="minorHAnsi" w:cstheme="minorBidi"/>
            <w:iCs w:val="0"/>
          </w:rPr>
          <w:tab/>
        </w:r>
        <w:r w:rsidR="007B3ADE" w:rsidRPr="00700A31">
          <w:rPr>
            <w:rStyle w:val="Hyperlink"/>
          </w:rPr>
          <w:t>Yard Piping</w:t>
        </w:r>
        <w:r w:rsidR="007B3ADE">
          <w:rPr>
            <w:webHidden/>
          </w:rPr>
          <w:tab/>
        </w:r>
        <w:r w:rsidR="007B3ADE">
          <w:rPr>
            <w:webHidden/>
          </w:rPr>
          <w:fldChar w:fldCharType="begin"/>
        </w:r>
        <w:r w:rsidR="007B3ADE">
          <w:rPr>
            <w:webHidden/>
          </w:rPr>
          <w:instrText xml:space="preserve"> PAGEREF _Toc41680824 \h </w:instrText>
        </w:r>
        <w:r w:rsidR="007B3ADE">
          <w:rPr>
            <w:webHidden/>
          </w:rPr>
        </w:r>
        <w:r w:rsidR="007B3ADE">
          <w:rPr>
            <w:webHidden/>
          </w:rPr>
          <w:fldChar w:fldCharType="separate"/>
        </w:r>
        <w:r w:rsidR="00AA68F8">
          <w:rPr>
            <w:webHidden/>
          </w:rPr>
          <w:t>2-2</w:t>
        </w:r>
        <w:r w:rsidR="007B3ADE">
          <w:rPr>
            <w:webHidden/>
          </w:rPr>
          <w:fldChar w:fldCharType="end"/>
        </w:r>
      </w:hyperlink>
    </w:p>
    <w:p w14:paraId="06F0D727" w14:textId="6CD7416E" w:rsidR="007B3ADE" w:rsidRDefault="00C723CB">
      <w:pPr>
        <w:pStyle w:val="TOC3"/>
        <w:tabs>
          <w:tab w:val="left" w:pos="1980"/>
        </w:tabs>
        <w:rPr>
          <w:rFonts w:asciiTheme="minorHAnsi" w:eastAsiaTheme="minorEastAsia" w:hAnsiTheme="minorHAnsi" w:cstheme="minorBidi"/>
          <w:iCs w:val="0"/>
        </w:rPr>
      </w:pPr>
      <w:hyperlink w:anchor="_Toc41680825" w:history="1">
        <w:r w:rsidR="007B3ADE" w:rsidRPr="00700A31">
          <w:rPr>
            <w:rStyle w:val="Hyperlink"/>
          </w:rPr>
          <w:t>2.2.3</w:t>
        </w:r>
        <w:r w:rsidR="007B3ADE">
          <w:rPr>
            <w:rFonts w:asciiTheme="minorHAnsi" w:eastAsiaTheme="minorEastAsia" w:hAnsiTheme="minorHAnsi" w:cstheme="minorBidi"/>
            <w:iCs w:val="0"/>
          </w:rPr>
          <w:tab/>
        </w:r>
        <w:r w:rsidR="007B3ADE" w:rsidRPr="00700A31">
          <w:rPr>
            <w:rStyle w:val="Hyperlink"/>
          </w:rPr>
          <w:t>Data Attributes</w:t>
        </w:r>
        <w:r w:rsidR="007B3ADE">
          <w:rPr>
            <w:webHidden/>
          </w:rPr>
          <w:tab/>
        </w:r>
        <w:r w:rsidR="007B3ADE">
          <w:rPr>
            <w:webHidden/>
          </w:rPr>
          <w:fldChar w:fldCharType="begin"/>
        </w:r>
        <w:r w:rsidR="007B3ADE">
          <w:rPr>
            <w:webHidden/>
          </w:rPr>
          <w:instrText xml:space="preserve"> PAGEREF _Toc41680825 \h </w:instrText>
        </w:r>
        <w:r w:rsidR="007B3ADE">
          <w:rPr>
            <w:webHidden/>
          </w:rPr>
        </w:r>
        <w:r w:rsidR="007B3ADE">
          <w:rPr>
            <w:webHidden/>
          </w:rPr>
          <w:fldChar w:fldCharType="separate"/>
        </w:r>
        <w:r w:rsidR="00AA68F8">
          <w:rPr>
            <w:webHidden/>
          </w:rPr>
          <w:t>2-5</w:t>
        </w:r>
        <w:r w:rsidR="007B3ADE">
          <w:rPr>
            <w:webHidden/>
          </w:rPr>
          <w:fldChar w:fldCharType="end"/>
        </w:r>
      </w:hyperlink>
    </w:p>
    <w:p w14:paraId="607AAE82" w14:textId="33333D63" w:rsidR="007B3ADE" w:rsidRDefault="00C723CB">
      <w:pPr>
        <w:pStyle w:val="TOC2"/>
        <w:rPr>
          <w:rFonts w:asciiTheme="minorHAnsi" w:eastAsiaTheme="minorEastAsia" w:hAnsiTheme="minorHAnsi" w:cstheme="minorBidi"/>
          <w:noProof/>
        </w:rPr>
      </w:pPr>
      <w:hyperlink w:anchor="_Toc41680826" w:history="1">
        <w:r w:rsidR="007B3ADE" w:rsidRPr="00700A31">
          <w:rPr>
            <w:rStyle w:val="Hyperlink"/>
            <w:noProof/>
          </w:rPr>
          <w:t>2.3</w:t>
        </w:r>
        <w:r w:rsidR="007B3ADE">
          <w:rPr>
            <w:rFonts w:asciiTheme="minorHAnsi" w:eastAsiaTheme="minorEastAsia" w:hAnsiTheme="minorHAnsi" w:cstheme="minorBidi"/>
            <w:noProof/>
          </w:rPr>
          <w:tab/>
        </w:r>
        <w:r w:rsidR="007B3ADE" w:rsidRPr="00700A31">
          <w:rPr>
            <w:rStyle w:val="Hyperlink"/>
            <w:noProof/>
          </w:rPr>
          <w:t>Asset Register Framework</w:t>
        </w:r>
        <w:r w:rsidR="007B3ADE">
          <w:rPr>
            <w:noProof/>
            <w:webHidden/>
          </w:rPr>
          <w:tab/>
        </w:r>
        <w:r w:rsidR="007B3ADE">
          <w:rPr>
            <w:noProof/>
            <w:webHidden/>
          </w:rPr>
          <w:fldChar w:fldCharType="begin"/>
        </w:r>
        <w:r w:rsidR="007B3ADE">
          <w:rPr>
            <w:noProof/>
            <w:webHidden/>
          </w:rPr>
          <w:instrText xml:space="preserve"> PAGEREF _Toc41680826 \h </w:instrText>
        </w:r>
        <w:r w:rsidR="007B3ADE">
          <w:rPr>
            <w:noProof/>
            <w:webHidden/>
          </w:rPr>
        </w:r>
        <w:r w:rsidR="007B3ADE">
          <w:rPr>
            <w:noProof/>
            <w:webHidden/>
          </w:rPr>
          <w:fldChar w:fldCharType="separate"/>
        </w:r>
        <w:r w:rsidR="00AA68F8">
          <w:rPr>
            <w:noProof/>
            <w:webHidden/>
          </w:rPr>
          <w:t>2-5</w:t>
        </w:r>
        <w:r w:rsidR="007B3ADE">
          <w:rPr>
            <w:noProof/>
            <w:webHidden/>
          </w:rPr>
          <w:fldChar w:fldCharType="end"/>
        </w:r>
      </w:hyperlink>
    </w:p>
    <w:p w14:paraId="5D85AC08" w14:textId="184D6178" w:rsidR="007B3ADE" w:rsidRDefault="00C723CB">
      <w:pPr>
        <w:pStyle w:val="TOC3"/>
        <w:tabs>
          <w:tab w:val="left" w:pos="1980"/>
        </w:tabs>
        <w:rPr>
          <w:rFonts w:asciiTheme="minorHAnsi" w:eastAsiaTheme="minorEastAsia" w:hAnsiTheme="minorHAnsi" w:cstheme="minorBidi"/>
          <w:iCs w:val="0"/>
        </w:rPr>
      </w:pPr>
      <w:hyperlink w:anchor="_Toc41680827" w:history="1">
        <w:r w:rsidR="007B3ADE" w:rsidRPr="00700A31">
          <w:rPr>
            <w:rStyle w:val="Hyperlink"/>
          </w:rPr>
          <w:t>2.3.1</w:t>
        </w:r>
        <w:r w:rsidR="007B3ADE">
          <w:rPr>
            <w:rFonts w:asciiTheme="minorHAnsi" w:eastAsiaTheme="minorEastAsia" w:hAnsiTheme="minorHAnsi" w:cstheme="minorBidi"/>
            <w:iCs w:val="0"/>
          </w:rPr>
          <w:tab/>
        </w:r>
        <w:r w:rsidR="007B3ADE" w:rsidRPr="00700A31">
          <w:rPr>
            <w:rStyle w:val="Hyperlink"/>
          </w:rPr>
          <w:t>Asset Identification and Asset Tagging System</w:t>
        </w:r>
        <w:r w:rsidR="007B3ADE">
          <w:rPr>
            <w:webHidden/>
          </w:rPr>
          <w:tab/>
        </w:r>
        <w:r w:rsidR="007B3ADE">
          <w:rPr>
            <w:webHidden/>
          </w:rPr>
          <w:fldChar w:fldCharType="begin"/>
        </w:r>
        <w:r w:rsidR="007B3ADE">
          <w:rPr>
            <w:webHidden/>
          </w:rPr>
          <w:instrText xml:space="preserve"> PAGEREF _Toc41680827 \h </w:instrText>
        </w:r>
        <w:r w:rsidR="007B3ADE">
          <w:rPr>
            <w:webHidden/>
          </w:rPr>
        </w:r>
        <w:r w:rsidR="007B3ADE">
          <w:rPr>
            <w:webHidden/>
          </w:rPr>
          <w:fldChar w:fldCharType="separate"/>
        </w:r>
        <w:r w:rsidR="00AA68F8">
          <w:rPr>
            <w:webHidden/>
          </w:rPr>
          <w:t>2-8</w:t>
        </w:r>
        <w:r w:rsidR="007B3ADE">
          <w:rPr>
            <w:webHidden/>
          </w:rPr>
          <w:fldChar w:fldCharType="end"/>
        </w:r>
      </w:hyperlink>
    </w:p>
    <w:p w14:paraId="6C25A3F1" w14:textId="1BB1F07E" w:rsidR="007B3ADE" w:rsidRDefault="00C723CB">
      <w:pPr>
        <w:pStyle w:val="TOC2"/>
        <w:rPr>
          <w:rFonts w:asciiTheme="minorHAnsi" w:eastAsiaTheme="minorEastAsia" w:hAnsiTheme="minorHAnsi" w:cstheme="minorBidi"/>
          <w:noProof/>
        </w:rPr>
      </w:pPr>
      <w:hyperlink w:anchor="_Toc41680828" w:history="1">
        <w:r w:rsidR="007B3ADE" w:rsidRPr="00700A31">
          <w:rPr>
            <w:rStyle w:val="Hyperlink"/>
            <w:noProof/>
          </w:rPr>
          <w:t>2.4</w:t>
        </w:r>
        <w:r w:rsidR="007B3ADE">
          <w:rPr>
            <w:rFonts w:asciiTheme="minorHAnsi" w:eastAsiaTheme="minorEastAsia" w:hAnsiTheme="minorHAnsi" w:cstheme="minorBidi"/>
            <w:noProof/>
          </w:rPr>
          <w:tab/>
        </w:r>
        <w:r w:rsidR="007B3ADE" w:rsidRPr="00700A31">
          <w:rPr>
            <w:rStyle w:val="Hyperlink"/>
            <w:noProof/>
          </w:rPr>
          <w:t>Summary</w:t>
        </w:r>
        <w:r w:rsidR="007B3ADE">
          <w:rPr>
            <w:noProof/>
            <w:webHidden/>
          </w:rPr>
          <w:tab/>
        </w:r>
        <w:r w:rsidR="007B3ADE">
          <w:rPr>
            <w:noProof/>
            <w:webHidden/>
          </w:rPr>
          <w:fldChar w:fldCharType="begin"/>
        </w:r>
        <w:r w:rsidR="007B3ADE">
          <w:rPr>
            <w:noProof/>
            <w:webHidden/>
          </w:rPr>
          <w:instrText xml:space="preserve"> PAGEREF _Toc41680828 \h </w:instrText>
        </w:r>
        <w:r w:rsidR="007B3ADE">
          <w:rPr>
            <w:noProof/>
            <w:webHidden/>
          </w:rPr>
        </w:r>
        <w:r w:rsidR="007B3ADE">
          <w:rPr>
            <w:noProof/>
            <w:webHidden/>
          </w:rPr>
          <w:fldChar w:fldCharType="separate"/>
        </w:r>
        <w:r w:rsidR="00AA68F8">
          <w:rPr>
            <w:noProof/>
            <w:webHidden/>
          </w:rPr>
          <w:t>2-8</w:t>
        </w:r>
        <w:r w:rsidR="007B3ADE">
          <w:rPr>
            <w:noProof/>
            <w:webHidden/>
          </w:rPr>
          <w:fldChar w:fldCharType="end"/>
        </w:r>
      </w:hyperlink>
    </w:p>
    <w:p w14:paraId="7B0F4A1C" w14:textId="549862A4" w:rsidR="007B3ADE" w:rsidRDefault="00C723CB">
      <w:pPr>
        <w:pStyle w:val="TOC1"/>
        <w:rPr>
          <w:rFonts w:asciiTheme="minorHAnsi" w:eastAsiaTheme="minorEastAsia" w:hAnsiTheme="minorHAnsi" w:cstheme="minorBidi"/>
          <w:bCs w:val="0"/>
        </w:rPr>
      </w:pPr>
      <w:hyperlink w:anchor="_Toc41680829" w:history="1">
        <w:r w:rsidR="007B3ADE" w:rsidRPr="00700A31">
          <w:rPr>
            <w:rStyle w:val="Hyperlink"/>
          </w:rPr>
          <w:t>3.</w:t>
        </w:r>
        <w:r w:rsidR="007B3ADE">
          <w:rPr>
            <w:rFonts w:asciiTheme="minorHAnsi" w:eastAsiaTheme="minorEastAsia" w:hAnsiTheme="minorHAnsi" w:cstheme="minorBidi"/>
            <w:bCs w:val="0"/>
          </w:rPr>
          <w:tab/>
        </w:r>
        <w:r w:rsidR="007B3ADE" w:rsidRPr="00700A31">
          <w:rPr>
            <w:rStyle w:val="Hyperlink"/>
          </w:rPr>
          <w:t>Condition Assessment</w:t>
        </w:r>
        <w:r w:rsidR="007B3ADE">
          <w:rPr>
            <w:webHidden/>
          </w:rPr>
          <w:tab/>
        </w:r>
        <w:r w:rsidR="007B3ADE">
          <w:rPr>
            <w:webHidden/>
          </w:rPr>
          <w:fldChar w:fldCharType="begin"/>
        </w:r>
        <w:r w:rsidR="007B3ADE">
          <w:rPr>
            <w:webHidden/>
          </w:rPr>
          <w:instrText xml:space="preserve"> PAGEREF _Toc41680829 \h </w:instrText>
        </w:r>
        <w:r w:rsidR="007B3ADE">
          <w:rPr>
            <w:webHidden/>
          </w:rPr>
        </w:r>
        <w:r w:rsidR="007B3ADE">
          <w:rPr>
            <w:webHidden/>
          </w:rPr>
          <w:fldChar w:fldCharType="separate"/>
        </w:r>
        <w:r w:rsidR="00AA68F8">
          <w:rPr>
            <w:webHidden/>
          </w:rPr>
          <w:t>3-1</w:t>
        </w:r>
        <w:r w:rsidR="007B3ADE">
          <w:rPr>
            <w:webHidden/>
          </w:rPr>
          <w:fldChar w:fldCharType="end"/>
        </w:r>
      </w:hyperlink>
    </w:p>
    <w:p w14:paraId="149B143A" w14:textId="13A27A5A" w:rsidR="007B3ADE" w:rsidRDefault="00C723CB">
      <w:pPr>
        <w:pStyle w:val="TOC2"/>
        <w:rPr>
          <w:rFonts w:asciiTheme="minorHAnsi" w:eastAsiaTheme="minorEastAsia" w:hAnsiTheme="minorHAnsi" w:cstheme="minorBidi"/>
          <w:noProof/>
        </w:rPr>
      </w:pPr>
      <w:hyperlink w:anchor="_Toc41680830" w:history="1">
        <w:r w:rsidR="007B3ADE" w:rsidRPr="00700A31">
          <w:rPr>
            <w:rStyle w:val="Hyperlink"/>
            <w:noProof/>
          </w:rPr>
          <w:t>3.1</w:t>
        </w:r>
        <w:r w:rsidR="007B3ADE">
          <w:rPr>
            <w:rFonts w:asciiTheme="minorHAnsi" w:eastAsiaTheme="minorEastAsia" w:hAnsiTheme="minorHAnsi" w:cstheme="minorBidi"/>
            <w:noProof/>
          </w:rPr>
          <w:tab/>
        </w:r>
        <w:r w:rsidR="007B3ADE" w:rsidRPr="00700A31">
          <w:rPr>
            <w:rStyle w:val="Hyperlink"/>
            <w:noProof/>
          </w:rPr>
          <w:t>Condition Assessment</w:t>
        </w:r>
        <w:r w:rsidR="007B3ADE">
          <w:rPr>
            <w:noProof/>
            <w:webHidden/>
          </w:rPr>
          <w:tab/>
        </w:r>
        <w:r w:rsidR="007B3ADE">
          <w:rPr>
            <w:noProof/>
            <w:webHidden/>
          </w:rPr>
          <w:fldChar w:fldCharType="begin"/>
        </w:r>
        <w:r w:rsidR="007B3ADE">
          <w:rPr>
            <w:noProof/>
            <w:webHidden/>
          </w:rPr>
          <w:instrText xml:space="preserve"> PAGEREF _Toc41680830 \h </w:instrText>
        </w:r>
        <w:r w:rsidR="007B3ADE">
          <w:rPr>
            <w:noProof/>
            <w:webHidden/>
          </w:rPr>
        </w:r>
        <w:r w:rsidR="007B3ADE">
          <w:rPr>
            <w:noProof/>
            <w:webHidden/>
          </w:rPr>
          <w:fldChar w:fldCharType="separate"/>
        </w:r>
        <w:r w:rsidR="00AA68F8">
          <w:rPr>
            <w:noProof/>
            <w:webHidden/>
          </w:rPr>
          <w:t>3-1</w:t>
        </w:r>
        <w:r w:rsidR="007B3ADE">
          <w:rPr>
            <w:noProof/>
            <w:webHidden/>
          </w:rPr>
          <w:fldChar w:fldCharType="end"/>
        </w:r>
      </w:hyperlink>
    </w:p>
    <w:p w14:paraId="1C63B8E2" w14:textId="3BFB9C6A" w:rsidR="007B3ADE" w:rsidRDefault="00C723CB">
      <w:pPr>
        <w:pStyle w:val="TOC3"/>
        <w:tabs>
          <w:tab w:val="left" w:pos="1980"/>
        </w:tabs>
        <w:rPr>
          <w:rFonts w:asciiTheme="minorHAnsi" w:eastAsiaTheme="minorEastAsia" w:hAnsiTheme="minorHAnsi" w:cstheme="minorBidi"/>
          <w:iCs w:val="0"/>
        </w:rPr>
      </w:pPr>
      <w:hyperlink w:anchor="_Toc41680831" w:history="1">
        <w:r w:rsidR="007B3ADE" w:rsidRPr="00700A31">
          <w:rPr>
            <w:rStyle w:val="Hyperlink"/>
          </w:rPr>
          <w:t>3.1.1</w:t>
        </w:r>
        <w:r w:rsidR="007B3ADE">
          <w:rPr>
            <w:rFonts w:asciiTheme="minorHAnsi" w:eastAsiaTheme="minorEastAsia" w:hAnsiTheme="minorHAnsi" w:cstheme="minorBidi"/>
            <w:iCs w:val="0"/>
          </w:rPr>
          <w:tab/>
        </w:r>
        <w:r w:rsidR="007B3ADE" w:rsidRPr="00700A31">
          <w:rPr>
            <w:rStyle w:val="Hyperlink"/>
          </w:rPr>
          <w:t>Introduction</w:t>
        </w:r>
        <w:r w:rsidR="007B3ADE">
          <w:rPr>
            <w:webHidden/>
          </w:rPr>
          <w:tab/>
        </w:r>
        <w:r w:rsidR="007B3ADE">
          <w:rPr>
            <w:webHidden/>
          </w:rPr>
          <w:fldChar w:fldCharType="begin"/>
        </w:r>
        <w:r w:rsidR="007B3ADE">
          <w:rPr>
            <w:webHidden/>
          </w:rPr>
          <w:instrText xml:space="preserve"> PAGEREF _Toc41680831 \h </w:instrText>
        </w:r>
        <w:r w:rsidR="007B3ADE">
          <w:rPr>
            <w:webHidden/>
          </w:rPr>
        </w:r>
        <w:r w:rsidR="007B3ADE">
          <w:rPr>
            <w:webHidden/>
          </w:rPr>
          <w:fldChar w:fldCharType="separate"/>
        </w:r>
        <w:r w:rsidR="00AA68F8">
          <w:rPr>
            <w:webHidden/>
          </w:rPr>
          <w:t>3-1</w:t>
        </w:r>
        <w:r w:rsidR="007B3ADE">
          <w:rPr>
            <w:webHidden/>
          </w:rPr>
          <w:fldChar w:fldCharType="end"/>
        </w:r>
      </w:hyperlink>
    </w:p>
    <w:p w14:paraId="38B87857" w14:textId="7703B1D0" w:rsidR="007B3ADE" w:rsidRDefault="00C723CB">
      <w:pPr>
        <w:pStyle w:val="TOC2"/>
        <w:rPr>
          <w:rFonts w:asciiTheme="minorHAnsi" w:eastAsiaTheme="minorEastAsia" w:hAnsiTheme="minorHAnsi" w:cstheme="minorBidi"/>
          <w:noProof/>
        </w:rPr>
      </w:pPr>
      <w:hyperlink w:anchor="_Toc41680832" w:history="1">
        <w:r w:rsidR="007B3ADE" w:rsidRPr="00700A31">
          <w:rPr>
            <w:rStyle w:val="Hyperlink"/>
            <w:noProof/>
          </w:rPr>
          <w:t>3.2</w:t>
        </w:r>
        <w:r w:rsidR="007B3ADE">
          <w:rPr>
            <w:rFonts w:asciiTheme="minorHAnsi" w:eastAsiaTheme="minorEastAsia" w:hAnsiTheme="minorHAnsi" w:cstheme="minorBidi"/>
            <w:noProof/>
          </w:rPr>
          <w:tab/>
        </w:r>
        <w:r w:rsidR="007B3ADE" w:rsidRPr="00700A31">
          <w:rPr>
            <w:rStyle w:val="Hyperlink"/>
            <w:noProof/>
          </w:rPr>
          <w:t>Focused Condition Assessment</w:t>
        </w:r>
        <w:r w:rsidR="007B3ADE">
          <w:rPr>
            <w:noProof/>
            <w:webHidden/>
          </w:rPr>
          <w:tab/>
        </w:r>
        <w:r w:rsidR="007B3ADE">
          <w:rPr>
            <w:noProof/>
            <w:webHidden/>
          </w:rPr>
          <w:fldChar w:fldCharType="begin"/>
        </w:r>
        <w:r w:rsidR="007B3ADE">
          <w:rPr>
            <w:noProof/>
            <w:webHidden/>
          </w:rPr>
          <w:instrText xml:space="preserve"> PAGEREF _Toc41680832 \h </w:instrText>
        </w:r>
        <w:r w:rsidR="007B3ADE">
          <w:rPr>
            <w:noProof/>
            <w:webHidden/>
          </w:rPr>
        </w:r>
        <w:r w:rsidR="007B3ADE">
          <w:rPr>
            <w:noProof/>
            <w:webHidden/>
          </w:rPr>
          <w:fldChar w:fldCharType="separate"/>
        </w:r>
        <w:r w:rsidR="00AA68F8">
          <w:rPr>
            <w:noProof/>
            <w:webHidden/>
          </w:rPr>
          <w:t>3-1</w:t>
        </w:r>
        <w:r w:rsidR="007B3ADE">
          <w:rPr>
            <w:noProof/>
            <w:webHidden/>
          </w:rPr>
          <w:fldChar w:fldCharType="end"/>
        </w:r>
      </w:hyperlink>
    </w:p>
    <w:p w14:paraId="17ED6AF7" w14:textId="403F6A93" w:rsidR="007B3ADE" w:rsidRDefault="00C723CB">
      <w:pPr>
        <w:pStyle w:val="TOC3"/>
        <w:tabs>
          <w:tab w:val="left" w:pos="1980"/>
        </w:tabs>
        <w:rPr>
          <w:rFonts w:asciiTheme="minorHAnsi" w:eastAsiaTheme="minorEastAsia" w:hAnsiTheme="minorHAnsi" w:cstheme="minorBidi"/>
          <w:iCs w:val="0"/>
        </w:rPr>
      </w:pPr>
      <w:hyperlink w:anchor="_Toc41680833" w:history="1">
        <w:r w:rsidR="007B3ADE" w:rsidRPr="00700A31">
          <w:rPr>
            <w:rStyle w:val="Hyperlink"/>
          </w:rPr>
          <w:t>3.2.1</w:t>
        </w:r>
        <w:r w:rsidR="007B3ADE">
          <w:rPr>
            <w:rFonts w:asciiTheme="minorHAnsi" w:eastAsiaTheme="minorEastAsia" w:hAnsiTheme="minorHAnsi" w:cstheme="minorBidi"/>
            <w:iCs w:val="0"/>
          </w:rPr>
          <w:tab/>
        </w:r>
        <w:r w:rsidR="007B3ADE" w:rsidRPr="00700A31">
          <w:rPr>
            <w:rStyle w:val="Hyperlink"/>
          </w:rPr>
          <w:t>Remaining Useful Life</w:t>
        </w:r>
        <w:r w:rsidR="007B3ADE">
          <w:rPr>
            <w:webHidden/>
          </w:rPr>
          <w:tab/>
        </w:r>
        <w:r w:rsidR="007B3ADE">
          <w:rPr>
            <w:webHidden/>
          </w:rPr>
          <w:fldChar w:fldCharType="begin"/>
        </w:r>
        <w:r w:rsidR="007B3ADE">
          <w:rPr>
            <w:webHidden/>
          </w:rPr>
          <w:instrText xml:space="preserve"> PAGEREF _Toc41680833 \h </w:instrText>
        </w:r>
        <w:r w:rsidR="007B3ADE">
          <w:rPr>
            <w:webHidden/>
          </w:rPr>
        </w:r>
        <w:r w:rsidR="007B3ADE">
          <w:rPr>
            <w:webHidden/>
          </w:rPr>
          <w:fldChar w:fldCharType="separate"/>
        </w:r>
        <w:r w:rsidR="00AA68F8">
          <w:rPr>
            <w:webHidden/>
          </w:rPr>
          <w:t>3-3</w:t>
        </w:r>
        <w:r w:rsidR="007B3ADE">
          <w:rPr>
            <w:webHidden/>
          </w:rPr>
          <w:fldChar w:fldCharType="end"/>
        </w:r>
      </w:hyperlink>
    </w:p>
    <w:p w14:paraId="0A2D328B" w14:textId="7DC6AC99" w:rsidR="007B3ADE" w:rsidRDefault="00C723CB">
      <w:pPr>
        <w:pStyle w:val="TOC3"/>
        <w:tabs>
          <w:tab w:val="left" w:pos="1980"/>
        </w:tabs>
        <w:rPr>
          <w:rFonts w:asciiTheme="minorHAnsi" w:eastAsiaTheme="minorEastAsia" w:hAnsiTheme="minorHAnsi" w:cstheme="minorBidi"/>
          <w:iCs w:val="0"/>
        </w:rPr>
      </w:pPr>
      <w:hyperlink w:anchor="_Toc41680834" w:history="1">
        <w:r w:rsidR="007B3ADE" w:rsidRPr="00700A31">
          <w:rPr>
            <w:rStyle w:val="Hyperlink"/>
          </w:rPr>
          <w:t>3.2.2</w:t>
        </w:r>
        <w:r w:rsidR="007B3ADE">
          <w:rPr>
            <w:rFonts w:asciiTheme="minorHAnsi" w:eastAsiaTheme="minorEastAsia" w:hAnsiTheme="minorHAnsi" w:cstheme="minorBidi"/>
            <w:iCs w:val="0"/>
          </w:rPr>
          <w:tab/>
        </w:r>
        <w:r w:rsidR="007B3ADE" w:rsidRPr="00700A31">
          <w:rPr>
            <w:rStyle w:val="Hyperlink"/>
          </w:rPr>
          <w:t>Consequence of Failure</w:t>
        </w:r>
        <w:r w:rsidR="007B3ADE">
          <w:rPr>
            <w:webHidden/>
          </w:rPr>
          <w:tab/>
        </w:r>
        <w:r w:rsidR="007B3ADE">
          <w:rPr>
            <w:webHidden/>
          </w:rPr>
          <w:fldChar w:fldCharType="begin"/>
        </w:r>
        <w:r w:rsidR="007B3ADE">
          <w:rPr>
            <w:webHidden/>
          </w:rPr>
          <w:instrText xml:space="preserve"> PAGEREF _Toc41680834 \h </w:instrText>
        </w:r>
        <w:r w:rsidR="007B3ADE">
          <w:rPr>
            <w:webHidden/>
          </w:rPr>
        </w:r>
        <w:r w:rsidR="007B3ADE">
          <w:rPr>
            <w:webHidden/>
          </w:rPr>
          <w:fldChar w:fldCharType="separate"/>
        </w:r>
        <w:r w:rsidR="00AA68F8">
          <w:rPr>
            <w:webHidden/>
          </w:rPr>
          <w:t>3-4</w:t>
        </w:r>
        <w:r w:rsidR="007B3ADE">
          <w:rPr>
            <w:webHidden/>
          </w:rPr>
          <w:fldChar w:fldCharType="end"/>
        </w:r>
      </w:hyperlink>
    </w:p>
    <w:p w14:paraId="02F8A371" w14:textId="0B8D9628" w:rsidR="007B3ADE" w:rsidRDefault="00C723CB">
      <w:pPr>
        <w:pStyle w:val="TOC3"/>
        <w:tabs>
          <w:tab w:val="left" w:pos="1980"/>
        </w:tabs>
        <w:rPr>
          <w:rFonts w:asciiTheme="minorHAnsi" w:eastAsiaTheme="minorEastAsia" w:hAnsiTheme="minorHAnsi" w:cstheme="minorBidi"/>
          <w:iCs w:val="0"/>
        </w:rPr>
      </w:pPr>
      <w:hyperlink w:anchor="_Toc41680835" w:history="1">
        <w:r w:rsidR="007B3ADE" w:rsidRPr="00700A31">
          <w:rPr>
            <w:rStyle w:val="Hyperlink"/>
          </w:rPr>
          <w:t>3.2.3</w:t>
        </w:r>
        <w:r w:rsidR="007B3ADE">
          <w:rPr>
            <w:rFonts w:asciiTheme="minorHAnsi" w:eastAsiaTheme="minorEastAsia" w:hAnsiTheme="minorHAnsi" w:cstheme="minorBidi"/>
            <w:iCs w:val="0"/>
          </w:rPr>
          <w:tab/>
        </w:r>
        <w:r w:rsidR="007B3ADE" w:rsidRPr="00700A31">
          <w:rPr>
            <w:rStyle w:val="Hyperlink"/>
          </w:rPr>
          <w:t>Assets Identified for Field Condition Assessment</w:t>
        </w:r>
        <w:r w:rsidR="007B3ADE">
          <w:rPr>
            <w:webHidden/>
          </w:rPr>
          <w:tab/>
        </w:r>
        <w:r w:rsidR="007B3ADE">
          <w:rPr>
            <w:webHidden/>
          </w:rPr>
          <w:fldChar w:fldCharType="begin"/>
        </w:r>
        <w:r w:rsidR="007B3ADE">
          <w:rPr>
            <w:webHidden/>
          </w:rPr>
          <w:instrText xml:space="preserve"> PAGEREF _Toc41680835 \h </w:instrText>
        </w:r>
        <w:r w:rsidR="007B3ADE">
          <w:rPr>
            <w:webHidden/>
          </w:rPr>
        </w:r>
        <w:r w:rsidR="007B3ADE">
          <w:rPr>
            <w:webHidden/>
          </w:rPr>
          <w:fldChar w:fldCharType="separate"/>
        </w:r>
        <w:r w:rsidR="00AA68F8">
          <w:rPr>
            <w:webHidden/>
          </w:rPr>
          <w:t>3-5</w:t>
        </w:r>
        <w:r w:rsidR="007B3ADE">
          <w:rPr>
            <w:webHidden/>
          </w:rPr>
          <w:fldChar w:fldCharType="end"/>
        </w:r>
      </w:hyperlink>
    </w:p>
    <w:p w14:paraId="17A2C839" w14:textId="3AE4B1A2" w:rsidR="007B3ADE" w:rsidRDefault="00C723CB">
      <w:pPr>
        <w:pStyle w:val="TOC2"/>
        <w:rPr>
          <w:rFonts w:asciiTheme="minorHAnsi" w:eastAsiaTheme="minorEastAsia" w:hAnsiTheme="minorHAnsi" w:cstheme="minorBidi"/>
          <w:noProof/>
        </w:rPr>
      </w:pPr>
      <w:hyperlink w:anchor="_Toc41680836" w:history="1">
        <w:r w:rsidR="007B3ADE" w:rsidRPr="00700A31">
          <w:rPr>
            <w:rStyle w:val="Hyperlink"/>
            <w:noProof/>
          </w:rPr>
          <w:t>3.3</w:t>
        </w:r>
        <w:r w:rsidR="007B3ADE">
          <w:rPr>
            <w:rFonts w:asciiTheme="minorHAnsi" w:eastAsiaTheme="minorEastAsia" w:hAnsiTheme="minorHAnsi" w:cstheme="minorBidi"/>
            <w:noProof/>
          </w:rPr>
          <w:tab/>
        </w:r>
        <w:r w:rsidR="007B3ADE" w:rsidRPr="00700A31">
          <w:rPr>
            <w:rStyle w:val="Hyperlink"/>
            <w:noProof/>
          </w:rPr>
          <w:t>Field Condition Assessment Approach</w:t>
        </w:r>
        <w:r w:rsidR="007B3ADE">
          <w:rPr>
            <w:noProof/>
            <w:webHidden/>
          </w:rPr>
          <w:tab/>
        </w:r>
        <w:r w:rsidR="007B3ADE">
          <w:rPr>
            <w:noProof/>
            <w:webHidden/>
          </w:rPr>
          <w:fldChar w:fldCharType="begin"/>
        </w:r>
        <w:r w:rsidR="007B3ADE">
          <w:rPr>
            <w:noProof/>
            <w:webHidden/>
          </w:rPr>
          <w:instrText xml:space="preserve"> PAGEREF _Toc41680836 \h </w:instrText>
        </w:r>
        <w:r w:rsidR="007B3ADE">
          <w:rPr>
            <w:noProof/>
            <w:webHidden/>
          </w:rPr>
        </w:r>
        <w:r w:rsidR="007B3ADE">
          <w:rPr>
            <w:noProof/>
            <w:webHidden/>
          </w:rPr>
          <w:fldChar w:fldCharType="separate"/>
        </w:r>
        <w:r w:rsidR="00AA68F8">
          <w:rPr>
            <w:noProof/>
            <w:webHidden/>
          </w:rPr>
          <w:t>3-6</w:t>
        </w:r>
        <w:r w:rsidR="007B3ADE">
          <w:rPr>
            <w:noProof/>
            <w:webHidden/>
          </w:rPr>
          <w:fldChar w:fldCharType="end"/>
        </w:r>
      </w:hyperlink>
    </w:p>
    <w:p w14:paraId="5AE7DF97" w14:textId="1BBFE693" w:rsidR="007B3ADE" w:rsidRDefault="00C723CB">
      <w:pPr>
        <w:pStyle w:val="TOC2"/>
        <w:rPr>
          <w:rFonts w:asciiTheme="minorHAnsi" w:eastAsiaTheme="minorEastAsia" w:hAnsiTheme="minorHAnsi" w:cstheme="minorBidi"/>
          <w:noProof/>
        </w:rPr>
      </w:pPr>
      <w:hyperlink w:anchor="_Toc41680837" w:history="1">
        <w:r w:rsidR="007B3ADE" w:rsidRPr="00700A31">
          <w:rPr>
            <w:rStyle w:val="Hyperlink"/>
            <w:noProof/>
          </w:rPr>
          <w:t>3.4</w:t>
        </w:r>
        <w:r w:rsidR="007B3ADE">
          <w:rPr>
            <w:rFonts w:asciiTheme="minorHAnsi" w:eastAsiaTheme="minorEastAsia" w:hAnsiTheme="minorHAnsi" w:cstheme="minorBidi"/>
            <w:noProof/>
          </w:rPr>
          <w:tab/>
        </w:r>
        <w:r w:rsidR="007B3ADE" w:rsidRPr="00700A31">
          <w:rPr>
            <w:rStyle w:val="Hyperlink"/>
            <w:noProof/>
          </w:rPr>
          <w:t>Field Condition Assessment Results</w:t>
        </w:r>
        <w:r w:rsidR="007B3ADE">
          <w:rPr>
            <w:noProof/>
            <w:webHidden/>
          </w:rPr>
          <w:tab/>
        </w:r>
        <w:r w:rsidR="007B3ADE">
          <w:rPr>
            <w:noProof/>
            <w:webHidden/>
          </w:rPr>
          <w:fldChar w:fldCharType="begin"/>
        </w:r>
        <w:r w:rsidR="007B3ADE">
          <w:rPr>
            <w:noProof/>
            <w:webHidden/>
          </w:rPr>
          <w:instrText xml:space="preserve"> PAGEREF _Toc41680837 \h </w:instrText>
        </w:r>
        <w:r w:rsidR="007B3ADE">
          <w:rPr>
            <w:noProof/>
            <w:webHidden/>
          </w:rPr>
        </w:r>
        <w:r w:rsidR="007B3ADE">
          <w:rPr>
            <w:noProof/>
            <w:webHidden/>
          </w:rPr>
          <w:fldChar w:fldCharType="separate"/>
        </w:r>
        <w:r w:rsidR="00AA68F8">
          <w:rPr>
            <w:noProof/>
            <w:webHidden/>
          </w:rPr>
          <w:t>3-8</w:t>
        </w:r>
        <w:r w:rsidR="007B3ADE">
          <w:rPr>
            <w:noProof/>
            <w:webHidden/>
          </w:rPr>
          <w:fldChar w:fldCharType="end"/>
        </w:r>
      </w:hyperlink>
    </w:p>
    <w:p w14:paraId="0C798D22" w14:textId="2E7A3611" w:rsidR="007B3ADE" w:rsidRDefault="00C723CB">
      <w:pPr>
        <w:pStyle w:val="TOC2"/>
        <w:rPr>
          <w:rFonts w:asciiTheme="minorHAnsi" w:eastAsiaTheme="minorEastAsia" w:hAnsiTheme="minorHAnsi" w:cstheme="minorBidi"/>
          <w:noProof/>
        </w:rPr>
      </w:pPr>
      <w:hyperlink w:anchor="_Toc41680838" w:history="1">
        <w:r w:rsidR="007B3ADE" w:rsidRPr="00700A31">
          <w:rPr>
            <w:rStyle w:val="Hyperlink"/>
            <w:noProof/>
          </w:rPr>
          <w:t>3.5</w:t>
        </w:r>
        <w:r w:rsidR="007B3ADE">
          <w:rPr>
            <w:rFonts w:asciiTheme="minorHAnsi" w:eastAsiaTheme="minorEastAsia" w:hAnsiTheme="minorHAnsi" w:cstheme="minorBidi"/>
            <w:noProof/>
          </w:rPr>
          <w:tab/>
        </w:r>
        <w:r w:rsidR="007B3ADE" w:rsidRPr="00700A31">
          <w:rPr>
            <w:rStyle w:val="Hyperlink"/>
            <w:noProof/>
          </w:rPr>
          <w:t>Updated Remaining Useful Life</w:t>
        </w:r>
        <w:r w:rsidR="007B3ADE">
          <w:rPr>
            <w:noProof/>
            <w:webHidden/>
          </w:rPr>
          <w:tab/>
        </w:r>
        <w:r w:rsidR="007B3ADE">
          <w:rPr>
            <w:noProof/>
            <w:webHidden/>
          </w:rPr>
          <w:fldChar w:fldCharType="begin"/>
        </w:r>
        <w:r w:rsidR="007B3ADE">
          <w:rPr>
            <w:noProof/>
            <w:webHidden/>
          </w:rPr>
          <w:instrText xml:space="preserve"> PAGEREF _Toc41680838 \h </w:instrText>
        </w:r>
        <w:r w:rsidR="007B3ADE">
          <w:rPr>
            <w:noProof/>
            <w:webHidden/>
          </w:rPr>
        </w:r>
        <w:r w:rsidR="007B3ADE">
          <w:rPr>
            <w:noProof/>
            <w:webHidden/>
          </w:rPr>
          <w:fldChar w:fldCharType="separate"/>
        </w:r>
        <w:r w:rsidR="00AA68F8">
          <w:rPr>
            <w:noProof/>
            <w:webHidden/>
          </w:rPr>
          <w:t>3-12</w:t>
        </w:r>
        <w:r w:rsidR="007B3ADE">
          <w:rPr>
            <w:noProof/>
            <w:webHidden/>
          </w:rPr>
          <w:fldChar w:fldCharType="end"/>
        </w:r>
      </w:hyperlink>
    </w:p>
    <w:p w14:paraId="2E280CB2" w14:textId="39C728B2" w:rsidR="007B3ADE" w:rsidRDefault="00C723CB">
      <w:pPr>
        <w:pStyle w:val="TOC2"/>
        <w:rPr>
          <w:rFonts w:asciiTheme="minorHAnsi" w:eastAsiaTheme="minorEastAsia" w:hAnsiTheme="minorHAnsi" w:cstheme="minorBidi"/>
          <w:noProof/>
        </w:rPr>
      </w:pPr>
      <w:hyperlink w:anchor="_Toc41680839" w:history="1">
        <w:r w:rsidR="007B3ADE" w:rsidRPr="00700A31">
          <w:rPr>
            <w:rStyle w:val="Hyperlink"/>
            <w:noProof/>
          </w:rPr>
          <w:t>3.6</w:t>
        </w:r>
        <w:r w:rsidR="007B3ADE">
          <w:rPr>
            <w:rFonts w:asciiTheme="minorHAnsi" w:eastAsiaTheme="minorEastAsia" w:hAnsiTheme="minorHAnsi" w:cstheme="minorBidi"/>
            <w:noProof/>
          </w:rPr>
          <w:tab/>
        </w:r>
        <w:r w:rsidR="007B3ADE" w:rsidRPr="00700A31">
          <w:rPr>
            <w:rStyle w:val="Hyperlink"/>
            <w:noProof/>
          </w:rPr>
          <w:t>Summary of Findings</w:t>
        </w:r>
        <w:r w:rsidR="007B3ADE">
          <w:rPr>
            <w:noProof/>
            <w:webHidden/>
          </w:rPr>
          <w:tab/>
        </w:r>
        <w:r w:rsidR="007B3ADE">
          <w:rPr>
            <w:noProof/>
            <w:webHidden/>
          </w:rPr>
          <w:fldChar w:fldCharType="begin"/>
        </w:r>
        <w:r w:rsidR="007B3ADE">
          <w:rPr>
            <w:noProof/>
            <w:webHidden/>
          </w:rPr>
          <w:instrText xml:space="preserve"> PAGEREF _Toc41680839 \h </w:instrText>
        </w:r>
        <w:r w:rsidR="007B3ADE">
          <w:rPr>
            <w:noProof/>
            <w:webHidden/>
          </w:rPr>
        </w:r>
        <w:r w:rsidR="007B3ADE">
          <w:rPr>
            <w:noProof/>
            <w:webHidden/>
          </w:rPr>
          <w:fldChar w:fldCharType="separate"/>
        </w:r>
        <w:r w:rsidR="00AA68F8">
          <w:rPr>
            <w:noProof/>
            <w:webHidden/>
          </w:rPr>
          <w:t>3-13</w:t>
        </w:r>
        <w:r w:rsidR="007B3ADE">
          <w:rPr>
            <w:noProof/>
            <w:webHidden/>
          </w:rPr>
          <w:fldChar w:fldCharType="end"/>
        </w:r>
      </w:hyperlink>
    </w:p>
    <w:p w14:paraId="517BDD1C" w14:textId="13EA40AD" w:rsidR="007B3ADE" w:rsidRDefault="00C723CB">
      <w:pPr>
        <w:pStyle w:val="TOC1"/>
        <w:rPr>
          <w:rFonts w:asciiTheme="minorHAnsi" w:eastAsiaTheme="minorEastAsia" w:hAnsiTheme="minorHAnsi" w:cstheme="minorBidi"/>
          <w:bCs w:val="0"/>
        </w:rPr>
      </w:pPr>
      <w:hyperlink w:anchor="_Toc41680840" w:history="1">
        <w:r w:rsidR="007B3ADE" w:rsidRPr="00700A31">
          <w:rPr>
            <w:rStyle w:val="Hyperlink"/>
          </w:rPr>
          <w:t>4.</w:t>
        </w:r>
        <w:r w:rsidR="007B3ADE">
          <w:rPr>
            <w:rFonts w:asciiTheme="minorHAnsi" w:eastAsiaTheme="minorEastAsia" w:hAnsiTheme="minorHAnsi" w:cstheme="minorBidi"/>
            <w:bCs w:val="0"/>
          </w:rPr>
          <w:tab/>
        </w:r>
        <w:r w:rsidR="007B3ADE" w:rsidRPr="00700A31">
          <w:rPr>
            <w:rStyle w:val="Hyperlink"/>
          </w:rPr>
          <w:t>Risk Assessment</w:t>
        </w:r>
        <w:r w:rsidR="007B3ADE">
          <w:rPr>
            <w:webHidden/>
          </w:rPr>
          <w:tab/>
        </w:r>
        <w:r w:rsidR="007B3ADE">
          <w:rPr>
            <w:webHidden/>
          </w:rPr>
          <w:fldChar w:fldCharType="begin"/>
        </w:r>
        <w:r w:rsidR="007B3ADE">
          <w:rPr>
            <w:webHidden/>
          </w:rPr>
          <w:instrText xml:space="preserve"> PAGEREF _Toc41680840 \h </w:instrText>
        </w:r>
        <w:r w:rsidR="007B3ADE">
          <w:rPr>
            <w:webHidden/>
          </w:rPr>
        </w:r>
        <w:r w:rsidR="007B3ADE">
          <w:rPr>
            <w:webHidden/>
          </w:rPr>
          <w:fldChar w:fldCharType="separate"/>
        </w:r>
        <w:r w:rsidR="00AA68F8">
          <w:rPr>
            <w:webHidden/>
          </w:rPr>
          <w:t>4-1</w:t>
        </w:r>
        <w:r w:rsidR="007B3ADE">
          <w:rPr>
            <w:webHidden/>
          </w:rPr>
          <w:fldChar w:fldCharType="end"/>
        </w:r>
      </w:hyperlink>
    </w:p>
    <w:p w14:paraId="17DE49D9" w14:textId="0A8045A2" w:rsidR="007B3ADE" w:rsidRDefault="00C723CB">
      <w:pPr>
        <w:pStyle w:val="TOC2"/>
        <w:rPr>
          <w:rFonts w:asciiTheme="minorHAnsi" w:eastAsiaTheme="minorEastAsia" w:hAnsiTheme="minorHAnsi" w:cstheme="minorBidi"/>
          <w:noProof/>
        </w:rPr>
      </w:pPr>
      <w:hyperlink w:anchor="_Toc41680841" w:history="1">
        <w:r w:rsidR="007B3ADE" w:rsidRPr="00700A31">
          <w:rPr>
            <w:rStyle w:val="Hyperlink"/>
            <w:noProof/>
          </w:rPr>
          <w:t>4.1</w:t>
        </w:r>
        <w:r w:rsidR="007B3ADE">
          <w:rPr>
            <w:rFonts w:asciiTheme="minorHAnsi" w:eastAsiaTheme="minorEastAsia" w:hAnsiTheme="minorHAnsi" w:cstheme="minorBidi"/>
            <w:noProof/>
          </w:rPr>
          <w:tab/>
        </w:r>
        <w:r w:rsidR="007B3ADE" w:rsidRPr="00700A31">
          <w:rPr>
            <w:rStyle w:val="Hyperlink"/>
            <w:noProof/>
          </w:rPr>
          <w:t>Business Risk Exposure Methodology</w:t>
        </w:r>
        <w:r w:rsidR="007B3ADE">
          <w:rPr>
            <w:noProof/>
            <w:webHidden/>
          </w:rPr>
          <w:tab/>
        </w:r>
        <w:r w:rsidR="007B3ADE">
          <w:rPr>
            <w:noProof/>
            <w:webHidden/>
          </w:rPr>
          <w:fldChar w:fldCharType="begin"/>
        </w:r>
        <w:r w:rsidR="007B3ADE">
          <w:rPr>
            <w:noProof/>
            <w:webHidden/>
          </w:rPr>
          <w:instrText xml:space="preserve"> PAGEREF _Toc41680841 \h </w:instrText>
        </w:r>
        <w:r w:rsidR="007B3ADE">
          <w:rPr>
            <w:noProof/>
            <w:webHidden/>
          </w:rPr>
        </w:r>
        <w:r w:rsidR="007B3ADE">
          <w:rPr>
            <w:noProof/>
            <w:webHidden/>
          </w:rPr>
          <w:fldChar w:fldCharType="separate"/>
        </w:r>
        <w:r w:rsidR="00AA68F8">
          <w:rPr>
            <w:noProof/>
            <w:webHidden/>
          </w:rPr>
          <w:t>4-1</w:t>
        </w:r>
        <w:r w:rsidR="007B3ADE">
          <w:rPr>
            <w:noProof/>
            <w:webHidden/>
          </w:rPr>
          <w:fldChar w:fldCharType="end"/>
        </w:r>
      </w:hyperlink>
    </w:p>
    <w:p w14:paraId="45C3D908" w14:textId="6492C16C" w:rsidR="007B3ADE" w:rsidRDefault="00C723CB">
      <w:pPr>
        <w:pStyle w:val="TOC3"/>
        <w:tabs>
          <w:tab w:val="left" w:pos="1980"/>
        </w:tabs>
        <w:rPr>
          <w:rFonts w:asciiTheme="minorHAnsi" w:eastAsiaTheme="minorEastAsia" w:hAnsiTheme="minorHAnsi" w:cstheme="minorBidi"/>
          <w:iCs w:val="0"/>
        </w:rPr>
      </w:pPr>
      <w:hyperlink w:anchor="_Toc41680842" w:history="1">
        <w:r w:rsidR="007B3ADE" w:rsidRPr="00700A31">
          <w:rPr>
            <w:rStyle w:val="Hyperlink"/>
          </w:rPr>
          <w:t>4.1.1</w:t>
        </w:r>
        <w:r w:rsidR="007B3ADE">
          <w:rPr>
            <w:rFonts w:asciiTheme="minorHAnsi" w:eastAsiaTheme="minorEastAsia" w:hAnsiTheme="minorHAnsi" w:cstheme="minorBidi"/>
            <w:iCs w:val="0"/>
          </w:rPr>
          <w:tab/>
        </w:r>
        <w:r w:rsidR="007B3ADE" w:rsidRPr="00700A31">
          <w:rPr>
            <w:rStyle w:val="Hyperlink"/>
          </w:rPr>
          <w:t>Probability of Failure</w:t>
        </w:r>
        <w:r w:rsidR="007B3ADE">
          <w:rPr>
            <w:webHidden/>
          </w:rPr>
          <w:tab/>
        </w:r>
        <w:r w:rsidR="007B3ADE">
          <w:rPr>
            <w:webHidden/>
          </w:rPr>
          <w:fldChar w:fldCharType="begin"/>
        </w:r>
        <w:r w:rsidR="007B3ADE">
          <w:rPr>
            <w:webHidden/>
          </w:rPr>
          <w:instrText xml:space="preserve"> PAGEREF _Toc41680842 \h </w:instrText>
        </w:r>
        <w:r w:rsidR="007B3ADE">
          <w:rPr>
            <w:webHidden/>
          </w:rPr>
        </w:r>
        <w:r w:rsidR="007B3ADE">
          <w:rPr>
            <w:webHidden/>
          </w:rPr>
          <w:fldChar w:fldCharType="separate"/>
        </w:r>
        <w:r w:rsidR="00AA68F8">
          <w:rPr>
            <w:webHidden/>
          </w:rPr>
          <w:t>4-2</w:t>
        </w:r>
        <w:r w:rsidR="007B3ADE">
          <w:rPr>
            <w:webHidden/>
          </w:rPr>
          <w:fldChar w:fldCharType="end"/>
        </w:r>
      </w:hyperlink>
    </w:p>
    <w:p w14:paraId="0569E186" w14:textId="16404F31" w:rsidR="007B3ADE" w:rsidRDefault="00C723CB">
      <w:pPr>
        <w:pStyle w:val="TOC3"/>
        <w:tabs>
          <w:tab w:val="left" w:pos="1980"/>
        </w:tabs>
        <w:rPr>
          <w:rFonts w:asciiTheme="minorHAnsi" w:eastAsiaTheme="minorEastAsia" w:hAnsiTheme="minorHAnsi" w:cstheme="minorBidi"/>
          <w:iCs w:val="0"/>
        </w:rPr>
      </w:pPr>
      <w:hyperlink w:anchor="_Toc41680843" w:history="1">
        <w:r w:rsidR="007B3ADE" w:rsidRPr="00700A31">
          <w:rPr>
            <w:rStyle w:val="Hyperlink"/>
          </w:rPr>
          <w:t>4.1.2</w:t>
        </w:r>
        <w:r w:rsidR="007B3ADE">
          <w:rPr>
            <w:rFonts w:asciiTheme="minorHAnsi" w:eastAsiaTheme="minorEastAsia" w:hAnsiTheme="minorHAnsi" w:cstheme="minorBidi"/>
            <w:iCs w:val="0"/>
          </w:rPr>
          <w:tab/>
        </w:r>
        <w:r w:rsidR="007B3ADE" w:rsidRPr="00700A31">
          <w:rPr>
            <w:rStyle w:val="Hyperlink"/>
          </w:rPr>
          <w:t>Consequence of Failure</w:t>
        </w:r>
        <w:r w:rsidR="007B3ADE">
          <w:rPr>
            <w:webHidden/>
          </w:rPr>
          <w:tab/>
        </w:r>
        <w:r w:rsidR="007B3ADE">
          <w:rPr>
            <w:webHidden/>
          </w:rPr>
          <w:fldChar w:fldCharType="begin"/>
        </w:r>
        <w:r w:rsidR="007B3ADE">
          <w:rPr>
            <w:webHidden/>
          </w:rPr>
          <w:instrText xml:space="preserve"> PAGEREF _Toc41680843 \h </w:instrText>
        </w:r>
        <w:r w:rsidR="007B3ADE">
          <w:rPr>
            <w:webHidden/>
          </w:rPr>
        </w:r>
        <w:r w:rsidR="007B3ADE">
          <w:rPr>
            <w:webHidden/>
          </w:rPr>
          <w:fldChar w:fldCharType="separate"/>
        </w:r>
        <w:r w:rsidR="00AA68F8">
          <w:rPr>
            <w:webHidden/>
          </w:rPr>
          <w:t>4-3</w:t>
        </w:r>
        <w:r w:rsidR="007B3ADE">
          <w:rPr>
            <w:webHidden/>
          </w:rPr>
          <w:fldChar w:fldCharType="end"/>
        </w:r>
      </w:hyperlink>
    </w:p>
    <w:p w14:paraId="49FD8E72" w14:textId="525ED299" w:rsidR="007B3ADE" w:rsidRDefault="00C723CB">
      <w:pPr>
        <w:pStyle w:val="TOC2"/>
        <w:rPr>
          <w:rFonts w:asciiTheme="minorHAnsi" w:eastAsiaTheme="minorEastAsia" w:hAnsiTheme="minorHAnsi" w:cstheme="minorBidi"/>
          <w:noProof/>
        </w:rPr>
      </w:pPr>
      <w:hyperlink w:anchor="_Toc41680844" w:history="1">
        <w:r w:rsidR="007B3ADE" w:rsidRPr="00700A31">
          <w:rPr>
            <w:rStyle w:val="Hyperlink"/>
            <w:noProof/>
          </w:rPr>
          <w:t>4.2</w:t>
        </w:r>
        <w:r w:rsidR="007B3ADE">
          <w:rPr>
            <w:rFonts w:asciiTheme="minorHAnsi" w:eastAsiaTheme="minorEastAsia" w:hAnsiTheme="minorHAnsi" w:cstheme="minorBidi"/>
            <w:noProof/>
          </w:rPr>
          <w:tab/>
        </w:r>
        <w:r w:rsidR="007B3ADE" w:rsidRPr="00700A31">
          <w:rPr>
            <w:rStyle w:val="Hyperlink"/>
            <w:noProof/>
          </w:rPr>
          <w:t>Risk Results</w:t>
        </w:r>
        <w:r w:rsidR="007B3ADE">
          <w:rPr>
            <w:noProof/>
            <w:webHidden/>
          </w:rPr>
          <w:tab/>
        </w:r>
        <w:r w:rsidR="007B3ADE">
          <w:rPr>
            <w:noProof/>
            <w:webHidden/>
          </w:rPr>
          <w:fldChar w:fldCharType="begin"/>
        </w:r>
        <w:r w:rsidR="007B3ADE">
          <w:rPr>
            <w:noProof/>
            <w:webHidden/>
          </w:rPr>
          <w:instrText xml:space="preserve"> PAGEREF _Toc41680844 \h </w:instrText>
        </w:r>
        <w:r w:rsidR="007B3ADE">
          <w:rPr>
            <w:noProof/>
            <w:webHidden/>
          </w:rPr>
        </w:r>
        <w:r w:rsidR="007B3ADE">
          <w:rPr>
            <w:noProof/>
            <w:webHidden/>
          </w:rPr>
          <w:fldChar w:fldCharType="separate"/>
        </w:r>
        <w:r w:rsidR="00AA68F8">
          <w:rPr>
            <w:noProof/>
            <w:webHidden/>
          </w:rPr>
          <w:t>4-4</w:t>
        </w:r>
        <w:r w:rsidR="007B3ADE">
          <w:rPr>
            <w:noProof/>
            <w:webHidden/>
          </w:rPr>
          <w:fldChar w:fldCharType="end"/>
        </w:r>
      </w:hyperlink>
    </w:p>
    <w:p w14:paraId="1F4E912B" w14:textId="22626B10" w:rsidR="007B3ADE" w:rsidRDefault="00C723CB">
      <w:pPr>
        <w:pStyle w:val="TOC3"/>
        <w:tabs>
          <w:tab w:val="left" w:pos="1980"/>
        </w:tabs>
        <w:rPr>
          <w:rFonts w:asciiTheme="minorHAnsi" w:eastAsiaTheme="minorEastAsia" w:hAnsiTheme="minorHAnsi" w:cstheme="minorBidi"/>
          <w:iCs w:val="0"/>
        </w:rPr>
      </w:pPr>
      <w:hyperlink w:anchor="_Toc41680845" w:history="1">
        <w:r w:rsidR="007B3ADE" w:rsidRPr="00700A31">
          <w:rPr>
            <w:rStyle w:val="Hyperlink"/>
          </w:rPr>
          <w:t>4.2.1</w:t>
        </w:r>
        <w:r w:rsidR="007B3ADE">
          <w:rPr>
            <w:rFonts w:asciiTheme="minorHAnsi" w:eastAsiaTheme="minorEastAsia" w:hAnsiTheme="minorHAnsi" w:cstheme="minorBidi"/>
            <w:iCs w:val="0"/>
          </w:rPr>
          <w:tab/>
        </w:r>
        <w:r w:rsidR="007B3ADE" w:rsidRPr="00700A31">
          <w:rPr>
            <w:rStyle w:val="Hyperlink"/>
          </w:rPr>
          <w:t>Probability of Failure Summary Results</w:t>
        </w:r>
        <w:r w:rsidR="007B3ADE">
          <w:rPr>
            <w:webHidden/>
          </w:rPr>
          <w:tab/>
        </w:r>
        <w:r w:rsidR="007B3ADE">
          <w:rPr>
            <w:webHidden/>
          </w:rPr>
          <w:fldChar w:fldCharType="begin"/>
        </w:r>
        <w:r w:rsidR="007B3ADE">
          <w:rPr>
            <w:webHidden/>
          </w:rPr>
          <w:instrText xml:space="preserve"> PAGEREF _Toc41680845 \h </w:instrText>
        </w:r>
        <w:r w:rsidR="007B3ADE">
          <w:rPr>
            <w:webHidden/>
          </w:rPr>
        </w:r>
        <w:r w:rsidR="007B3ADE">
          <w:rPr>
            <w:webHidden/>
          </w:rPr>
          <w:fldChar w:fldCharType="separate"/>
        </w:r>
        <w:r w:rsidR="00AA68F8">
          <w:rPr>
            <w:webHidden/>
          </w:rPr>
          <w:t>4-4</w:t>
        </w:r>
        <w:r w:rsidR="007B3ADE">
          <w:rPr>
            <w:webHidden/>
          </w:rPr>
          <w:fldChar w:fldCharType="end"/>
        </w:r>
      </w:hyperlink>
    </w:p>
    <w:p w14:paraId="2423EBB9" w14:textId="2E26D72C" w:rsidR="007B3ADE" w:rsidRDefault="00C723CB">
      <w:pPr>
        <w:pStyle w:val="TOC3"/>
        <w:tabs>
          <w:tab w:val="left" w:pos="1980"/>
        </w:tabs>
        <w:rPr>
          <w:rFonts w:asciiTheme="minorHAnsi" w:eastAsiaTheme="minorEastAsia" w:hAnsiTheme="minorHAnsi" w:cstheme="minorBidi"/>
          <w:iCs w:val="0"/>
        </w:rPr>
      </w:pPr>
      <w:hyperlink w:anchor="_Toc41680846" w:history="1">
        <w:r w:rsidR="007B3ADE" w:rsidRPr="00700A31">
          <w:rPr>
            <w:rStyle w:val="Hyperlink"/>
          </w:rPr>
          <w:t>4.2.2</w:t>
        </w:r>
        <w:r w:rsidR="007B3ADE">
          <w:rPr>
            <w:rFonts w:asciiTheme="minorHAnsi" w:eastAsiaTheme="minorEastAsia" w:hAnsiTheme="minorHAnsi" w:cstheme="minorBidi"/>
            <w:iCs w:val="0"/>
          </w:rPr>
          <w:tab/>
        </w:r>
        <w:r w:rsidR="007B3ADE" w:rsidRPr="00700A31">
          <w:rPr>
            <w:rStyle w:val="Hyperlink"/>
          </w:rPr>
          <w:t>Consequence of Failure Summary Results</w:t>
        </w:r>
        <w:r w:rsidR="007B3ADE">
          <w:rPr>
            <w:webHidden/>
          </w:rPr>
          <w:tab/>
        </w:r>
        <w:r w:rsidR="007B3ADE">
          <w:rPr>
            <w:webHidden/>
          </w:rPr>
          <w:fldChar w:fldCharType="begin"/>
        </w:r>
        <w:r w:rsidR="007B3ADE">
          <w:rPr>
            <w:webHidden/>
          </w:rPr>
          <w:instrText xml:space="preserve"> PAGEREF _Toc41680846 \h </w:instrText>
        </w:r>
        <w:r w:rsidR="007B3ADE">
          <w:rPr>
            <w:webHidden/>
          </w:rPr>
        </w:r>
        <w:r w:rsidR="007B3ADE">
          <w:rPr>
            <w:webHidden/>
          </w:rPr>
          <w:fldChar w:fldCharType="separate"/>
        </w:r>
        <w:r w:rsidR="00AA68F8">
          <w:rPr>
            <w:webHidden/>
          </w:rPr>
          <w:t>4-8</w:t>
        </w:r>
        <w:r w:rsidR="007B3ADE">
          <w:rPr>
            <w:webHidden/>
          </w:rPr>
          <w:fldChar w:fldCharType="end"/>
        </w:r>
      </w:hyperlink>
    </w:p>
    <w:p w14:paraId="1116EE87" w14:textId="240325EF" w:rsidR="007B3ADE" w:rsidRDefault="00C723CB">
      <w:pPr>
        <w:pStyle w:val="TOC2"/>
        <w:rPr>
          <w:rFonts w:asciiTheme="minorHAnsi" w:eastAsiaTheme="minorEastAsia" w:hAnsiTheme="minorHAnsi" w:cstheme="minorBidi"/>
          <w:noProof/>
        </w:rPr>
      </w:pPr>
      <w:hyperlink w:anchor="_Toc41680847" w:history="1">
        <w:r w:rsidR="007B3ADE" w:rsidRPr="00700A31">
          <w:rPr>
            <w:rStyle w:val="Hyperlink"/>
            <w:noProof/>
          </w:rPr>
          <w:t>4.3</w:t>
        </w:r>
        <w:r w:rsidR="007B3ADE">
          <w:rPr>
            <w:rFonts w:asciiTheme="minorHAnsi" w:eastAsiaTheme="minorEastAsia" w:hAnsiTheme="minorHAnsi" w:cstheme="minorBidi"/>
            <w:noProof/>
          </w:rPr>
          <w:tab/>
        </w:r>
        <w:r w:rsidR="007B3ADE" w:rsidRPr="00700A31">
          <w:rPr>
            <w:rStyle w:val="Hyperlink"/>
            <w:noProof/>
          </w:rPr>
          <w:t>Business Risk Exposure Summary Results</w:t>
        </w:r>
        <w:r w:rsidR="007B3ADE">
          <w:rPr>
            <w:noProof/>
            <w:webHidden/>
          </w:rPr>
          <w:tab/>
        </w:r>
        <w:r w:rsidR="007B3ADE">
          <w:rPr>
            <w:noProof/>
            <w:webHidden/>
          </w:rPr>
          <w:fldChar w:fldCharType="begin"/>
        </w:r>
        <w:r w:rsidR="007B3ADE">
          <w:rPr>
            <w:noProof/>
            <w:webHidden/>
          </w:rPr>
          <w:instrText xml:space="preserve"> PAGEREF _Toc41680847 \h </w:instrText>
        </w:r>
        <w:r w:rsidR="007B3ADE">
          <w:rPr>
            <w:noProof/>
            <w:webHidden/>
          </w:rPr>
        </w:r>
        <w:r w:rsidR="007B3ADE">
          <w:rPr>
            <w:noProof/>
            <w:webHidden/>
          </w:rPr>
          <w:fldChar w:fldCharType="separate"/>
        </w:r>
        <w:r w:rsidR="00AA68F8">
          <w:rPr>
            <w:noProof/>
            <w:webHidden/>
          </w:rPr>
          <w:t>4-14</w:t>
        </w:r>
        <w:r w:rsidR="007B3ADE">
          <w:rPr>
            <w:noProof/>
            <w:webHidden/>
          </w:rPr>
          <w:fldChar w:fldCharType="end"/>
        </w:r>
      </w:hyperlink>
    </w:p>
    <w:p w14:paraId="37C96E1C" w14:textId="6494CB92" w:rsidR="007B3ADE" w:rsidRDefault="00C723CB">
      <w:pPr>
        <w:pStyle w:val="TOC1"/>
        <w:rPr>
          <w:rFonts w:asciiTheme="minorHAnsi" w:eastAsiaTheme="minorEastAsia" w:hAnsiTheme="minorHAnsi" w:cstheme="minorBidi"/>
          <w:bCs w:val="0"/>
        </w:rPr>
      </w:pPr>
      <w:hyperlink w:anchor="_Toc41680848" w:history="1">
        <w:r w:rsidR="007B3ADE" w:rsidRPr="00700A31">
          <w:rPr>
            <w:rStyle w:val="Hyperlink"/>
          </w:rPr>
          <w:t>5.</w:t>
        </w:r>
        <w:r w:rsidR="007B3ADE">
          <w:rPr>
            <w:rFonts w:asciiTheme="minorHAnsi" w:eastAsiaTheme="minorEastAsia" w:hAnsiTheme="minorHAnsi" w:cstheme="minorBidi"/>
            <w:bCs w:val="0"/>
          </w:rPr>
          <w:tab/>
        </w:r>
        <w:r w:rsidR="007B3ADE" w:rsidRPr="00700A31">
          <w:rPr>
            <w:rStyle w:val="Hyperlink"/>
          </w:rPr>
          <w:t>Facility Planning Assumptions</w:t>
        </w:r>
        <w:r w:rsidR="007B3ADE">
          <w:rPr>
            <w:webHidden/>
          </w:rPr>
          <w:tab/>
        </w:r>
        <w:r w:rsidR="007B3ADE">
          <w:rPr>
            <w:webHidden/>
          </w:rPr>
          <w:fldChar w:fldCharType="begin"/>
        </w:r>
        <w:r w:rsidR="007B3ADE">
          <w:rPr>
            <w:webHidden/>
          </w:rPr>
          <w:instrText xml:space="preserve"> PAGEREF _Toc41680848 \h </w:instrText>
        </w:r>
        <w:r w:rsidR="007B3ADE">
          <w:rPr>
            <w:webHidden/>
          </w:rPr>
        </w:r>
        <w:r w:rsidR="007B3ADE">
          <w:rPr>
            <w:webHidden/>
          </w:rPr>
          <w:fldChar w:fldCharType="separate"/>
        </w:r>
        <w:r w:rsidR="00AA68F8">
          <w:rPr>
            <w:webHidden/>
          </w:rPr>
          <w:t>5-1</w:t>
        </w:r>
        <w:r w:rsidR="007B3ADE">
          <w:rPr>
            <w:webHidden/>
          </w:rPr>
          <w:fldChar w:fldCharType="end"/>
        </w:r>
      </w:hyperlink>
    </w:p>
    <w:p w14:paraId="4592036F" w14:textId="6AC088DE" w:rsidR="007B3ADE" w:rsidRDefault="00C723CB">
      <w:pPr>
        <w:pStyle w:val="TOC2"/>
        <w:rPr>
          <w:rFonts w:asciiTheme="minorHAnsi" w:eastAsiaTheme="minorEastAsia" w:hAnsiTheme="minorHAnsi" w:cstheme="minorBidi"/>
          <w:noProof/>
        </w:rPr>
      </w:pPr>
      <w:hyperlink w:anchor="_Toc41680849" w:history="1">
        <w:r w:rsidR="007B3ADE" w:rsidRPr="00700A31">
          <w:rPr>
            <w:rStyle w:val="Hyperlink"/>
            <w:noProof/>
          </w:rPr>
          <w:t>5.1</w:t>
        </w:r>
        <w:r w:rsidR="007B3ADE">
          <w:rPr>
            <w:rFonts w:asciiTheme="minorHAnsi" w:eastAsiaTheme="minorEastAsia" w:hAnsiTheme="minorHAnsi" w:cstheme="minorBidi"/>
            <w:noProof/>
          </w:rPr>
          <w:tab/>
        </w:r>
        <w:r w:rsidR="007B3ADE" w:rsidRPr="00700A31">
          <w:rPr>
            <w:rStyle w:val="Hyperlink"/>
            <w:noProof/>
          </w:rPr>
          <w:t>Current Projects with Potential Impacts to the Facilities Master Plan</w:t>
        </w:r>
        <w:r w:rsidR="007B3ADE">
          <w:rPr>
            <w:noProof/>
            <w:webHidden/>
          </w:rPr>
          <w:tab/>
        </w:r>
        <w:r w:rsidR="007B3ADE">
          <w:rPr>
            <w:noProof/>
            <w:webHidden/>
          </w:rPr>
          <w:fldChar w:fldCharType="begin"/>
        </w:r>
        <w:r w:rsidR="007B3ADE">
          <w:rPr>
            <w:noProof/>
            <w:webHidden/>
          </w:rPr>
          <w:instrText xml:space="preserve"> PAGEREF _Toc41680849 \h </w:instrText>
        </w:r>
        <w:r w:rsidR="007B3ADE">
          <w:rPr>
            <w:noProof/>
            <w:webHidden/>
          </w:rPr>
        </w:r>
        <w:r w:rsidR="007B3ADE">
          <w:rPr>
            <w:noProof/>
            <w:webHidden/>
          </w:rPr>
          <w:fldChar w:fldCharType="separate"/>
        </w:r>
        <w:r w:rsidR="00AA68F8">
          <w:rPr>
            <w:noProof/>
            <w:webHidden/>
          </w:rPr>
          <w:t>5-2</w:t>
        </w:r>
        <w:r w:rsidR="007B3ADE">
          <w:rPr>
            <w:noProof/>
            <w:webHidden/>
          </w:rPr>
          <w:fldChar w:fldCharType="end"/>
        </w:r>
      </w:hyperlink>
    </w:p>
    <w:p w14:paraId="0D9A9C4F" w14:textId="43DE18F1" w:rsidR="007B3ADE" w:rsidRDefault="00C723CB">
      <w:pPr>
        <w:pStyle w:val="TOC3"/>
        <w:tabs>
          <w:tab w:val="left" w:pos="1980"/>
        </w:tabs>
        <w:rPr>
          <w:rFonts w:asciiTheme="minorHAnsi" w:eastAsiaTheme="minorEastAsia" w:hAnsiTheme="minorHAnsi" w:cstheme="minorBidi"/>
          <w:iCs w:val="0"/>
        </w:rPr>
      </w:pPr>
      <w:hyperlink w:anchor="_Toc41680850" w:history="1">
        <w:r w:rsidR="007B3ADE" w:rsidRPr="00700A31">
          <w:rPr>
            <w:rStyle w:val="Hyperlink"/>
          </w:rPr>
          <w:t>5.1.1</w:t>
        </w:r>
        <w:r w:rsidR="007B3ADE">
          <w:rPr>
            <w:rFonts w:asciiTheme="minorHAnsi" w:eastAsiaTheme="minorEastAsia" w:hAnsiTheme="minorHAnsi" w:cstheme="minorBidi"/>
            <w:iCs w:val="0"/>
          </w:rPr>
          <w:tab/>
        </w:r>
        <w:r w:rsidR="007B3ADE" w:rsidRPr="00700A31">
          <w:rPr>
            <w:rStyle w:val="Hyperlink"/>
          </w:rPr>
          <w:t>East Valley Water District Sterling Natural Resource Center</w:t>
        </w:r>
        <w:r w:rsidR="007B3ADE">
          <w:rPr>
            <w:webHidden/>
          </w:rPr>
          <w:tab/>
        </w:r>
        <w:r w:rsidR="007B3ADE">
          <w:rPr>
            <w:webHidden/>
          </w:rPr>
          <w:fldChar w:fldCharType="begin"/>
        </w:r>
        <w:r w:rsidR="007B3ADE">
          <w:rPr>
            <w:webHidden/>
          </w:rPr>
          <w:instrText xml:space="preserve"> PAGEREF _Toc41680850 \h </w:instrText>
        </w:r>
        <w:r w:rsidR="007B3ADE">
          <w:rPr>
            <w:webHidden/>
          </w:rPr>
        </w:r>
        <w:r w:rsidR="007B3ADE">
          <w:rPr>
            <w:webHidden/>
          </w:rPr>
          <w:fldChar w:fldCharType="separate"/>
        </w:r>
        <w:r w:rsidR="00AA68F8">
          <w:rPr>
            <w:webHidden/>
          </w:rPr>
          <w:t>5-2</w:t>
        </w:r>
        <w:r w:rsidR="007B3ADE">
          <w:rPr>
            <w:webHidden/>
          </w:rPr>
          <w:fldChar w:fldCharType="end"/>
        </w:r>
      </w:hyperlink>
    </w:p>
    <w:p w14:paraId="7F6B3426" w14:textId="678BF950" w:rsidR="007B3ADE" w:rsidRDefault="00C723CB">
      <w:pPr>
        <w:pStyle w:val="TOC3"/>
        <w:tabs>
          <w:tab w:val="left" w:pos="1980"/>
        </w:tabs>
        <w:rPr>
          <w:rFonts w:asciiTheme="minorHAnsi" w:eastAsiaTheme="minorEastAsia" w:hAnsiTheme="minorHAnsi" w:cstheme="minorBidi"/>
          <w:iCs w:val="0"/>
        </w:rPr>
      </w:pPr>
      <w:hyperlink w:anchor="_Toc41680851" w:history="1">
        <w:r w:rsidR="007B3ADE" w:rsidRPr="00700A31">
          <w:rPr>
            <w:rStyle w:val="Hyperlink"/>
          </w:rPr>
          <w:t>5.1.2</w:t>
        </w:r>
        <w:r w:rsidR="007B3ADE">
          <w:rPr>
            <w:rFonts w:asciiTheme="minorHAnsi" w:eastAsiaTheme="minorEastAsia" w:hAnsiTheme="minorHAnsi" w:cstheme="minorBidi"/>
            <w:iCs w:val="0"/>
          </w:rPr>
          <w:tab/>
        </w:r>
        <w:r w:rsidR="007B3ADE" w:rsidRPr="00700A31">
          <w:rPr>
            <w:rStyle w:val="Hyperlink"/>
          </w:rPr>
          <w:t>East Valley Water District Sewer Exchange Flow Agreement</w:t>
        </w:r>
        <w:r w:rsidR="007B3ADE">
          <w:rPr>
            <w:webHidden/>
          </w:rPr>
          <w:tab/>
        </w:r>
        <w:r w:rsidR="007B3ADE">
          <w:rPr>
            <w:webHidden/>
          </w:rPr>
          <w:fldChar w:fldCharType="begin"/>
        </w:r>
        <w:r w:rsidR="007B3ADE">
          <w:rPr>
            <w:webHidden/>
          </w:rPr>
          <w:instrText xml:space="preserve"> PAGEREF _Toc41680851 \h </w:instrText>
        </w:r>
        <w:r w:rsidR="007B3ADE">
          <w:rPr>
            <w:webHidden/>
          </w:rPr>
        </w:r>
        <w:r w:rsidR="007B3ADE">
          <w:rPr>
            <w:webHidden/>
          </w:rPr>
          <w:fldChar w:fldCharType="separate"/>
        </w:r>
        <w:r w:rsidR="00AA68F8">
          <w:rPr>
            <w:webHidden/>
          </w:rPr>
          <w:t>5-3</w:t>
        </w:r>
        <w:r w:rsidR="007B3ADE">
          <w:rPr>
            <w:webHidden/>
          </w:rPr>
          <w:fldChar w:fldCharType="end"/>
        </w:r>
      </w:hyperlink>
    </w:p>
    <w:p w14:paraId="4EBC9183" w14:textId="0EC2E270" w:rsidR="007B3ADE" w:rsidRDefault="00C723CB">
      <w:pPr>
        <w:pStyle w:val="TOC3"/>
        <w:tabs>
          <w:tab w:val="left" w:pos="1980"/>
        </w:tabs>
        <w:rPr>
          <w:rFonts w:asciiTheme="minorHAnsi" w:eastAsiaTheme="minorEastAsia" w:hAnsiTheme="minorHAnsi" w:cstheme="minorBidi"/>
          <w:iCs w:val="0"/>
        </w:rPr>
      </w:pPr>
      <w:hyperlink w:anchor="_Toc41680852" w:history="1">
        <w:r w:rsidR="007B3ADE" w:rsidRPr="00700A31">
          <w:rPr>
            <w:rStyle w:val="Hyperlink"/>
          </w:rPr>
          <w:t>5.1.3</w:t>
        </w:r>
        <w:r w:rsidR="007B3ADE">
          <w:rPr>
            <w:rFonts w:asciiTheme="minorHAnsi" w:eastAsiaTheme="minorEastAsia" w:hAnsiTheme="minorHAnsi" w:cstheme="minorBidi"/>
            <w:iCs w:val="0"/>
          </w:rPr>
          <w:tab/>
        </w:r>
        <w:r w:rsidR="007B3ADE" w:rsidRPr="00700A31">
          <w:rPr>
            <w:rStyle w:val="Hyperlink"/>
          </w:rPr>
          <w:t>Clean Water Factory</w:t>
        </w:r>
        <w:r w:rsidR="007B3ADE">
          <w:rPr>
            <w:webHidden/>
          </w:rPr>
          <w:tab/>
        </w:r>
        <w:r w:rsidR="007B3ADE">
          <w:rPr>
            <w:webHidden/>
          </w:rPr>
          <w:fldChar w:fldCharType="begin"/>
        </w:r>
        <w:r w:rsidR="007B3ADE">
          <w:rPr>
            <w:webHidden/>
          </w:rPr>
          <w:instrText xml:space="preserve"> PAGEREF _Toc41680852 \h </w:instrText>
        </w:r>
        <w:r w:rsidR="007B3ADE">
          <w:rPr>
            <w:webHidden/>
          </w:rPr>
        </w:r>
        <w:r w:rsidR="007B3ADE">
          <w:rPr>
            <w:webHidden/>
          </w:rPr>
          <w:fldChar w:fldCharType="separate"/>
        </w:r>
        <w:r w:rsidR="00AA68F8">
          <w:rPr>
            <w:webHidden/>
          </w:rPr>
          <w:t>5-3</w:t>
        </w:r>
        <w:r w:rsidR="007B3ADE">
          <w:rPr>
            <w:webHidden/>
          </w:rPr>
          <w:fldChar w:fldCharType="end"/>
        </w:r>
      </w:hyperlink>
    </w:p>
    <w:p w14:paraId="3327243C" w14:textId="6A6DA22B" w:rsidR="007B3ADE" w:rsidRDefault="00C723CB">
      <w:pPr>
        <w:pStyle w:val="TOC2"/>
        <w:rPr>
          <w:rFonts w:asciiTheme="minorHAnsi" w:eastAsiaTheme="minorEastAsia" w:hAnsiTheme="minorHAnsi" w:cstheme="minorBidi"/>
          <w:noProof/>
        </w:rPr>
      </w:pPr>
      <w:hyperlink w:anchor="_Toc41680853" w:history="1">
        <w:r w:rsidR="007B3ADE" w:rsidRPr="00700A31">
          <w:rPr>
            <w:rStyle w:val="Hyperlink"/>
            <w:noProof/>
          </w:rPr>
          <w:t>5.2</w:t>
        </w:r>
        <w:r w:rsidR="007B3ADE">
          <w:rPr>
            <w:rFonts w:asciiTheme="minorHAnsi" w:eastAsiaTheme="minorEastAsia" w:hAnsiTheme="minorHAnsi" w:cstheme="minorBidi"/>
            <w:noProof/>
          </w:rPr>
          <w:tab/>
        </w:r>
        <w:r w:rsidR="007B3ADE" w:rsidRPr="00700A31">
          <w:rPr>
            <w:rStyle w:val="Hyperlink"/>
            <w:noProof/>
          </w:rPr>
          <w:t>Santa Ana River Discharge Considerations</w:t>
        </w:r>
        <w:r w:rsidR="007B3ADE">
          <w:rPr>
            <w:noProof/>
            <w:webHidden/>
          </w:rPr>
          <w:tab/>
        </w:r>
        <w:r w:rsidR="007B3ADE">
          <w:rPr>
            <w:noProof/>
            <w:webHidden/>
          </w:rPr>
          <w:fldChar w:fldCharType="begin"/>
        </w:r>
        <w:r w:rsidR="007B3ADE">
          <w:rPr>
            <w:noProof/>
            <w:webHidden/>
          </w:rPr>
          <w:instrText xml:space="preserve"> PAGEREF _Toc41680853 \h </w:instrText>
        </w:r>
        <w:r w:rsidR="007B3ADE">
          <w:rPr>
            <w:noProof/>
            <w:webHidden/>
          </w:rPr>
        </w:r>
        <w:r w:rsidR="007B3ADE">
          <w:rPr>
            <w:noProof/>
            <w:webHidden/>
          </w:rPr>
          <w:fldChar w:fldCharType="separate"/>
        </w:r>
        <w:r w:rsidR="00AA68F8">
          <w:rPr>
            <w:noProof/>
            <w:webHidden/>
          </w:rPr>
          <w:t>5-4</w:t>
        </w:r>
        <w:r w:rsidR="007B3ADE">
          <w:rPr>
            <w:noProof/>
            <w:webHidden/>
          </w:rPr>
          <w:fldChar w:fldCharType="end"/>
        </w:r>
      </w:hyperlink>
    </w:p>
    <w:p w14:paraId="7FA5DCDF" w14:textId="32B66F11" w:rsidR="007B3ADE" w:rsidRDefault="00C723CB">
      <w:pPr>
        <w:pStyle w:val="TOC3"/>
        <w:tabs>
          <w:tab w:val="left" w:pos="1980"/>
        </w:tabs>
        <w:rPr>
          <w:rFonts w:asciiTheme="minorHAnsi" w:eastAsiaTheme="minorEastAsia" w:hAnsiTheme="minorHAnsi" w:cstheme="minorBidi"/>
          <w:iCs w:val="0"/>
        </w:rPr>
      </w:pPr>
      <w:hyperlink w:anchor="_Toc41680854" w:history="1">
        <w:r w:rsidR="007B3ADE" w:rsidRPr="00700A31">
          <w:rPr>
            <w:rStyle w:val="Hyperlink"/>
          </w:rPr>
          <w:t>5.2.1</w:t>
        </w:r>
        <w:r w:rsidR="007B3ADE">
          <w:rPr>
            <w:rFonts w:asciiTheme="minorHAnsi" w:eastAsiaTheme="minorEastAsia" w:hAnsiTheme="minorHAnsi" w:cstheme="minorBidi"/>
            <w:iCs w:val="0"/>
          </w:rPr>
          <w:tab/>
        </w:r>
        <w:r w:rsidR="007B3ADE" w:rsidRPr="00700A31">
          <w:rPr>
            <w:rStyle w:val="Hyperlink"/>
          </w:rPr>
          <w:t>Rapid Infiltration Extraction Facility</w:t>
        </w:r>
        <w:r w:rsidR="007B3ADE">
          <w:rPr>
            <w:webHidden/>
          </w:rPr>
          <w:tab/>
        </w:r>
        <w:r w:rsidR="007B3ADE">
          <w:rPr>
            <w:webHidden/>
          </w:rPr>
          <w:fldChar w:fldCharType="begin"/>
        </w:r>
        <w:r w:rsidR="007B3ADE">
          <w:rPr>
            <w:webHidden/>
          </w:rPr>
          <w:instrText xml:space="preserve"> PAGEREF _Toc41680854 \h </w:instrText>
        </w:r>
        <w:r w:rsidR="007B3ADE">
          <w:rPr>
            <w:webHidden/>
          </w:rPr>
        </w:r>
        <w:r w:rsidR="007B3ADE">
          <w:rPr>
            <w:webHidden/>
          </w:rPr>
          <w:fldChar w:fldCharType="separate"/>
        </w:r>
        <w:r w:rsidR="00AA68F8">
          <w:rPr>
            <w:webHidden/>
          </w:rPr>
          <w:t>5-5</w:t>
        </w:r>
        <w:r w:rsidR="007B3ADE">
          <w:rPr>
            <w:webHidden/>
          </w:rPr>
          <w:fldChar w:fldCharType="end"/>
        </w:r>
      </w:hyperlink>
    </w:p>
    <w:p w14:paraId="1917575E" w14:textId="09AC2F21" w:rsidR="007B3ADE" w:rsidRDefault="00C723CB">
      <w:pPr>
        <w:pStyle w:val="TOC3"/>
        <w:tabs>
          <w:tab w:val="left" w:pos="1980"/>
        </w:tabs>
        <w:rPr>
          <w:rFonts w:asciiTheme="minorHAnsi" w:eastAsiaTheme="minorEastAsia" w:hAnsiTheme="minorHAnsi" w:cstheme="minorBidi"/>
          <w:iCs w:val="0"/>
        </w:rPr>
      </w:pPr>
      <w:hyperlink w:anchor="_Toc41680855" w:history="1">
        <w:r w:rsidR="007B3ADE" w:rsidRPr="00700A31">
          <w:rPr>
            <w:rStyle w:val="Hyperlink"/>
          </w:rPr>
          <w:t>5.2.2</w:t>
        </w:r>
        <w:r w:rsidR="007B3ADE">
          <w:rPr>
            <w:rFonts w:asciiTheme="minorHAnsi" w:eastAsiaTheme="minorEastAsia" w:hAnsiTheme="minorHAnsi" w:cstheme="minorBidi"/>
            <w:iCs w:val="0"/>
          </w:rPr>
          <w:tab/>
        </w:r>
        <w:r w:rsidR="007B3ADE" w:rsidRPr="00700A31">
          <w:rPr>
            <w:rStyle w:val="Hyperlink"/>
          </w:rPr>
          <w:t>1969 Judgement Water Discharge Obligations to the Santa Ana River</w:t>
        </w:r>
        <w:r w:rsidR="007B3ADE">
          <w:rPr>
            <w:webHidden/>
          </w:rPr>
          <w:tab/>
        </w:r>
        <w:r w:rsidR="007B3ADE">
          <w:rPr>
            <w:webHidden/>
          </w:rPr>
          <w:fldChar w:fldCharType="begin"/>
        </w:r>
        <w:r w:rsidR="007B3ADE">
          <w:rPr>
            <w:webHidden/>
          </w:rPr>
          <w:instrText xml:space="preserve"> PAGEREF _Toc41680855 \h </w:instrText>
        </w:r>
        <w:r w:rsidR="007B3ADE">
          <w:rPr>
            <w:webHidden/>
          </w:rPr>
        </w:r>
        <w:r w:rsidR="007B3ADE">
          <w:rPr>
            <w:webHidden/>
          </w:rPr>
          <w:fldChar w:fldCharType="separate"/>
        </w:r>
        <w:r w:rsidR="00AA68F8">
          <w:rPr>
            <w:webHidden/>
          </w:rPr>
          <w:t>5-5</w:t>
        </w:r>
        <w:r w:rsidR="007B3ADE">
          <w:rPr>
            <w:webHidden/>
          </w:rPr>
          <w:fldChar w:fldCharType="end"/>
        </w:r>
      </w:hyperlink>
    </w:p>
    <w:p w14:paraId="2F7F6A78" w14:textId="597EA128" w:rsidR="007B3ADE" w:rsidRDefault="00C723CB">
      <w:pPr>
        <w:pStyle w:val="TOC3"/>
        <w:tabs>
          <w:tab w:val="left" w:pos="1980"/>
        </w:tabs>
        <w:rPr>
          <w:rFonts w:asciiTheme="minorHAnsi" w:eastAsiaTheme="minorEastAsia" w:hAnsiTheme="minorHAnsi" w:cstheme="minorBidi"/>
          <w:iCs w:val="0"/>
        </w:rPr>
      </w:pPr>
      <w:hyperlink w:anchor="_Toc41680856" w:history="1">
        <w:r w:rsidR="007B3ADE" w:rsidRPr="00700A31">
          <w:rPr>
            <w:rStyle w:val="Hyperlink"/>
          </w:rPr>
          <w:t>5.2.3</w:t>
        </w:r>
        <w:r w:rsidR="007B3ADE">
          <w:rPr>
            <w:rFonts w:asciiTheme="minorHAnsi" w:eastAsiaTheme="minorEastAsia" w:hAnsiTheme="minorHAnsi" w:cstheme="minorBidi"/>
            <w:iCs w:val="0"/>
          </w:rPr>
          <w:tab/>
        </w:r>
        <w:r w:rsidR="007B3ADE" w:rsidRPr="00700A31">
          <w:rPr>
            <w:rStyle w:val="Hyperlink"/>
          </w:rPr>
          <w:t>Upper Santa Ana River Habitat Conservation Plan</w:t>
        </w:r>
        <w:r w:rsidR="007B3ADE">
          <w:rPr>
            <w:webHidden/>
          </w:rPr>
          <w:tab/>
        </w:r>
        <w:r w:rsidR="007B3ADE">
          <w:rPr>
            <w:webHidden/>
          </w:rPr>
          <w:fldChar w:fldCharType="begin"/>
        </w:r>
        <w:r w:rsidR="007B3ADE">
          <w:rPr>
            <w:webHidden/>
          </w:rPr>
          <w:instrText xml:space="preserve"> PAGEREF _Toc41680856 \h </w:instrText>
        </w:r>
        <w:r w:rsidR="007B3ADE">
          <w:rPr>
            <w:webHidden/>
          </w:rPr>
        </w:r>
        <w:r w:rsidR="007B3ADE">
          <w:rPr>
            <w:webHidden/>
          </w:rPr>
          <w:fldChar w:fldCharType="separate"/>
        </w:r>
        <w:r w:rsidR="00AA68F8">
          <w:rPr>
            <w:webHidden/>
          </w:rPr>
          <w:t>5-6</w:t>
        </w:r>
        <w:r w:rsidR="007B3ADE">
          <w:rPr>
            <w:webHidden/>
          </w:rPr>
          <w:fldChar w:fldCharType="end"/>
        </w:r>
      </w:hyperlink>
    </w:p>
    <w:p w14:paraId="462455B6" w14:textId="1EEADC90" w:rsidR="007B3ADE" w:rsidRDefault="00C723CB">
      <w:pPr>
        <w:pStyle w:val="TOC3"/>
        <w:tabs>
          <w:tab w:val="left" w:pos="1980"/>
        </w:tabs>
        <w:rPr>
          <w:rFonts w:asciiTheme="minorHAnsi" w:eastAsiaTheme="minorEastAsia" w:hAnsiTheme="minorHAnsi" w:cstheme="minorBidi"/>
          <w:iCs w:val="0"/>
        </w:rPr>
      </w:pPr>
      <w:hyperlink w:anchor="_Toc41680857" w:history="1">
        <w:r w:rsidR="007B3ADE" w:rsidRPr="00700A31">
          <w:rPr>
            <w:rStyle w:val="Hyperlink"/>
          </w:rPr>
          <w:t>5.2.4</w:t>
        </w:r>
        <w:r w:rsidR="007B3ADE">
          <w:rPr>
            <w:rFonts w:asciiTheme="minorHAnsi" w:eastAsiaTheme="minorEastAsia" w:hAnsiTheme="minorHAnsi" w:cstheme="minorBidi"/>
            <w:iCs w:val="0"/>
          </w:rPr>
          <w:tab/>
        </w:r>
        <w:r w:rsidR="007B3ADE" w:rsidRPr="00700A31">
          <w:rPr>
            <w:rStyle w:val="Hyperlink"/>
          </w:rPr>
          <w:t>Center for Biological Diversity Agreement</w:t>
        </w:r>
        <w:r w:rsidR="007B3ADE">
          <w:rPr>
            <w:webHidden/>
          </w:rPr>
          <w:tab/>
        </w:r>
        <w:r w:rsidR="007B3ADE">
          <w:rPr>
            <w:webHidden/>
          </w:rPr>
          <w:fldChar w:fldCharType="begin"/>
        </w:r>
        <w:r w:rsidR="007B3ADE">
          <w:rPr>
            <w:webHidden/>
          </w:rPr>
          <w:instrText xml:space="preserve"> PAGEREF _Toc41680857 \h </w:instrText>
        </w:r>
        <w:r w:rsidR="007B3ADE">
          <w:rPr>
            <w:webHidden/>
          </w:rPr>
        </w:r>
        <w:r w:rsidR="007B3ADE">
          <w:rPr>
            <w:webHidden/>
          </w:rPr>
          <w:fldChar w:fldCharType="separate"/>
        </w:r>
        <w:r w:rsidR="00AA68F8">
          <w:rPr>
            <w:webHidden/>
          </w:rPr>
          <w:t>5-6</w:t>
        </w:r>
        <w:r w:rsidR="007B3ADE">
          <w:rPr>
            <w:webHidden/>
          </w:rPr>
          <w:fldChar w:fldCharType="end"/>
        </w:r>
      </w:hyperlink>
    </w:p>
    <w:p w14:paraId="7AF8F1F8" w14:textId="5EF83BA7" w:rsidR="007B3ADE" w:rsidRDefault="00C723CB">
      <w:pPr>
        <w:pStyle w:val="TOC3"/>
        <w:tabs>
          <w:tab w:val="left" w:pos="1980"/>
        </w:tabs>
        <w:rPr>
          <w:rFonts w:asciiTheme="minorHAnsi" w:eastAsiaTheme="minorEastAsia" w:hAnsiTheme="minorHAnsi" w:cstheme="minorBidi"/>
          <w:iCs w:val="0"/>
        </w:rPr>
      </w:pPr>
      <w:hyperlink w:anchor="_Toc41680858" w:history="1">
        <w:r w:rsidR="007B3ADE" w:rsidRPr="00700A31">
          <w:rPr>
            <w:rStyle w:val="Hyperlink"/>
          </w:rPr>
          <w:t>5.2.5</w:t>
        </w:r>
        <w:r w:rsidR="007B3ADE">
          <w:rPr>
            <w:rFonts w:asciiTheme="minorHAnsi" w:eastAsiaTheme="minorEastAsia" w:hAnsiTheme="minorHAnsi" w:cstheme="minorBidi"/>
            <w:iCs w:val="0"/>
          </w:rPr>
          <w:tab/>
        </w:r>
        <w:r w:rsidR="007B3ADE" w:rsidRPr="00700A31">
          <w:rPr>
            <w:rStyle w:val="Hyperlink"/>
          </w:rPr>
          <w:t>Impacts to the Facilities Master Plan</w:t>
        </w:r>
        <w:r w:rsidR="007B3ADE">
          <w:rPr>
            <w:webHidden/>
          </w:rPr>
          <w:tab/>
        </w:r>
        <w:r w:rsidR="007B3ADE">
          <w:rPr>
            <w:webHidden/>
          </w:rPr>
          <w:fldChar w:fldCharType="begin"/>
        </w:r>
        <w:r w:rsidR="007B3ADE">
          <w:rPr>
            <w:webHidden/>
          </w:rPr>
          <w:instrText xml:space="preserve"> PAGEREF _Toc41680858 \h </w:instrText>
        </w:r>
        <w:r w:rsidR="007B3ADE">
          <w:rPr>
            <w:webHidden/>
          </w:rPr>
        </w:r>
        <w:r w:rsidR="007B3ADE">
          <w:rPr>
            <w:webHidden/>
          </w:rPr>
          <w:fldChar w:fldCharType="separate"/>
        </w:r>
        <w:r w:rsidR="00AA68F8">
          <w:rPr>
            <w:webHidden/>
          </w:rPr>
          <w:t>5-7</w:t>
        </w:r>
        <w:r w:rsidR="007B3ADE">
          <w:rPr>
            <w:webHidden/>
          </w:rPr>
          <w:fldChar w:fldCharType="end"/>
        </w:r>
      </w:hyperlink>
    </w:p>
    <w:p w14:paraId="3B67A28B" w14:textId="72F9647B" w:rsidR="007B3ADE" w:rsidRDefault="00C723CB">
      <w:pPr>
        <w:pStyle w:val="TOC2"/>
        <w:rPr>
          <w:rFonts w:asciiTheme="minorHAnsi" w:eastAsiaTheme="minorEastAsia" w:hAnsiTheme="minorHAnsi" w:cstheme="minorBidi"/>
          <w:noProof/>
        </w:rPr>
      </w:pPr>
      <w:hyperlink w:anchor="_Toc41680859" w:history="1">
        <w:r w:rsidR="007B3ADE" w:rsidRPr="00700A31">
          <w:rPr>
            <w:rStyle w:val="Hyperlink"/>
            <w:noProof/>
          </w:rPr>
          <w:t>5.3</w:t>
        </w:r>
        <w:r w:rsidR="007B3ADE">
          <w:rPr>
            <w:rFonts w:asciiTheme="minorHAnsi" w:eastAsiaTheme="minorEastAsia" w:hAnsiTheme="minorHAnsi" w:cstheme="minorBidi"/>
            <w:noProof/>
          </w:rPr>
          <w:tab/>
        </w:r>
        <w:r w:rsidR="007B3ADE" w:rsidRPr="00700A31">
          <w:rPr>
            <w:rStyle w:val="Hyperlink"/>
            <w:noProof/>
          </w:rPr>
          <w:t>Flood Hazard</w:t>
        </w:r>
        <w:r w:rsidR="007B3ADE">
          <w:rPr>
            <w:noProof/>
            <w:webHidden/>
          </w:rPr>
          <w:tab/>
        </w:r>
        <w:r w:rsidR="007B3ADE">
          <w:rPr>
            <w:noProof/>
            <w:webHidden/>
          </w:rPr>
          <w:fldChar w:fldCharType="begin"/>
        </w:r>
        <w:r w:rsidR="007B3ADE">
          <w:rPr>
            <w:noProof/>
            <w:webHidden/>
          </w:rPr>
          <w:instrText xml:space="preserve"> PAGEREF _Toc41680859 \h </w:instrText>
        </w:r>
        <w:r w:rsidR="007B3ADE">
          <w:rPr>
            <w:noProof/>
            <w:webHidden/>
          </w:rPr>
        </w:r>
        <w:r w:rsidR="007B3ADE">
          <w:rPr>
            <w:noProof/>
            <w:webHidden/>
          </w:rPr>
          <w:fldChar w:fldCharType="separate"/>
        </w:r>
        <w:r w:rsidR="00AA68F8">
          <w:rPr>
            <w:noProof/>
            <w:webHidden/>
          </w:rPr>
          <w:t>5-8</w:t>
        </w:r>
        <w:r w:rsidR="007B3ADE">
          <w:rPr>
            <w:noProof/>
            <w:webHidden/>
          </w:rPr>
          <w:fldChar w:fldCharType="end"/>
        </w:r>
      </w:hyperlink>
    </w:p>
    <w:p w14:paraId="11D37442" w14:textId="1C1383F2" w:rsidR="007B3ADE" w:rsidRDefault="00C723CB">
      <w:pPr>
        <w:pStyle w:val="TOC2"/>
        <w:rPr>
          <w:rFonts w:asciiTheme="minorHAnsi" w:eastAsiaTheme="minorEastAsia" w:hAnsiTheme="minorHAnsi" w:cstheme="minorBidi"/>
          <w:noProof/>
        </w:rPr>
      </w:pPr>
      <w:hyperlink w:anchor="_Toc41680860" w:history="1">
        <w:r w:rsidR="007B3ADE" w:rsidRPr="00700A31">
          <w:rPr>
            <w:rStyle w:val="Hyperlink"/>
            <w:noProof/>
          </w:rPr>
          <w:t>5.4</w:t>
        </w:r>
        <w:r w:rsidR="007B3ADE">
          <w:rPr>
            <w:rFonts w:asciiTheme="minorHAnsi" w:eastAsiaTheme="minorEastAsia" w:hAnsiTheme="minorHAnsi" w:cstheme="minorBidi"/>
            <w:noProof/>
          </w:rPr>
          <w:tab/>
        </w:r>
        <w:r w:rsidR="007B3ADE" w:rsidRPr="00700A31">
          <w:rPr>
            <w:rStyle w:val="Hyperlink"/>
            <w:noProof/>
          </w:rPr>
          <w:t>Stormwater Management</w:t>
        </w:r>
        <w:r w:rsidR="007B3ADE">
          <w:rPr>
            <w:noProof/>
            <w:webHidden/>
          </w:rPr>
          <w:tab/>
        </w:r>
        <w:r w:rsidR="007B3ADE">
          <w:rPr>
            <w:noProof/>
            <w:webHidden/>
          </w:rPr>
          <w:fldChar w:fldCharType="begin"/>
        </w:r>
        <w:r w:rsidR="007B3ADE">
          <w:rPr>
            <w:noProof/>
            <w:webHidden/>
          </w:rPr>
          <w:instrText xml:space="preserve"> PAGEREF _Toc41680860 \h </w:instrText>
        </w:r>
        <w:r w:rsidR="007B3ADE">
          <w:rPr>
            <w:noProof/>
            <w:webHidden/>
          </w:rPr>
        </w:r>
        <w:r w:rsidR="007B3ADE">
          <w:rPr>
            <w:noProof/>
            <w:webHidden/>
          </w:rPr>
          <w:fldChar w:fldCharType="separate"/>
        </w:r>
        <w:r w:rsidR="00AA68F8">
          <w:rPr>
            <w:noProof/>
            <w:webHidden/>
          </w:rPr>
          <w:t>5-9</w:t>
        </w:r>
        <w:r w:rsidR="007B3ADE">
          <w:rPr>
            <w:noProof/>
            <w:webHidden/>
          </w:rPr>
          <w:fldChar w:fldCharType="end"/>
        </w:r>
      </w:hyperlink>
    </w:p>
    <w:p w14:paraId="781FBF92" w14:textId="71647AD1" w:rsidR="007B3ADE" w:rsidRDefault="00C723CB">
      <w:pPr>
        <w:pStyle w:val="TOC3"/>
        <w:tabs>
          <w:tab w:val="left" w:pos="1980"/>
        </w:tabs>
        <w:rPr>
          <w:rFonts w:asciiTheme="minorHAnsi" w:eastAsiaTheme="minorEastAsia" w:hAnsiTheme="minorHAnsi" w:cstheme="minorBidi"/>
          <w:iCs w:val="0"/>
        </w:rPr>
      </w:pPr>
      <w:hyperlink w:anchor="_Toc41680861" w:history="1">
        <w:r w:rsidR="007B3ADE" w:rsidRPr="00700A31">
          <w:rPr>
            <w:rStyle w:val="Hyperlink"/>
          </w:rPr>
          <w:t>5.4.1</w:t>
        </w:r>
        <w:r w:rsidR="007B3ADE">
          <w:rPr>
            <w:rFonts w:asciiTheme="minorHAnsi" w:eastAsiaTheme="minorEastAsia" w:hAnsiTheme="minorHAnsi" w:cstheme="minorBidi"/>
            <w:iCs w:val="0"/>
          </w:rPr>
          <w:tab/>
        </w:r>
        <w:r w:rsidR="007B3ADE" w:rsidRPr="00700A31">
          <w:rPr>
            <w:rStyle w:val="Hyperlink"/>
          </w:rPr>
          <w:t>Zones 1A and 1B</w:t>
        </w:r>
        <w:r w:rsidR="007B3ADE">
          <w:rPr>
            <w:webHidden/>
          </w:rPr>
          <w:tab/>
        </w:r>
        <w:r w:rsidR="007B3ADE">
          <w:rPr>
            <w:webHidden/>
          </w:rPr>
          <w:fldChar w:fldCharType="begin"/>
        </w:r>
        <w:r w:rsidR="007B3ADE">
          <w:rPr>
            <w:webHidden/>
          </w:rPr>
          <w:instrText xml:space="preserve"> PAGEREF _Toc41680861 \h </w:instrText>
        </w:r>
        <w:r w:rsidR="007B3ADE">
          <w:rPr>
            <w:webHidden/>
          </w:rPr>
        </w:r>
        <w:r w:rsidR="007B3ADE">
          <w:rPr>
            <w:webHidden/>
          </w:rPr>
          <w:fldChar w:fldCharType="separate"/>
        </w:r>
        <w:r w:rsidR="00AA68F8">
          <w:rPr>
            <w:webHidden/>
          </w:rPr>
          <w:t>5-9</w:t>
        </w:r>
        <w:r w:rsidR="007B3ADE">
          <w:rPr>
            <w:webHidden/>
          </w:rPr>
          <w:fldChar w:fldCharType="end"/>
        </w:r>
      </w:hyperlink>
    </w:p>
    <w:p w14:paraId="75053BB2" w14:textId="46A161F3" w:rsidR="007B3ADE" w:rsidRDefault="00C723CB">
      <w:pPr>
        <w:pStyle w:val="TOC3"/>
        <w:tabs>
          <w:tab w:val="left" w:pos="1980"/>
        </w:tabs>
        <w:rPr>
          <w:rFonts w:asciiTheme="minorHAnsi" w:eastAsiaTheme="minorEastAsia" w:hAnsiTheme="minorHAnsi" w:cstheme="minorBidi"/>
          <w:iCs w:val="0"/>
        </w:rPr>
      </w:pPr>
      <w:hyperlink w:anchor="_Toc41680862" w:history="1">
        <w:r w:rsidR="007B3ADE" w:rsidRPr="00700A31">
          <w:rPr>
            <w:rStyle w:val="Hyperlink"/>
          </w:rPr>
          <w:t>5.4.2</w:t>
        </w:r>
        <w:r w:rsidR="007B3ADE">
          <w:rPr>
            <w:rFonts w:asciiTheme="minorHAnsi" w:eastAsiaTheme="minorEastAsia" w:hAnsiTheme="minorHAnsi" w:cstheme="minorBidi"/>
            <w:iCs w:val="0"/>
          </w:rPr>
          <w:tab/>
        </w:r>
        <w:r w:rsidR="007B3ADE" w:rsidRPr="00700A31">
          <w:rPr>
            <w:rStyle w:val="Hyperlink"/>
          </w:rPr>
          <w:t>Zone 2</w:t>
        </w:r>
        <w:r w:rsidR="007B3ADE">
          <w:rPr>
            <w:webHidden/>
          </w:rPr>
          <w:tab/>
        </w:r>
        <w:r w:rsidR="007B3ADE">
          <w:rPr>
            <w:webHidden/>
          </w:rPr>
          <w:fldChar w:fldCharType="begin"/>
        </w:r>
        <w:r w:rsidR="007B3ADE">
          <w:rPr>
            <w:webHidden/>
          </w:rPr>
          <w:instrText xml:space="preserve"> PAGEREF _Toc41680862 \h </w:instrText>
        </w:r>
        <w:r w:rsidR="007B3ADE">
          <w:rPr>
            <w:webHidden/>
          </w:rPr>
        </w:r>
        <w:r w:rsidR="007B3ADE">
          <w:rPr>
            <w:webHidden/>
          </w:rPr>
          <w:fldChar w:fldCharType="separate"/>
        </w:r>
        <w:r w:rsidR="00AA68F8">
          <w:rPr>
            <w:webHidden/>
          </w:rPr>
          <w:t>5-10</w:t>
        </w:r>
        <w:r w:rsidR="007B3ADE">
          <w:rPr>
            <w:webHidden/>
          </w:rPr>
          <w:fldChar w:fldCharType="end"/>
        </w:r>
      </w:hyperlink>
    </w:p>
    <w:p w14:paraId="64D01F03" w14:textId="450AC5F1" w:rsidR="007B3ADE" w:rsidRDefault="00C723CB">
      <w:pPr>
        <w:pStyle w:val="TOC3"/>
        <w:tabs>
          <w:tab w:val="left" w:pos="1980"/>
        </w:tabs>
        <w:rPr>
          <w:rFonts w:asciiTheme="minorHAnsi" w:eastAsiaTheme="minorEastAsia" w:hAnsiTheme="minorHAnsi" w:cstheme="minorBidi"/>
          <w:iCs w:val="0"/>
        </w:rPr>
      </w:pPr>
      <w:hyperlink w:anchor="_Toc41680863" w:history="1">
        <w:r w:rsidR="007B3ADE" w:rsidRPr="00700A31">
          <w:rPr>
            <w:rStyle w:val="Hyperlink"/>
          </w:rPr>
          <w:t>5.4.3</w:t>
        </w:r>
        <w:r w:rsidR="007B3ADE">
          <w:rPr>
            <w:rFonts w:asciiTheme="minorHAnsi" w:eastAsiaTheme="minorEastAsia" w:hAnsiTheme="minorHAnsi" w:cstheme="minorBidi"/>
            <w:iCs w:val="0"/>
          </w:rPr>
          <w:tab/>
        </w:r>
        <w:r w:rsidR="007B3ADE" w:rsidRPr="00700A31">
          <w:rPr>
            <w:rStyle w:val="Hyperlink"/>
          </w:rPr>
          <w:t>Zone 3</w:t>
        </w:r>
        <w:r w:rsidR="007B3ADE">
          <w:rPr>
            <w:webHidden/>
          </w:rPr>
          <w:tab/>
        </w:r>
        <w:r w:rsidR="007B3ADE">
          <w:rPr>
            <w:webHidden/>
          </w:rPr>
          <w:fldChar w:fldCharType="begin"/>
        </w:r>
        <w:r w:rsidR="007B3ADE">
          <w:rPr>
            <w:webHidden/>
          </w:rPr>
          <w:instrText xml:space="preserve"> PAGEREF _Toc41680863 \h </w:instrText>
        </w:r>
        <w:r w:rsidR="007B3ADE">
          <w:rPr>
            <w:webHidden/>
          </w:rPr>
        </w:r>
        <w:r w:rsidR="007B3ADE">
          <w:rPr>
            <w:webHidden/>
          </w:rPr>
          <w:fldChar w:fldCharType="separate"/>
        </w:r>
        <w:r w:rsidR="00AA68F8">
          <w:rPr>
            <w:webHidden/>
          </w:rPr>
          <w:t>5-10</w:t>
        </w:r>
        <w:r w:rsidR="007B3ADE">
          <w:rPr>
            <w:webHidden/>
          </w:rPr>
          <w:fldChar w:fldCharType="end"/>
        </w:r>
      </w:hyperlink>
    </w:p>
    <w:p w14:paraId="1F429FF7" w14:textId="6272AD26" w:rsidR="007B3ADE" w:rsidRDefault="00C723CB">
      <w:pPr>
        <w:pStyle w:val="TOC3"/>
        <w:tabs>
          <w:tab w:val="left" w:pos="1980"/>
        </w:tabs>
        <w:rPr>
          <w:rFonts w:asciiTheme="minorHAnsi" w:eastAsiaTheme="minorEastAsia" w:hAnsiTheme="minorHAnsi" w:cstheme="minorBidi"/>
          <w:iCs w:val="0"/>
        </w:rPr>
      </w:pPr>
      <w:hyperlink w:anchor="_Toc41680864" w:history="1">
        <w:r w:rsidR="007B3ADE" w:rsidRPr="00700A31">
          <w:rPr>
            <w:rStyle w:val="Hyperlink"/>
          </w:rPr>
          <w:t>5.4.4</w:t>
        </w:r>
        <w:r w:rsidR="007B3ADE">
          <w:rPr>
            <w:rFonts w:asciiTheme="minorHAnsi" w:eastAsiaTheme="minorEastAsia" w:hAnsiTheme="minorHAnsi" w:cstheme="minorBidi"/>
            <w:iCs w:val="0"/>
          </w:rPr>
          <w:tab/>
        </w:r>
        <w:r w:rsidR="007B3ADE" w:rsidRPr="00700A31">
          <w:rPr>
            <w:rStyle w:val="Hyperlink"/>
          </w:rPr>
          <w:t>Zone 4</w:t>
        </w:r>
        <w:r w:rsidR="007B3ADE">
          <w:rPr>
            <w:webHidden/>
          </w:rPr>
          <w:tab/>
        </w:r>
        <w:r w:rsidR="007B3ADE">
          <w:rPr>
            <w:webHidden/>
          </w:rPr>
          <w:fldChar w:fldCharType="begin"/>
        </w:r>
        <w:r w:rsidR="007B3ADE">
          <w:rPr>
            <w:webHidden/>
          </w:rPr>
          <w:instrText xml:space="preserve"> PAGEREF _Toc41680864 \h </w:instrText>
        </w:r>
        <w:r w:rsidR="007B3ADE">
          <w:rPr>
            <w:webHidden/>
          </w:rPr>
        </w:r>
        <w:r w:rsidR="007B3ADE">
          <w:rPr>
            <w:webHidden/>
          </w:rPr>
          <w:fldChar w:fldCharType="separate"/>
        </w:r>
        <w:r w:rsidR="00AA68F8">
          <w:rPr>
            <w:webHidden/>
          </w:rPr>
          <w:t>5-10</w:t>
        </w:r>
        <w:r w:rsidR="007B3ADE">
          <w:rPr>
            <w:webHidden/>
          </w:rPr>
          <w:fldChar w:fldCharType="end"/>
        </w:r>
      </w:hyperlink>
    </w:p>
    <w:p w14:paraId="59FF9375" w14:textId="3B85F142" w:rsidR="007B3ADE" w:rsidRDefault="00C723CB">
      <w:pPr>
        <w:pStyle w:val="TOC3"/>
        <w:tabs>
          <w:tab w:val="left" w:pos="1980"/>
        </w:tabs>
        <w:rPr>
          <w:rFonts w:asciiTheme="minorHAnsi" w:eastAsiaTheme="minorEastAsia" w:hAnsiTheme="minorHAnsi" w:cstheme="minorBidi"/>
          <w:iCs w:val="0"/>
        </w:rPr>
      </w:pPr>
      <w:hyperlink w:anchor="_Toc41680865" w:history="1">
        <w:r w:rsidR="007B3ADE" w:rsidRPr="00700A31">
          <w:rPr>
            <w:rStyle w:val="Hyperlink"/>
          </w:rPr>
          <w:t>5.4.5</w:t>
        </w:r>
        <w:r w:rsidR="007B3ADE">
          <w:rPr>
            <w:rFonts w:asciiTheme="minorHAnsi" w:eastAsiaTheme="minorEastAsia" w:hAnsiTheme="minorHAnsi" w:cstheme="minorBidi"/>
            <w:iCs w:val="0"/>
          </w:rPr>
          <w:tab/>
        </w:r>
        <w:r w:rsidR="007B3ADE" w:rsidRPr="00700A31">
          <w:rPr>
            <w:rStyle w:val="Hyperlink"/>
          </w:rPr>
          <w:t>Offsite Stormwater Flows</w:t>
        </w:r>
        <w:r w:rsidR="007B3ADE">
          <w:rPr>
            <w:webHidden/>
          </w:rPr>
          <w:tab/>
        </w:r>
        <w:r w:rsidR="007B3ADE">
          <w:rPr>
            <w:webHidden/>
          </w:rPr>
          <w:fldChar w:fldCharType="begin"/>
        </w:r>
        <w:r w:rsidR="007B3ADE">
          <w:rPr>
            <w:webHidden/>
          </w:rPr>
          <w:instrText xml:space="preserve"> PAGEREF _Toc41680865 \h </w:instrText>
        </w:r>
        <w:r w:rsidR="007B3ADE">
          <w:rPr>
            <w:webHidden/>
          </w:rPr>
        </w:r>
        <w:r w:rsidR="007B3ADE">
          <w:rPr>
            <w:webHidden/>
          </w:rPr>
          <w:fldChar w:fldCharType="separate"/>
        </w:r>
        <w:r w:rsidR="00AA68F8">
          <w:rPr>
            <w:webHidden/>
          </w:rPr>
          <w:t>5-10</w:t>
        </w:r>
        <w:r w:rsidR="007B3ADE">
          <w:rPr>
            <w:webHidden/>
          </w:rPr>
          <w:fldChar w:fldCharType="end"/>
        </w:r>
      </w:hyperlink>
    </w:p>
    <w:p w14:paraId="3CC8C958" w14:textId="40F2E155" w:rsidR="007B3ADE" w:rsidRDefault="00C723CB">
      <w:pPr>
        <w:pStyle w:val="TOC2"/>
        <w:rPr>
          <w:rFonts w:asciiTheme="minorHAnsi" w:eastAsiaTheme="minorEastAsia" w:hAnsiTheme="minorHAnsi" w:cstheme="minorBidi"/>
          <w:noProof/>
        </w:rPr>
      </w:pPr>
      <w:hyperlink w:anchor="_Toc41680866" w:history="1">
        <w:r w:rsidR="007B3ADE" w:rsidRPr="00700A31">
          <w:rPr>
            <w:rStyle w:val="Hyperlink"/>
            <w:noProof/>
          </w:rPr>
          <w:t>5.5</w:t>
        </w:r>
        <w:r w:rsidR="007B3ADE">
          <w:rPr>
            <w:rFonts w:asciiTheme="minorHAnsi" w:eastAsiaTheme="minorEastAsia" w:hAnsiTheme="minorHAnsi" w:cstheme="minorBidi"/>
            <w:noProof/>
          </w:rPr>
          <w:tab/>
        </w:r>
        <w:r w:rsidR="007B3ADE" w:rsidRPr="00700A31">
          <w:rPr>
            <w:rStyle w:val="Hyperlink"/>
            <w:noProof/>
          </w:rPr>
          <w:t>Groundwater</w:t>
        </w:r>
        <w:r w:rsidR="007B3ADE">
          <w:rPr>
            <w:noProof/>
            <w:webHidden/>
          </w:rPr>
          <w:tab/>
        </w:r>
        <w:r w:rsidR="007B3ADE">
          <w:rPr>
            <w:noProof/>
            <w:webHidden/>
          </w:rPr>
          <w:fldChar w:fldCharType="begin"/>
        </w:r>
        <w:r w:rsidR="007B3ADE">
          <w:rPr>
            <w:noProof/>
            <w:webHidden/>
          </w:rPr>
          <w:instrText xml:space="preserve"> PAGEREF _Toc41680866 \h </w:instrText>
        </w:r>
        <w:r w:rsidR="007B3ADE">
          <w:rPr>
            <w:noProof/>
            <w:webHidden/>
          </w:rPr>
        </w:r>
        <w:r w:rsidR="007B3ADE">
          <w:rPr>
            <w:noProof/>
            <w:webHidden/>
          </w:rPr>
          <w:fldChar w:fldCharType="separate"/>
        </w:r>
        <w:r w:rsidR="00AA68F8">
          <w:rPr>
            <w:noProof/>
            <w:webHidden/>
          </w:rPr>
          <w:t>5-10</w:t>
        </w:r>
        <w:r w:rsidR="007B3ADE">
          <w:rPr>
            <w:noProof/>
            <w:webHidden/>
          </w:rPr>
          <w:fldChar w:fldCharType="end"/>
        </w:r>
      </w:hyperlink>
    </w:p>
    <w:p w14:paraId="7DE106A3" w14:textId="6A54505F" w:rsidR="007B3ADE" w:rsidRDefault="00C723CB">
      <w:pPr>
        <w:pStyle w:val="TOC2"/>
        <w:rPr>
          <w:rFonts w:asciiTheme="minorHAnsi" w:eastAsiaTheme="minorEastAsia" w:hAnsiTheme="minorHAnsi" w:cstheme="minorBidi"/>
          <w:noProof/>
        </w:rPr>
      </w:pPr>
      <w:hyperlink w:anchor="_Toc41680867" w:history="1">
        <w:r w:rsidR="007B3ADE" w:rsidRPr="00700A31">
          <w:rPr>
            <w:rStyle w:val="Hyperlink"/>
            <w:noProof/>
          </w:rPr>
          <w:t>5.6</w:t>
        </w:r>
        <w:r w:rsidR="007B3ADE">
          <w:rPr>
            <w:rFonts w:asciiTheme="minorHAnsi" w:eastAsiaTheme="minorEastAsia" w:hAnsiTheme="minorHAnsi" w:cstheme="minorBidi"/>
            <w:noProof/>
          </w:rPr>
          <w:tab/>
        </w:r>
        <w:r w:rsidR="007B3ADE" w:rsidRPr="00700A31">
          <w:rPr>
            <w:rStyle w:val="Hyperlink"/>
            <w:noProof/>
          </w:rPr>
          <w:t>Seismicity</w:t>
        </w:r>
        <w:r w:rsidR="007B3ADE">
          <w:rPr>
            <w:noProof/>
            <w:webHidden/>
          </w:rPr>
          <w:tab/>
        </w:r>
        <w:r w:rsidR="007B3ADE">
          <w:rPr>
            <w:noProof/>
            <w:webHidden/>
          </w:rPr>
          <w:fldChar w:fldCharType="begin"/>
        </w:r>
        <w:r w:rsidR="007B3ADE">
          <w:rPr>
            <w:noProof/>
            <w:webHidden/>
          </w:rPr>
          <w:instrText xml:space="preserve"> PAGEREF _Toc41680867 \h </w:instrText>
        </w:r>
        <w:r w:rsidR="007B3ADE">
          <w:rPr>
            <w:noProof/>
            <w:webHidden/>
          </w:rPr>
        </w:r>
        <w:r w:rsidR="007B3ADE">
          <w:rPr>
            <w:noProof/>
            <w:webHidden/>
          </w:rPr>
          <w:fldChar w:fldCharType="separate"/>
        </w:r>
        <w:r w:rsidR="00AA68F8">
          <w:rPr>
            <w:noProof/>
            <w:webHidden/>
          </w:rPr>
          <w:t>5-13</w:t>
        </w:r>
        <w:r w:rsidR="007B3ADE">
          <w:rPr>
            <w:noProof/>
            <w:webHidden/>
          </w:rPr>
          <w:fldChar w:fldCharType="end"/>
        </w:r>
      </w:hyperlink>
    </w:p>
    <w:p w14:paraId="3CC89AF8" w14:textId="67F05467" w:rsidR="007B3ADE" w:rsidRDefault="00C723CB">
      <w:pPr>
        <w:pStyle w:val="TOC1"/>
        <w:rPr>
          <w:rFonts w:asciiTheme="minorHAnsi" w:eastAsiaTheme="minorEastAsia" w:hAnsiTheme="minorHAnsi" w:cstheme="minorBidi"/>
          <w:bCs w:val="0"/>
        </w:rPr>
      </w:pPr>
      <w:hyperlink w:anchor="_Toc41680868" w:history="1">
        <w:r w:rsidR="007B3ADE" w:rsidRPr="00700A31">
          <w:rPr>
            <w:rStyle w:val="Hyperlink"/>
          </w:rPr>
          <w:t>6.</w:t>
        </w:r>
        <w:r w:rsidR="007B3ADE">
          <w:rPr>
            <w:rFonts w:asciiTheme="minorHAnsi" w:eastAsiaTheme="minorEastAsia" w:hAnsiTheme="minorHAnsi" w:cstheme="minorBidi"/>
            <w:bCs w:val="0"/>
          </w:rPr>
          <w:tab/>
        </w:r>
        <w:r w:rsidR="007B3ADE" w:rsidRPr="00700A31">
          <w:rPr>
            <w:rStyle w:val="Hyperlink"/>
          </w:rPr>
          <w:t>Wastewater Characteristics</w:t>
        </w:r>
        <w:r w:rsidR="007B3ADE">
          <w:rPr>
            <w:webHidden/>
          </w:rPr>
          <w:tab/>
        </w:r>
        <w:r w:rsidR="007B3ADE">
          <w:rPr>
            <w:webHidden/>
          </w:rPr>
          <w:fldChar w:fldCharType="begin"/>
        </w:r>
        <w:r w:rsidR="007B3ADE">
          <w:rPr>
            <w:webHidden/>
          </w:rPr>
          <w:instrText xml:space="preserve"> PAGEREF _Toc41680868 \h </w:instrText>
        </w:r>
        <w:r w:rsidR="007B3ADE">
          <w:rPr>
            <w:webHidden/>
          </w:rPr>
        </w:r>
        <w:r w:rsidR="007B3ADE">
          <w:rPr>
            <w:webHidden/>
          </w:rPr>
          <w:fldChar w:fldCharType="separate"/>
        </w:r>
        <w:r w:rsidR="00AA68F8">
          <w:rPr>
            <w:webHidden/>
          </w:rPr>
          <w:t>6-1</w:t>
        </w:r>
        <w:r w:rsidR="007B3ADE">
          <w:rPr>
            <w:webHidden/>
          </w:rPr>
          <w:fldChar w:fldCharType="end"/>
        </w:r>
      </w:hyperlink>
    </w:p>
    <w:p w14:paraId="76EDEA64" w14:textId="617B1A03" w:rsidR="007B3ADE" w:rsidRDefault="00C723CB">
      <w:pPr>
        <w:pStyle w:val="TOC2"/>
        <w:rPr>
          <w:rFonts w:asciiTheme="minorHAnsi" w:eastAsiaTheme="minorEastAsia" w:hAnsiTheme="minorHAnsi" w:cstheme="minorBidi"/>
          <w:noProof/>
        </w:rPr>
      </w:pPr>
      <w:hyperlink w:anchor="_Toc41680869" w:history="1">
        <w:r w:rsidR="007B3ADE" w:rsidRPr="00700A31">
          <w:rPr>
            <w:rStyle w:val="Hyperlink"/>
            <w:noProof/>
          </w:rPr>
          <w:t>6.1</w:t>
        </w:r>
        <w:r w:rsidR="007B3ADE">
          <w:rPr>
            <w:rFonts w:asciiTheme="minorHAnsi" w:eastAsiaTheme="minorEastAsia" w:hAnsiTheme="minorHAnsi" w:cstheme="minorBidi"/>
            <w:noProof/>
          </w:rPr>
          <w:tab/>
        </w:r>
        <w:r w:rsidR="007B3ADE" w:rsidRPr="00700A31">
          <w:rPr>
            <w:rStyle w:val="Hyperlink"/>
            <w:noProof/>
          </w:rPr>
          <w:t>Flows and Loads Analysis</w:t>
        </w:r>
        <w:r w:rsidR="007B3ADE">
          <w:rPr>
            <w:noProof/>
            <w:webHidden/>
          </w:rPr>
          <w:tab/>
        </w:r>
        <w:r w:rsidR="007B3ADE">
          <w:rPr>
            <w:noProof/>
            <w:webHidden/>
          </w:rPr>
          <w:fldChar w:fldCharType="begin"/>
        </w:r>
        <w:r w:rsidR="007B3ADE">
          <w:rPr>
            <w:noProof/>
            <w:webHidden/>
          </w:rPr>
          <w:instrText xml:space="preserve"> PAGEREF _Toc41680869 \h </w:instrText>
        </w:r>
        <w:r w:rsidR="007B3ADE">
          <w:rPr>
            <w:noProof/>
            <w:webHidden/>
          </w:rPr>
        </w:r>
        <w:r w:rsidR="007B3ADE">
          <w:rPr>
            <w:noProof/>
            <w:webHidden/>
          </w:rPr>
          <w:fldChar w:fldCharType="separate"/>
        </w:r>
        <w:r w:rsidR="00AA68F8">
          <w:rPr>
            <w:noProof/>
            <w:webHidden/>
          </w:rPr>
          <w:t>6-1</w:t>
        </w:r>
        <w:r w:rsidR="007B3ADE">
          <w:rPr>
            <w:noProof/>
            <w:webHidden/>
          </w:rPr>
          <w:fldChar w:fldCharType="end"/>
        </w:r>
      </w:hyperlink>
    </w:p>
    <w:p w14:paraId="2045F76A" w14:textId="3BB0506A" w:rsidR="007B3ADE" w:rsidRDefault="00C723CB">
      <w:pPr>
        <w:pStyle w:val="TOC3"/>
        <w:tabs>
          <w:tab w:val="left" w:pos="1980"/>
        </w:tabs>
        <w:rPr>
          <w:rFonts w:asciiTheme="minorHAnsi" w:eastAsiaTheme="minorEastAsia" w:hAnsiTheme="minorHAnsi" w:cstheme="minorBidi"/>
          <w:iCs w:val="0"/>
        </w:rPr>
      </w:pPr>
      <w:hyperlink w:anchor="_Toc41680870" w:history="1">
        <w:r w:rsidR="007B3ADE" w:rsidRPr="00700A31">
          <w:rPr>
            <w:rStyle w:val="Hyperlink"/>
          </w:rPr>
          <w:t>6.1.1</w:t>
        </w:r>
        <w:r w:rsidR="007B3ADE">
          <w:rPr>
            <w:rFonts w:asciiTheme="minorHAnsi" w:eastAsiaTheme="minorEastAsia" w:hAnsiTheme="minorHAnsi" w:cstheme="minorBidi"/>
            <w:iCs w:val="0"/>
          </w:rPr>
          <w:tab/>
        </w:r>
        <w:r w:rsidR="007B3ADE" w:rsidRPr="00700A31">
          <w:rPr>
            <w:rStyle w:val="Hyperlink"/>
          </w:rPr>
          <w:t>SBMWD, EVWD, and Loma Linda Service Areas Population Projections</w:t>
        </w:r>
        <w:r w:rsidR="007B3ADE">
          <w:rPr>
            <w:webHidden/>
          </w:rPr>
          <w:tab/>
        </w:r>
        <w:r w:rsidR="007B3ADE">
          <w:rPr>
            <w:webHidden/>
          </w:rPr>
          <w:fldChar w:fldCharType="begin"/>
        </w:r>
        <w:r w:rsidR="007B3ADE">
          <w:rPr>
            <w:webHidden/>
          </w:rPr>
          <w:instrText xml:space="preserve"> PAGEREF _Toc41680870 \h </w:instrText>
        </w:r>
        <w:r w:rsidR="007B3ADE">
          <w:rPr>
            <w:webHidden/>
          </w:rPr>
        </w:r>
        <w:r w:rsidR="007B3ADE">
          <w:rPr>
            <w:webHidden/>
          </w:rPr>
          <w:fldChar w:fldCharType="separate"/>
        </w:r>
        <w:r w:rsidR="00AA68F8">
          <w:rPr>
            <w:webHidden/>
          </w:rPr>
          <w:t>6-1</w:t>
        </w:r>
        <w:r w:rsidR="007B3ADE">
          <w:rPr>
            <w:webHidden/>
          </w:rPr>
          <w:fldChar w:fldCharType="end"/>
        </w:r>
      </w:hyperlink>
    </w:p>
    <w:p w14:paraId="3731655D" w14:textId="7280D206" w:rsidR="007B3ADE" w:rsidRDefault="00C723CB">
      <w:pPr>
        <w:pStyle w:val="TOC3"/>
        <w:tabs>
          <w:tab w:val="left" w:pos="1980"/>
        </w:tabs>
        <w:rPr>
          <w:rFonts w:asciiTheme="minorHAnsi" w:eastAsiaTheme="minorEastAsia" w:hAnsiTheme="minorHAnsi" w:cstheme="minorBidi"/>
          <w:iCs w:val="0"/>
        </w:rPr>
      </w:pPr>
      <w:hyperlink w:anchor="_Toc41680871" w:history="1">
        <w:r w:rsidR="007B3ADE" w:rsidRPr="00700A31">
          <w:rPr>
            <w:rStyle w:val="Hyperlink"/>
          </w:rPr>
          <w:t>6.1.2</w:t>
        </w:r>
        <w:r w:rsidR="007B3ADE">
          <w:rPr>
            <w:rFonts w:asciiTheme="minorHAnsi" w:eastAsiaTheme="minorEastAsia" w:hAnsiTheme="minorHAnsi" w:cstheme="minorBidi"/>
            <w:iCs w:val="0"/>
          </w:rPr>
          <w:tab/>
        </w:r>
        <w:r w:rsidR="007B3ADE" w:rsidRPr="00700A31">
          <w:rPr>
            <w:rStyle w:val="Hyperlink"/>
          </w:rPr>
          <w:t>SBWRP Current and Projected Flows</w:t>
        </w:r>
        <w:r w:rsidR="007B3ADE">
          <w:rPr>
            <w:webHidden/>
          </w:rPr>
          <w:tab/>
        </w:r>
        <w:r w:rsidR="007B3ADE">
          <w:rPr>
            <w:webHidden/>
          </w:rPr>
          <w:fldChar w:fldCharType="begin"/>
        </w:r>
        <w:r w:rsidR="007B3ADE">
          <w:rPr>
            <w:webHidden/>
          </w:rPr>
          <w:instrText xml:space="preserve"> PAGEREF _Toc41680871 \h </w:instrText>
        </w:r>
        <w:r w:rsidR="007B3ADE">
          <w:rPr>
            <w:webHidden/>
          </w:rPr>
        </w:r>
        <w:r w:rsidR="007B3ADE">
          <w:rPr>
            <w:webHidden/>
          </w:rPr>
          <w:fldChar w:fldCharType="separate"/>
        </w:r>
        <w:r w:rsidR="00AA68F8">
          <w:rPr>
            <w:webHidden/>
          </w:rPr>
          <w:t>6-2</w:t>
        </w:r>
        <w:r w:rsidR="007B3ADE">
          <w:rPr>
            <w:webHidden/>
          </w:rPr>
          <w:fldChar w:fldCharType="end"/>
        </w:r>
      </w:hyperlink>
    </w:p>
    <w:p w14:paraId="7D0A820A" w14:textId="2FD12D78" w:rsidR="007B3ADE" w:rsidRDefault="00C723CB">
      <w:pPr>
        <w:pStyle w:val="TOC3"/>
        <w:tabs>
          <w:tab w:val="left" w:pos="1980"/>
        </w:tabs>
        <w:rPr>
          <w:rFonts w:asciiTheme="minorHAnsi" w:eastAsiaTheme="minorEastAsia" w:hAnsiTheme="minorHAnsi" w:cstheme="minorBidi"/>
          <w:iCs w:val="0"/>
        </w:rPr>
      </w:pPr>
      <w:hyperlink w:anchor="_Toc41680872" w:history="1">
        <w:r w:rsidR="007B3ADE" w:rsidRPr="00700A31">
          <w:rPr>
            <w:rStyle w:val="Hyperlink"/>
          </w:rPr>
          <w:t>6.1.3</w:t>
        </w:r>
        <w:r w:rsidR="007B3ADE">
          <w:rPr>
            <w:rFonts w:asciiTheme="minorHAnsi" w:eastAsiaTheme="minorEastAsia" w:hAnsiTheme="minorHAnsi" w:cstheme="minorBidi"/>
            <w:iCs w:val="0"/>
          </w:rPr>
          <w:tab/>
        </w:r>
        <w:r w:rsidR="007B3ADE" w:rsidRPr="00700A31">
          <w:rPr>
            <w:rStyle w:val="Hyperlink"/>
          </w:rPr>
          <w:t>SBWRP Current and Projected Loads</w:t>
        </w:r>
        <w:r w:rsidR="007B3ADE">
          <w:rPr>
            <w:webHidden/>
          </w:rPr>
          <w:tab/>
        </w:r>
        <w:r w:rsidR="007B3ADE">
          <w:rPr>
            <w:webHidden/>
          </w:rPr>
          <w:fldChar w:fldCharType="begin"/>
        </w:r>
        <w:r w:rsidR="007B3ADE">
          <w:rPr>
            <w:webHidden/>
          </w:rPr>
          <w:instrText xml:space="preserve"> PAGEREF _Toc41680872 \h </w:instrText>
        </w:r>
        <w:r w:rsidR="007B3ADE">
          <w:rPr>
            <w:webHidden/>
          </w:rPr>
        </w:r>
        <w:r w:rsidR="007B3ADE">
          <w:rPr>
            <w:webHidden/>
          </w:rPr>
          <w:fldChar w:fldCharType="separate"/>
        </w:r>
        <w:r w:rsidR="00AA68F8">
          <w:rPr>
            <w:webHidden/>
          </w:rPr>
          <w:t>6-5</w:t>
        </w:r>
        <w:r w:rsidR="007B3ADE">
          <w:rPr>
            <w:webHidden/>
          </w:rPr>
          <w:fldChar w:fldCharType="end"/>
        </w:r>
      </w:hyperlink>
    </w:p>
    <w:p w14:paraId="172BB0FF" w14:textId="15168D7E" w:rsidR="007B3ADE" w:rsidRDefault="00C723CB">
      <w:pPr>
        <w:pStyle w:val="TOC2"/>
        <w:rPr>
          <w:rFonts w:asciiTheme="minorHAnsi" w:eastAsiaTheme="minorEastAsia" w:hAnsiTheme="minorHAnsi" w:cstheme="minorBidi"/>
          <w:noProof/>
        </w:rPr>
      </w:pPr>
      <w:hyperlink w:anchor="_Toc41680873" w:history="1">
        <w:r w:rsidR="007B3ADE" w:rsidRPr="00700A31">
          <w:rPr>
            <w:rStyle w:val="Hyperlink"/>
            <w:noProof/>
          </w:rPr>
          <w:t>6.2</w:t>
        </w:r>
        <w:r w:rsidR="007B3ADE">
          <w:rPr>
            <w:rFonts w:asciiTheme="minorHAnsi" w:eastAsiaTheme="minorEastAsia" w:hAnsiTheme="minorHAnsi" w:cstheme="minorBidi"/>
            <w:noProof/>
          </w:rPr>
          <w:tab/>
        </w:r>
        <w:r w:rsidR="007B3ADE" w:rsidRPr="00700A31">
          <w:rPr>
            <w:rStyle w:val="Hyperlink"/>
            <w:noProof/>
          </w:rPr>
          <w:t>Summary of Projected Flows and Loads</w:t>
        </w:r>
        <w:r w:rsidR="007B3ADE">
          <w:rPr>
            <w:noProof/>
            <w:webHidden/>
          </w:rPr>
          <w:tab/>
        </w:r>
        <w:r w:rsidR="007B3ADE">
          <w:rPr>
            <w:noProof/>
            <w:webHidden/>
          </w:rPr>
          <w:fldChar w:fldCharType="begin"/>
        </w:r>
        <w:r w:rsidR="007B3ADE">
          <w:rPr>
            <w:noProof/>
            <w:webHidden/>
          </w:rPr>
          <w:instrText xml:space="preserve"> PAGEREF _Toc41680873 \h </w:instrText>
        </w:r>
        <w:r w:rsidR="007B3ADE">
          <w:rPr>
            <w:noProof/>
            <w:webHidden/>
          </w:rPr>
        </w:r>
        <w:r w:rsidR="007B3ADE">
          <w:rPr>
            <w:noProof/>
            <w:webHidden/>
          </w:rPr>
          <w:fldChar w:fldCharType="separate"/>
        </w:r>
        <w:r w:rsidR="00AA68F8">
          <w:rPr>
            <w:noProof/>
            <w:webHidden/>
          </w:rPr>
          <w:t>6-8</w:t>
        </w:r>
        <w:r w:rsidR="007B3ADE">
          <w:rPr>
            <w:noProof/>
            <w:webHidden/>
          </w:rPr>
          <w:fldChar w:fldCharType="end"/>
        </w:r>
      </w:hyperlink>
    </w:p>
    <w:p w14:paraId="0231E7C1" w14:textId="0CD7664C" w:rsidR="007B3ADE" w:rsidRDefault="00C723CB">
      <w:pPr>
        <w:pStyle w:val="TOC1"/>
        <w:rPr>
          <w:rFonts w:asciiTheme="minorHAnsi" w:eastAsiaTheme="minorEastAsia" w:hAnsiTheme="minorHAnsi" w:cstheme="minorBidi"/>
          <w:bCs w:val="0"/>
        </w:rPr>
      </w:pPr>
      <w:hyperlink w:anchor="_Toc41680874" w:history="1">
        <w:r w:rsidR="007B3ADE" w:rsidRPr="00700A31">
          <w:rPr>
            <w:rStyle w:val="Hyperlink"/>
          </w:rPr>
          <w:t>7.</w:t>
        </w:r>
        <w:r w:rsidR="007B3ADE">
          <w:rPr>
            <w:rFonts w:asciiTheme="minorHAnsi" w:eastAsiaTheme="minorEastAsia" w:hAnsiTheme="minorHAnsi" w:cstheme="minorBidi"/>
            <w:bCs w:val="0"/>
          </w:rPr>
          <w:tab/>
        </w:r>
        <w:r w:rsidR="007B3ADE" w:rsidRPr="00700A31">
          <w:rPr>
            <w:rStyle w:val="Hyperlink"/>
          </w:rPr>
          <w:t>Existing and Future Regulatory Considerations</w:t>
        </w:r>
        <w:r w:rsidR="007B3ADE">
          <w:rPr>
            <w:webHidden/>
          </w:rPr>
          <w:tab/>
        </w:r>
        <w:r w:rsidR="007B3ADE">
          <w:rPr>
            <w:webHidden/>
          </w:rPr>
          <w:fldChar w:fldCharType="begin"/>
        </w:r>
        <w:r w:rsidR="007B3ADE">
          <w:rPr>
            <w:webHidden/>
          </w:rPr>
          <w:instrText xml:space="preserve"> PAGEREF _Toc41680874 \h </w:instrText>
        </w:r>
        <w:r w:rsidR="007B3ADE">
          <w:rPr>
            <w:webHidden/>
          </w:rPr>
        </w:r>
        <w:r w:rsidR="007B3ADE">
          <w:rPr>
            <w:webHidden/>
          </w:rPr>
          <w:fldChar w:fldCharType="separate"/>
        </w:r>
        <w:r w:rsidR="00AA68F8">
          <w:rPr>
            <w:webHidden/>
          </w:rPr>
          <w:t>7-1</w:t>
        </w:r>
        <w:r w:rsidR="007B3ADE">
          <w:rPr>
            <w:webHidden/>
          </w:rPr>
          <w:fldChar w:fldCharType="end"/>
        </w:r>
      </w:hyperlink>
    </w:p>
    <w:p w14:paraId="4F9484AB" w14:textId="3C4B674B" w:rsidR="007B3ADE" w:rsidRDefault="00C723CB">
      <w:pPr>
        <w:pStyle w:val="TOC2"/>
        <w:rPr>
          <w:rFonts w:asciiTheme="minorHAnsi" w:eastAsiaTheme="minorEastAsia" w:hAnsiTheme="minorHAnsi" w:cstheme="minorBidi"/>
          <w:noProof/>
        </w:rPr>
      </w:pPr>
      <w:hyperlink w:anchor="_Toc41680875" w:history="1">
        <w:r w:rsidR="007B3ADE" w:rsidRPr="00700A31">
          <w:rPr>
            <w:rStyle w:val="Hyperlink"/>
            <w:noProof/>
          </w:rPr>
          <w:t>7.1</w:t>
        </w:r>
        <w:r w:rsidR="007B3ADE">
          <w:rPr>
            <w:rFonts w:asciiTheme="minorHAnsi" w:eastAsiaTheme="minorEastAsia" w:hAnsiTheme="minorHAnsi" w:cstheme="minorBidi"/>
            <w:noProof/>
          </w:rPr>
          <w:tab/>
        </w:r>
        <w:r w:rsidR="007B3ADE" w:rsidRPr="00700A31">
          <w:rPr>
            <w:rStyle w:val="Hyperlink"/>
            <w:noProof/>
          </w:rPr>
          <w:t>Discharge Requirements</w:t>
        </w:r>
        <w:r w:rsidR="007B3ADE">
          <w:rPr>
            <w:noProof/>
            <w:webHidden/>
          </w:rPr>
          <w:tab/>
        </w:r>
        <w:r w:rsidR="007B3ADE">
          <w:rPr>
            <w:noProof/>
            <w:webHidden/>
          </w:rPr>
          <w:fldChar w:fldCharType="begin"/>
        </w:r>
        <w:r w:rsidR="007B3ADE">
          <w:rPr>
            <w:noProof/>
            <w:webHidden/>
          </w:rPr>
          <w:instrText xml:space="preserve"> PAGEREF _Toc41680875 \h </w:instrText>
        </w:r>
        <w:r w:rsidR="007B3ADE">
          <w:rPr>
            <w:noProof/>
            <w:webHidden/>
          </w:rPr>
        </w:r>
        <w:r w:rsidR="007B3ADE">
          <w:rPr>
            <w:noProof/>
            <w:webHidden/>
          </w:rPr>
          <w:fldChar w:fldCharType="separate"/>
        </w:r>
        <w:r w:rsidR="00AA68F8">
          <w:rPr>
            <w:noProof/>
            <w:webHidden/>
          </w:rPr>
          <w:t>7-1</w:t>
        </w:r>
        <w:r w:rsidR="007B3ADE">
          <w:rPr>
            <w:noProof/>
            <w:webHidden/>
          </w:rPr>
          <w:fldChar w:fldCharType="end"/>
        </w:r>
      </w:hyperlink>
    </w:p>
    <w:p w14:paraId="0FB27EC0" w14:textId="60B30096" w:rsidR="007B3ADE" w:rsidRDefault="00C723CB">
      <w:pPr>
        <w:pStyle w:val="TOC3"/>
        <w:tabs>
          <w:tab w:val="left" w:pos="1980"/>
        </w:tabs>
        <w:rPr>
          <w:rFonts w:asciiTheme="minorHAnsi" w:eastAsiaTheme="minorEastAsia" w:hAnsiTheme="minorHAnsi" w:cstheme="minorBidi"/>
          <w:iCs w:val="0"/>
        </w:rPr>
      </w:pPr>
      <w:hyperlink w:anchor="_Toc41680876" w:history="1">
        <w:r w:rsidR="007B3ADE" w:rsidRPr="00700A31">
          <w:rPr>
            <w:rStyle w:val="Hyperlink"/>
          </w:rPr>
          <w:t>7.1.1</w:t>
        </w:r>
        <w:r w:rsidR="007B3ADE">
          <w:rPr>
            <w:rFonts w:asciiTheme="minorHAnsi" w:eastAsiaTheme="minorEastAsia" w:hAnsiTheme="minorHAnsi" w:cstheme="minorBidi"/>
            <w:iCs w:val="0"/>
          </w:rPr>
          <w:tab/>
        </w:r>
        <w:r w:rsidR="007B3ADE" w:rsidRPr="00700A31">
          <w:rPr>
            <w:rStyle w:val="Hyperlink"/>
          </w:rPr>
          <w:t>Rapid Infiltration/Extraction (RIX) Facility</w:t>
        </w:r>
        <w:r w:rsidR="007B3ADE">
          <w:rPr>
            <w:webHidden/>
          </w:rPr>
          <w:tab/>
        </w:r>
        <w:r w:rsidR="007B3ADE">
          <w:rPr>
            <w:webHidden/>
          </w:rPr>
          <w:fldChar w:fldCharType="begin"/>
        </w:r>
        <w:r w:rsidR="007B3ADE">
          <w:rPr>
            <w:webHidden/>
          </w:rPr>
          <w:instrText xml:space="preserve"> PAGEREF _Toc41680876 \h </w:instrText>
        </w:r>
        <w:r w:rsidR="007B3ADE">
          <w:rPr>
            <w:webHidden/>
          </w:rPr>
        </w:r>
        <w:r w:rsidR="007B3ADE">
          <w:rPr>
            <w:webHidden/>
          </w:rPr>
          <w:fldChar w:fldCharType="separate"/>
        </w:r>
        <w:r w:rsidR="00AA68F8">
          <w:rPr>
            <w:webHidden/>
          </w:rPr>
          <w:t>7-1</w:t>
        </w:r>
        <w:r w:rsidR="007B3ADE">
          <w:rPr>
            <w:webHidden/>
          </w:rPr>
          <w:fldChar w:fldCharType="end"/>
        </w:r>
      </w:hyperlink>
    </w:p>
    <w:p w14:paraId="4DB54213" w14:textId="4B3F580A" w:rsidR="007B3ADE" w:rsidRDefault="00C723CB">
      <w:pPr>
        <w:pStyle w:val="TOC3"/>
        <w:tabs>
          <w:tab w:val="left" w:pos="1980"/>
        </w:tabs>
        <w:rPr>
          <w:rFonts w:asciiTheme="minorHAnsi" w:eastAsiaTheme="minorEastAsia" w:hAnsiTheme="minorHAnsi" w:cstheme="minorBidi"/>
          <w:iCs w:val="0"/>
        </w:rPr>
      </w:pPr>
      <w:hyperlink w:anchor="_Toc41680877" w:history="1">
        <w:r w:rsidR="007B3ADE" w:rsidRPr="00700A31">
          <w:rPr>
            <w:rStyle w:val="Hyperlink"/>
          </w:rPr>
          <w:t>7.1.2</w:t>
        </w:r>
        <w:r w:rsidR="007B3ADE">
          <w:rPr>
            <w:rFonts w:asciiTheme="minorHAnsi" w:eastAsiaTheme="minorEastAsia" w:hAnsiTheme="minorHAnsi" w:cstheme="minorBidi"/>
            <w:iCs w:val="0"/>
          </w:rPr>
          <w:tab/>
        </w:r>
        <w:r w:rsidR="007B3ADE" w:rsidRPr="00700A31">
          <w:rPr>
            <w:rStyle w:val="Hyperlink"/>
          </w:rPr>
          <w:t>SBWRP Direct Discharge to the Santa Ana River</w:t>
        </w:r>
        <w:r w:rsidR="007B3ADE">
          <w:rPr>
            <w:webHidden/>
          </w:rPr>
          <w:tab/>
        </w:r>
        <w:r w:rsidR="007B3ADE">
          <w:rPr>
            <w:webHidden/>
          </w:rPr>
          <w:fldChar w:fldCharType="begin"/>
        </w:r>
        <w:r w:rsidR="007B3ADE">
          <w:rPr>
            <w:webHidden/>
          </w:rPr>
          <w:instrText xml:space="preserve"> PAGEREF _Toc41680877 \h </w:instrText>
        </w:r>
        <w:r w:rsidR="007B3ADE">
          <w:rPr>
            <w:webHidden/>
          </w:rPr>
        </w:r>
        <w:r w:rsidR="007B3ADE">
          <w:rPr>
            <w:webHidden/>
          </w:rPr>
          <w:fldChar w:fldCharType="separate"/>
        </w:r>
        <w:r w:rsidR="00AA68F8">
          <w:rPr>
            <w:webHidden/>
          </w:rPr>
          <w:t>7-2</w:t>
        </w:r>
        <w:r w:rsidR="007B3ADE">
          <w:rPr>
            <w:webHidden/>
          </w:rPr>
          <w:fldChar w:fldCharType="end"/>
        </w:r>
      </w:hyperlink>
    </w:p>
    <w:p w14:paraId="3DB4A0D4" w14:textId="110E82D5" w:rsidR="007B3ADE" w:rsidRDefault="00C723CB">
      <w:pPr>
        <w:pStyle w:val="TOC3"/>
        <w:tabs>
          <w:tab w:val="left" w:pos="1980"/>
        </w:tabs>
        <w:rPr>
          <w:rFonts w:asciiTheme="minorHAnsi" w:eastAsiaTheme="minorEastAsia" w:hAnsiTheme="minorHAnsi" w:cstheme="minorBidi"/>
          <w:iCs w:val="0"/>
        </w:rPr>
      </w:pPr>
      <w:hyperlink w:anchor="_Toc41680878" w:history="1">
        <w:r w:rsidR="007B3ADE" w:rsidRPr="00700A31">
          <w:rPr>
            <w:rStyle w:val="Hyperlink"/>
          </w:rPr>
          <w:t>7.1.3</w:t>
        </w:r>
        <w:r w:rsidR="007B3ADE">
          <w:rPr>
            <w:rFonts w:asciiTheme="minorHAnsi" w:eastAsiaTheme="minorEastAsia" w:hAnsiTheme="minorHAnsi" w:cstheme="minorBidi"/>
            <w:iCs w:val="0"/>
          </w:rPr>
          <w:tab/>
        </w:r>
        <w:r w:rsidR="007B3ADE" w:rsidRPr="00700A31">
          <w:rPr>
            <w:rStyle w:val="Hyperlink"/>
          </w:rPr>
          <w:t>Capacity Trigger in NPDES Permit</w:t>
        </w:r>
        <w:r w:rsidR="007B3ADE">
          <w:rPr>
            <w:webHidden/>
          </w:rPr>
          <w:tab/>
        </w:r>
        <w:r w:rsidR="007B3ADE">
          <w:rPr>
            <w:webHidden/>
          </w:rPr>
          <w:fldChar w:fldCharType="begin"/>
        </w:r>
        <w:r w:rsidR="007B3ADE">
          <w:rPr>
            <w:webHidden/>
          </w:rPr>
          <w:instrText xml:space="preserve"> PAGEREF _Toc41680878 \h </w:instrText>
        </w:r>
        <w:r w:rsidR="007B3ADE">
          <w:rPr>
            <w:webHidden/>
          </w:rPr>
        </w:r>
        <w:r w:rsidR="007B3ADE">
          <w:rPr>
            <w:webHidden/>
          </w:rPr>
          <w:fldChar w:fldCharType="separate"/>
        </w:r>
        <w:r w:rsidR="00AA68F8">
          <w:rPr>
            <w:webHidden/>
          </w:rPr>
          <w:t>7-2</w:t>
        </w:r>
        <w:r w:rsidR="007B3ADE">
          <w:rPr>
            <w:webHidden/>
          </w:rPr>
          <w:fldChar w:fldCharType="end"/>
        </w:r>
      </w:hyperlink>
    </w:p>
    <w:p w14:paraId="558ABB42" w14:textId="31240785" w:rsidR="007B3ADE" w:rsidRDefault="00C723CB">
      <w:pPr>
        <w:pStyle w:val="TOC3"/>
        <w:tabs>
          <w:tab w:val="left" w:pos="1980"/>
        </w:tabs>
        <w:rPr>
          <w:rFonts w:asciiTheme="minorHAnsi" w:eastAsiaTheme="minorEastAsia" w:hAnsiTheme="minorHAnsi" w:cstheme="minorBidi"/>
          <w:iCs w:val="0"/>
        </w:rPr>
      </w:pPr>
      <w:hyperlink w:anchor="_Toc41680879" w:history="1">
        <w:r w:rsidR="007B3ADE" w:rsidRPr="00700A31">
          <w:rPr>
            <w:rStyle w:val="Hyperlink"/>
          </w:rPr>
          <w:t>7.1.4</w:t>
        </w:r>
        <w:r w:rsidR="007B3ADE">
          <w:rPr>
            <w:rFonts w:asciiTheme="minorHAnsi" w:eastAsiaTheme="minorEastAsia" w:hAnsiTheme="minorHAnsi" w:cstheme="minorBidi"/>
            <w:iCs w:val="0"/>
          </w:rPr>
          <w:tab/>
        </w:r>
        <w:r w:rsidR="007B3ADE" w:rsidRPr="00700A31">
          <w:rPr>
            <w:rStyle w:val="Hyperlink"/>
          </w:rPr>
          <w:t>Potential Future Changes to Discharge Requirements</w:t>
        </w:r>
        <w:r w:rsidR="007B3ADE">
          <w:rPr>
            <w:webHidden/>
          </w:rPr>
          <w:tab/>
        </w:r>
        <w:r w:rsidR="007B3ADE">
          <w:rPr>
            <w:webHidden/>
          </w:rPr>
          <w:fldChar w:fldCharType="begin"/>
        </w:r>
        <w:r w:rsidR="007B3ADE">
          <w:rPr>
            <w:webHidden/>
          </w:rPr>
          <w:instrText xml:space="preserve"> PAGEREF _Toc41680879 \h </w:instrText>
        </w:r>
        <w:r w:rsidR="007B3ADE">
          <w:rPr>
            <w:webHidden/>
          </w:rPr>
        </w:r>
        <w:r w:rsidR="007B3ADE">
          <w:rPr>
            <w:webHidden/>
          </w:rPr>
          <w:fldChar w:fldCharType="separate"/>
        </w:r>
        <w:r w:rsidR="00AA68F8">
          <w:rPr>
            <w:webHidden/>
          </w:rPr>
          <w:t>7-3</w:t>
        </w:r>
        <w:r w:rsidR="007B3ADE">
          <w:rPr>
            <w:webHidden/>
          </w:rPr>
          <w:fldChar w:fldCharType="end"/>
        </w:r>
      </w:hyperlink>
    </w:p>
    <w:p w14:paraId="463EAF70" w14:textId="367FAC7C" w:rsidR="007B3ADE" w:rsidRDefault="00C723CB">
      <w:pPr>
        <w:pStyle w:val="TOC3"/>
        <w:tabs>
          <w:tab w:val="left" w:pos="1980"/>
        </w:tabs>
        <w:rPr>
          <w:rFonts w:asciiTheme="minorHAnsi" w:eastAsiaTheme="minorEastAsia" w:hAnsiTheme="minorHAnsi" w:cstheme="minorBidi"/>
          <w:iCs w:val="0"/>
        </w:rPr>
      </w:pPr>
      <w:hyperlink w:anchor="_Toc41680880" w:history="1">
        <w:r w:rsidR="007B3ADE" w:rsidRPr="00700A31">
          <w:rPr>
            <w:rStyle w:val="Hyperlink"/>
          </w:rPr>
          <w:t>7.1.5</w:t>
        </w:r>
        <w:r w:rsidR="007B3ADE">
          <w:rPr>
            <w:rFonts w:asciiTheme="minorHAnsi" w:eastAsiaTheme="minorEastAsia" w:hAnsiTheme="minorHAnsi" w:cstheme="minorBidi"/>
            <w:iCs w:val="0"/>
          </w:rPr>
          <w:tab/>
        </w:r>
        <w:r w:rsidR="007B3ADE" w:rsidRPr="00700A31">
          <w:rPr>
            <w:rStyle w:val="Hyperlink"/>
          </w:rPr>
          <w:t>Inland Empire Brine Line Collection Station</w:t>
        </w:r>
        <w:r w:rsidR="007B3ADE">
          <w:rPr>
            <w:webHidden/>
          </w:rPr>
          <w:tab/>
        </w:r>
        <w:r w:rsidR="007B3ADE">
          <w:rPr>
            <w:webHidden/>
          </w:rPr>
          <w:fldChar w:fldCharType="begin"/>
        </w:r>
        <w:r w:rsidR="007B3ADE">
          <w:rPr>
            <w:webHidden/>
          </w:rPr>
          <w:instrText xml:space="preserve"> PAGEREF _Toc41680880 \h </w:instrText>
        </w:r>
        <w:r w:rsidR="007B3ADE">
          <w:rPr>
            <w:webHidden/>
          </w:rPr>
        </w:r>
        <w:r w:rsidR="007B3ADE">
          <w:rPr>
            <w:webHidden/>
          </w:rPr>
          <w:fldChar w:fldCharType="separate"/>
        </w:r>
        <w:r w:rsidR="00AA68F8">
          <w:rPr>
            <w:webHidden/>
          </w:rPr>
          <w:t>7-3</w:t>
        </w:r>
        <w:r w:rsidR="007B3ADE">
          <w:rPr>
            <w:webHidden/>
          </w:rPr>
          <w:fldChar w:fldCharType="end"/>
        </w:r>
      </w:hyperlink>
    </w:p>
    <w:p w14:paraId="6DDD3B12" w14:textId="019207D9" w:rsidR="007B3ADE" w:rsidRDefault="00C723CB">
      <w:pPr>
        <w:pStyle w:val="TOC4"/>
        <w:tabs>
          <w:tab w:val="left" w:pos="2700"/>
        </w:tabs>
        <w:rPr>
          <w:rFonts w:asciiTheme="minorHAnsi" w:eastAsiaTheme="minorEastAsia" w:hAnsiTheme="minorHAnsi" w:cstheme="minorBidi"/>
          <w:iCs w:val="0"/>
          <w:szCs w:val="22"/>
        </w:rPr>
      </w:pPr>
      <w:hyperlink w:anchor="_Toc41680881" w:history="1">
        <w:r w:rsidR="007B3ADE" w:rsidRPr="00700A31">
          <w:rPr>
            <w:rStyle w:val="Hyperlink"/>
          </w:rPr>
          <w:t>7.1.5.1</w:t>
        </w:r>
        <w:r w:rsidR="007B3ADE">
          <w:rPr>
            <w:rFonts w:asciiTheme="minorHAnsi" w:eastAsiaTheme="minorEastAsia" w:hAnsiTheme="minorHAnsi" w:cstheme="minorBidi"/>
            <w:iCs w:val="0"/>
            <w:szCs w:val="22"/>
          </w:rPr>
          <w:tab/>
        </w:r>
        <w:r w:rsidR="007B3ADE" w:rsidRPr="00700A31">
          <w:rPr>
            <w:rStyle w:val="Hyperlink"/>
          </w:rPr>
          <w:t>Hydrolysate of Human Remains</w:t>
        </w:r>
        <w:r w:rsidR="007B3ADE">
          <w:rPr>
            <w:webHidden/>
          </w:rPr>
          <w:tab/>
        </w:r>
        <w:r w:rsidR="007B3ADE">
          <w:rPr>
            <w:webHidden/>
          </w:rPr>
          <w:fldChar w:fldCharType="begin"/>
        </w:r>
        <w:r w:rsidR="007B3ADE">
          <w:rPr>
            <w:webHidden/>
          </w:rPr>
          <w:instrText xml:space="preserve"> PAGEREF _Toc41680881 \h </w:instrText>
        </w:r>
        <w:r w:rsidR="007B3ADE">
          <w:rPr>
            <w:webHidden/>
          </w:rPr>
        </w:r>
        <w:r w:rsidR="007B3ADE">
          <w:rPr>
            <w:webHidden/>
          </w:rPr>
          <w:fldChar w:fldCharType="separate"/>
        </w:r>
        <w:r w:rsidR="00AA68F8">
          <w:rPr>
            <w:webHidden/>
          </w:rPr>
          <w:t>7-4</w:t>
        </w:r>
        <w:r w:rsidR="007B3ADE">
          <w:rPr>
            <w:webHidden/>
          </w:rPr>
          <w:fldChar w:fldCharType="end"/>
        </w:r>
      </w:hyperlink>
    </w:p>
    <w:p w14:paraId="5B300425" w14:textId="7183A395" w:rsidR="007B3ADE" w:rsidRDefault="00C723CB">
      <w:pPr>
        <w:pStyle w:val="TOC2"/>
        <w:rPr>
          <w:rFonts w:asciiTheme="minorHAnsi" w:eastAsiaTheme="minorEastAsia" w:hAnsiTheme="minorHAnsi" w:cstheme="minorBidi"/>
          <w:noProof/>
        </w:rPr>
      </w:pPr>
      <w:hyperlink w:anchor="_Toc41680882" w:history="1">
        <w:r w:rsidR="007B3ADE" w:rsidRPr="00700A31">
          <w:rPr>
            <w:rStyle w:val="Hyperlink"/>
            <w:noProof/>
          </w:rPr>
          <w:t>7.2</w:t>
        </w:r>
        <w:r w:rsidR="007B3ADE">
          <w:rPr>
            <w:rFonts w:asciiTheme="minorHAnsi" w:eastAsiaTheme="minorEastAsia" w:hAnsiTheme="minorHAnsi" w:cstheme="minorBidi"/>
            <w:noProof/>
          </w:rPr>
          <w:tab/>
        </w:r>
        <w:r w:rsidR="007B3ADE" w:rsidRPr="00700A31">
          <w:rPr>
            <w:rStyle w:val="Hyperlink"/>
            <w:noProof/>
          </w:rPr>
          <w:t>Biosolids Disposal</w:t>
        </w:r>
        <w:r w:rsidR="007B3ADE">
          <w:rPr>
            <w:noProof/>
            <w:webHidden/>
          </w:rPr>
          <w:tab/>
        </w:r>
        <w:r w:rsidR="007B3ADE">
          <w:rPr>
            <w:noProof/>
            <w:webHidden/>
          </w:rPr>
          <w:fldChar w:fldCharType="begin"/>
        </w:r>
        <w:r w:rsidR="007B3ADE">
          <w:rPr>
            <w:noProof/>
            <w:webHidden/>
          </w:rPr>
          <w:instrText xml:space="preserve"> PAGEREF _Toc41680882 \h </w:instrText>
        </w:r>
        <w:r w:rsidR="007B3ADE">
          <w:rPr>
            <w:noProof/>
            <w:webHidden/>
          </w:rPr>
        </w:r>
        <w:r w:rsidR="007B3ADE">
          <w:rPr>
            <w:noProof/>
            <w:webHidden/>
          </w:rPr>
          <w:fldChar w:fldCharType="separate"/>
        </w:r>
        <w:r w:rsidR="00AA68F8">
          <w:rPr>
            <w:noProof/>
            <w:webHidden/>
          </w:rPr>
          <w:t>7-5</w:t>
        </w:r>
        <w:r w:rsidR="007B3ADE">
          <w:rPr>
            <w:noProof/>
            <w:webHidden/>
          </w:rPr>
          <w:fldChar w:fldCharType="end"/>
        </w:r>
      </w:hyperlink>
    </w:p>
    <w:p w14:paraId="5C1BDAC7" w14:textId="1E72D7BC" w:rsidR="007B3ADE" w:rsidRDefault="00C723CB">
      <w:pPr>
        <w:pStyle w:val="TOC3"/>
        <w:tabs>
          <w:tab w:val="left" w:pos="1980"/>
        </w:tabs>
        <w:rPr>
          <w:rFonts w:asciiTheme="minorHAnsi" w:eastAsiaTheme="minorEastAsia" w:hAnsiTheme="minorHAnsi" w:cstheme="minorBidi"/>
          <w:iCs w:val="0"/>
        </w:rPr>
      </w:pPr>
      <w:hyperlink w:anchor="_Toc41680883" w:history="1">
        <w:r w:rsidR="007B3ADE" w:rsidRPr="00700A31">
          <w:rPr>
            <w:rStyle w:val="Hyperlink"/>
          </w:rPr>
          <w:t>7.2.1</w:t>
        </w:r>
        <w:r w:rsidR="007B3ADE">
          <w:rPr>
            <w:rFonts w:asciiTheme="minorHAnsi" w:eastAsiaTheme="minorEastAsia" w:hAnsiTheme="minorHAnsi" w:cstheme="minorBidi"/>
            <w:iCs w:val="0"/>
          </w:rPr>
          <w:tab/>
        </w:r>
        <w:r w:rsidR="007B3ADE" w:rsidRPr="00700A31">
          <w:rPr>
            <w:rStyle w:val="Hyperlink"/>
          </w:rPr>
          <w:t>US EPA Part 503 Rule</w:t>
        </w:r>
        <w:r w:rsidR="007B3ADE">
          <w:rPr>
            <w:webHidden/>
          </w:rPr>
          <w:tab/>
        </w:r>
        <w:r w:rsidR="007B3ADE">
          <w:rPr>
            <w:webHidden/>
          </w:rPr>
          <w:fldChar w:fldCharType="begin"/>
        </w:r>
        <w:r w:rsidR="007B3ADE">
          <w:rPr>
            <w:webHidden/>
          </w:rPr>
          <w:instrText xml:space="preserve"> PAGEREF _Toc41680883 \h </w:instrText>
        </w:r>
        <w:r w:rsidR="007B3ADE">
          <w:rPr>
            <w:webHidden/>
          </w:rPr>
        </w:r>
        <w:r w:rsidR="007B3ADE">
          <w:rPr>
            <w:webHidden/>
          </w:rPr>
          <w:fldChar w:fldCharType="separate"/>
        </w:r>
        <w:r w:rsidR="00AA68F8">
          <w:rPr>
            <w:webHidden/>
          </w:rPr>
          <w:t>7-5</w:t>
        </w:r>
        <w:r w:rsidR="007B3ADE">
          <w:rPr>
            <w:webHidden/>
          </w:rPr>
          <w:fldChar w:fldCharType="end"/>
        </w:r>
      </w:hyperlink>
    </w:p>
    <w:p w14:paraId="33A4EE3E" w14:textId="25875E25" w:rsidR="007B3ADE" w:rsidRDefault="00C723CB">
      <w:pPr>
        <w:pStyle w:val="TOC4"/>
        <w:tabs>
          <w:tab w:val="left" w:pos="2700"/>
        </w:tabs>
        <w:rPr>
          <w:rFonts w:asciiTheme="minorHAnsi" w:eastAsiaTheme="minorEastAsia" w:hAnsiTheme="minorHAnsi" w:cstheme="minorBidi"/>
          <w:iCs w:val="0"/>
          <w:szCs w:val="22"/>
        </w:rPr>
      </w:pPr>
      <w:hyperlink w:anchor="_Toc41680884" w:history="1">
        <w:r w:rsidR="007B3ADE" w:rsidRPr="00700A31">
          <w:rPr>
            <w:rStyle w:val="Hyperlink"/>
          </w:rPr>
          <w:t>7.2.1.1</w:t>
        </w:r>
        <w:r w:rsidR="007B3ADE">
          <w:rPr>
            <w:rFonts w:asciiTheme="minorHAnsi" w:eastAsiaTheme="minorEastAsia" w:hAnsiTheme="minorHAnsi" w:cstheme="minorBidi"/>
            <w:iCs w:val="0"/>
            <w:szCs w:val="22"/>
          </w:rPr>
          <w:tab/>
        </w:r>
        <w:r w:rsidR="007B3ADE" w:rsidRPr="00700A31">
          <w:rPr>
            <w:rStyle w:val="Hyperlink"/>
          </w:rPr>
          <w:t>Management Practices</w:t>
        </w:r>
        <w:r w:rsidR="007B3ADE">
          <w:rPr>
            <w:webHidden/>
          </w:rPr>
          <w:tab/>
        </w:r>
        <w:r w:rsidR="007B3ADE">
          <w:rPr>
            <w:webHidden/>
          </w:rPr>
          <w:fldChar w:fldCharType="begin"/>
        </w:r>
        <w:r w:rsidR="007B3ADE">
          <w:rPr>
            <w:webHidden/>
          </w:rPr>
          <w:instrText xml:space="preserve"> PAGEREF _Toc41680884 \h </w:instrText>
        </w:r>
        <w:r w:rsidR="007B3ADE">
          <w:rPr>
            <w:webHidden/>
          </w:rPr>
        </w:r>
        <w:r w:rsidR="007B3ADE">
          <w:rPr>
            <w:webHidden/>
          </w:rPr>
          <w:fldChar w:fldCharType="separate"/>
        </w:r>
        <w:r w:rsidR="00AA68F8">
          <w:rPr>
            <w:webHidden/>
          </w:rPr>
          <w:t>7-5</w:t>
        </w:r>
        <w:r w:rsidR="007B3ADE">
          <w:rPr>
            <w:webHidden/>
          </w:rPr>
          <w:fldChar w:fldCharType="end"/>
        </w:r>
      </w:hyperlink>
    </w:p>
    <w:p w14:paraId="59549438" w14:textId="327F1CD8" w:rsidR="007B3ADE" w:rsidRDefault="00C723CB">
      <w:pPr>
        <w:pStyle w:val="TOC4"/>
        <w:tabs>
          <w:tab w:val="left" w:pos="2700"/>
        </w:tabs>
        <w:rPr>
          <w:rFonts w:asciiTheme="minorHAnsi" w:eastAsiaTheme="minorEastAsia" w:hAnsiTheme="minorHAnsi" w:cstheme="minorBidi"/>
          <w:iCs w:val="0"/>
          <w:szCs w:val="22"/>
        </w:rPr>
      </w:pPr>
      <w:hyperlink w:anchor="_Toc41680885" w:history="1">
        <w:r w:rsidR="007B3ADE" w:rsidRPr="00700A31">
          <w:rPr>
            <w:rStyle w:val="Hyperlink"/>
          </w:rPr>
          <w:t>7.2.1.2</w:t>
        </w:r>
        <w:r w:rsidR="007B3ADE">
          <w:rPr>
            <w:rFonts w:asciiTheme="minorHAnsi" w:eastAsiaTheme="minorEastAsia" w:hAnsiTheme="minorHAnsi" w:cstheme="minorBidi"/>
            <w:iCs w:val="0"/>
            <w:szCs w:val="22"/>
          </w:rPr>
          <w:tab/>
        </w:r>
        <w:r w:rsidR="007B3ADE" w:rsidRPr="00700A31">
          <w:rPr>
            <w:rStyle w:val="Hyperlink"/>
          </w:rPr>
          <w:t>Pollutant Limits</w:t>
        </w:r>
        <w:r w:rsidR="007B3ADE">
          <w:rPr>
            <w:webHidden/>
          </w:rPr>
          <w:tab/>
        </w:r>
        <w:r w:rsidR="007B3ADE">
          <w:rPr>
            <w:webHidden/>
          </w:rPr>
          <w:fldChar w:fldCharType="begin"/>
        </w:r>
        <w:r w:rsidR="007B3ADE">
          <w:rPr>
            <w:webHidden/>
          </w:rPr>
          <w:instrText xml:space="preserve"> PAGEREF _Toc41680885 \h </w:instrText>
        </w:r>
        <w:r w:rsidR="007B3ADE">
          <w:rPr>
            <w:webHidden/>
          </w:rPr>
        </w:r>
        <w:r w:rsidR="007B3ADE">
          <w:rPr>
            <w:webHidden/>
          </w:rPr>
          <w:fldChar w:fldCharType="separate"/>
        </w:r>
        <w:r w:rsidR="00AA68F8">
          <w:rPr>
            <w:webHidden/>
          </w:rPr>
          <w:t>7-6</w:t>
        </w:r>
        <w:r w:rsidR="007B3ADE">
          <w:rPr>
            <w:webHidden/>
          </w:rPr>
          <w:fldChar w:fldCharType="end"/>
        </w:r>
      </w:hyperlink>
    </w:p>
    <w:p w14:paraId="1CC6FE10" w14:textId="0DF0CEAF" w:rsidR="007B3ADE" w:rsidRDefault="00C723CB">
      <w:pPr>
        <w:pStyle w:val="TOC4"/>
        <w:tabs>
          <w:tab w:val="left" w:pos="2700"/>
        </w:tabs>
        <w:rPr>
          <w:rFonts w:asciiTheme="minorHAnsi" w:eastAsiaTheme="minorEastAsia" w:hAnsiTheme="minorHAnsi" w:cstheme="minorBidi"/>
          <w:iCs w:val="0"/>
          <w:szCs w:val="22"/>
        </w:rPr>
      </w:pPr>
      <w:hyperlink w:anchor="_Toc41680886" w:history="1">
        <w:r w:rsidR="007B3ADE" w:rsidRPr="00700A31">
          <w:rPr>
            <w:rStyle w:val="Hyperlink"/>
          </w:rPr>
          <w:t>7.2.1.3</w:t>
        </w:r>
        <w:r w:rsidR="007B3ADE">
          <w:rPr>
            <w:rFonts w:asciiTheme="minorHAnsi" w:eastAsiaTheme="minorEastAsia" w:hAnsiTheme="minorHAnsi" w:cstheme="minorBidi"/>
            <w:iCs w:val="0"/>
            <w:szCs w:val="22"/>
          </w:rPr>
          <w:tab/>
        </w:r>
        <w:r w:rsidR="007B3ADE" w:rsidRPr="00700A31">
          <w:rPr>
            <w:rStyle w:val="Hyperlink"/>
          </w:rPr>
          <w:t>Pathogen Reduction Requirements</w:t>
        </w:r>
        <w:r w:rsidR="007B3ADE">
          <w:rPr>
            <w:webHidden/>
          </w:rPr>
          <w:tab/>
        </w:r>
        <w:r w:rsidR="007B3ADE">
          <w:rPr>
            <w:webHidden/>
          </w:rPr>
          <w:fldChar w:fldCharType="begin"/>
        </w:r>
        <w:r w:rsidR="007B3ADE">
          <w:rPr>
            <w:webHidden/>
          </w:rPr>
          <w:instrText xml:space="preserve"> PAGEREF _Toc41680886 \h </w:instrText>
        </w:r>
        <w:r w:rsidR="007B3ADE">
          <w:rPr>
            <w:webHidden/>
          </w:rPr>
        </w:r>
        <w:r w:rsidR="007B3ADE">
          <w:rPr>
            <w:webHidden/>
          </w:rPr>
          <w:fldChar w:fldCharType="separate"/>
        </w:r>
        <w:r w:rsidR="00AA68F8">
          <w:rPr>
            <w:webHidden/>
          </w:rPr>
          <w:t>7-6</w:t>
        </w:r>
        <w:r w:rsidR="007B3ADE">
          <w:rPr>
            <w:webHidden/>
          </w:rPr>
          <w:fldChar w:fldCharType="end"/>
        </w:r>
      </w:hyperlink>
    </w:p>
    <w:p w14:paraId="190D7DDD" w14:textId="2A3E0A45" w:rsidR="007B3ADE" w:rsidRDefault="00C723CB">
      <w:pPr>
        <w:pStyle w:val="TOC4"/>
        <w:tabs>
          <w:tab w:val="left" w:pos="2700"/>
        </w:tabs>
        <w:rPr>
          <w:rFonts w:asciiTheme="minorHAnsi" w:eastAsiaTheme="minorEastAsia" w:hAnsiTheme="minorHAnsi" w:cstheme="minorBidi"/>
          <w:iCs w:val="0"/>
          <w:szCs w:val="22"/>
        </w:rPr>
      </w:pPr>
      <w:hyperlink w:anchor="_Toc41680887" w:history="1">
        <w:r w:rsidR="007B3ADE" w:rsidRPr="00700A31">
          <w:rPr>
            <w:rStyle w:val="Hyperlink"/>
          </w:rPr>
          <w:t>7.2.1.4</w:t>
        </w:r>
        <w:r w:rsidR="007B3ADE">
          <w:rPr>
            <w:rFonts w:asciiTheme="minorHAnsi" w:eastAsiaTheme="minorEastAsia" w:hAnsiTheme="minorHAnsi" w:cstheme="minorBidi"/>
            <w:iCs w:val="0"/>
            <w:szCs w:val="22"/>
          </w:rPr>
          <w:tab/>
        </w:r>
        <w:r w:rsidR="007B3ADE" w:rsidRPr="00700A31">
          <w:rPr>
            <w:rStyle w:val="Hyperlink"/>
          </w:rPr>
          <w:t>Vector Reduction Requirements</w:t>
        </w:r>
        <w:r w:rsidR="007B3ADE">
          <w:rPr>
            <w:webHidden/>
          </w:rPr>
          <w:tab/>
        </w:r>
        <w:r w:rsidR="007B3ADE">
          <w:rPr>
            <w:webHidden/>
          </w:rPr>
          <w:fldChar w:fldCharType="begin"/>
        </w:r>
        <w:r w:rsidR="007B3ADE">
          <w:rPr>
            <w:webHidden/>
          </w:rPr>
          <w:instrText xml:space="preserve"> PAGEREF _Toc41680887 \h </w:instrText>
        </w:r>
        <w:r w:rsidR="007B3ADE">
          <w:rPr>
            <w:webHidden/>
          </w:rPr>
        </w:r>
        <w:r w:rsidR="007B3ADE">
          <w:rPr>
            <w:webHidden/>
          </w:rPr>
          <w:fldChar w:fldCharType="separate"/>
        </w:r>
        <w:r w:rsidR="00AA68F8">
          <w:rPr>
            <w:webHidden/>
          </w:rPr>
          <w:t>7-7</w:t>
        </w:r>
        <w:r w:rsidR="007B3ADE">
          <w:rPr>
            <w:webHidden/>
          </w:rPr>
          <w:fldChar w:fldCharType="end"/>
        </w:r>
      </w:hyperlink>
    </w:p>
    <w:p w14:paraId="35A236CA" w14:textId="4E0B2B89" w:rsidR="007B3ADE" w:rsidRDefault="00C723CB">
      <w:pPr>
        <w:pStyle w:val="TOC3"/>
        <w:tabs>
          <w:tab w:val="left" w:pos="1980"/>
        </w:tabs>
        <w:rPr>
          <w:rFonts w:asciiTheme="minorHAnsi" w:eastAsiaTheme="minorEastAsia" w:hAnsiTheme="minorHAnsi" w:cstheme="minorBidi"/>
          <w:iCs w:val="0"/>
        </w:rPr>
      </w:pPr>
      <w:hyperlink w:anchor="_Toc41680888" w:history="1">
        <w:r w:rsidR="007B3ADE" w:rsidRPr="00700A31">
          <w:rPr>
            <w:rStyle w:val="Hyperlink"/>
          </w:rPr>
          <w:t>7.2.2</w:t>
        </w:r>
        <w:r w:rsidR="007B3ADE">
          <w:rPr>
            <w:rFonts w:asciiTheme="minorHAnsi" w:eastAsiaTheme="minorEastAsia" w:hAnsiTheme="minorHAnsi" w:cstheme="minorBidi"/>
            <w:iCs w:val="0"/>
          </w:rPr>
          <w:tab/>
        </w:r>
        <w:r w:rsidR="007B3ADE" w:rsidRPr="00700A31">
          <w:rPr>
            <w:rStyle w:val="Hyperlink"/>
          </w:rPr>
          <w:t>Synagro Composting Biosolids Requirements</w:t>
        </w:r>
        <w:r w:rsidR="007B3ADE">
          <w:rPr>
            <w:webHidden/>
          </w:rPr>
          <w:tab/>
        </w:r>
        <w:r w:rsidR="007B3ADE">
          <w:rPr>
            <w:webHidden/>
          </w:rPr>
          <w:fldChar w:fldCharType="begin"/>
        </w:r>
        <w:r w:rsidR="007B3ADE">
          <w:rPr>
            <w:webHidden/>
          </w:rPr>
          <w:instrText xml:space="preserve"> PAGEREF _Toc41680888 \h </w:instrText>
        </w:r>
        <w:r w:rsidR="007B3ADE">
          <w:rPr>
            <w:webHidden/>
          </w:rPr>
        </w:r>
        <w:r w:rsidR="007B3ADE">
          <w:rPr>
            <w:webHidden/>
          </w:rPr>
          <w:fldChar w:fldCharType="separate"/>
        </w:r>
        <w:r w:rsidR="00AA68F8">
          <w:rPr>
            <w:webHidden/>
          </w:rPr>
          <w:t>7-8</w:t>
        </w:r>
        <w:r w:rsidR="007B3ADE">
          <w:rPr>
            <w:webHidden/>
          </w:rPr>
          <w:fldChar w:fldCharType="end"/>
        </w:r>
      </w:hyperlink>
    </w:p>
    <w:p w14:paraId="2B1CC35E" w14:textId="064505CE" w:rsidR="007B3ADE" w:rsidRDefault="00C723CB">
      <w:pPr>
        <w:pStyle w:val="TOC2"/>
        <w:rPr>
          <w:rFonts w:asciiTheme="minorHAnsi" w:eastAsiaTheme="minorEastAsia" w:hAnsiTheme="minorHAnsi" w:cstheme="minorBidi"/>
          <w:noProof/>
        </w:rPr>
      </w:pPr>
      <w:hyperlink w:anchor="_Toc41680889" w:history="1">
        <w:r w:rsidR="007B3ADE" w:rsidRPr="00700A31">
          <w:rPr>
            <w:rStyle w:val="Hyperlink"/>
            <w:noProof/>
          </w:rPr>
          <w:t>7.3</w:t>
        </w:r>
        <w:r w:rsidR="007B3ADE">
          <w:rPr>
            <w:rFonts w:asciiTheme="minorHAnsi" w:eastAsiaTheme="minorEastAsia" w:hAnsiTheme="minorHAnsi" w:cstheme="minorBidi"/>
            <w:noProof/>
          </w:rPr>
          <w:tab/>
        </w:r>
        <w:r w:rsidR="007B3ADE" w:rsidRPr="00700A31">
          <w:rPr>
            <w:rStyle w:val="Hyperlink"/>
            <w:noProof/>
          </w:rPr>
          <w:t>Air Quality</w:t>
        </w:r>
        <w:r w:rsidR="007B3ADE">
          <w:rPr>
            <w:noProof/>
            <w:webHidden/>
          </w:rPr>
          <w:tab/>
        </w:r>
        <w:r w:rsidR="007B3ADE">
          <w:rPr>
            <w:noProof/>
            <w:webHidden/>
          </w:rPr>
          <w:fldChar w:fldCharType="begin"/>
        </w:r>
        <w:r w:rsidR="007B3ADE">
          <w:rPr>
            <w:noProof/>
            <w:webHidden/>
          </w:rPr>
          <w:instrText xml:space="preserve"> PAGEREF _Toc41680889 \h </w:instrText>
        </w:r>
        <w:r w:rsidR="007B3ADE">
          <w:rPr>
            <w:noProof/>
            <w:webHidden/>
          </w:rPr>
        </w:r>
        <w:r w:rsidR="007B3ADE">
          <w:rPr>
            <w:noProof/>
            <w:webHidden/>
          </w:rPr>
          <w:fldChar w:fldCharType="separate"/>
        </w:r>
        <w:r w:rsidR="00AA68F8">
          <w:rPr>
            <w:noProof/>
            <w:webHidden/>
          </w:rPr>
          <w:t>7-8</w:t>
        </w:r>
        <w:r w:rsidR="007B3ADE">
          <w:rPr>
            <w:noProof/>
            <w:webHidden/>
          </w:rPr>
          <w:fldChar w:fldCharType="end"/>
        </w:r>
      </w:hyperlink>
    </w:p>
    <w:p w14:paraId="097FBAC7" w14:textId="0AFF8252" w:rsidR="007B3ADE" w:rsidRDefault="00C723CB">
      <w:pPr>
        <w:pStyle w:val="TOC3"/>
        <w:tabs>
          <w:tab w:val="left" w:pos="1980"/>
        </w:tabs>
        <w:rPr>
          <w:rFonts w:asciiTheme="minorHAnsi" w:eastAsiaTheme="minorEastAsia" w:hAnsiTheme="minorHAnsi" w:cstheme="minorBidi"/>
          <w:iCs w:val="0"/>
        </w:rPr>
      </w:pPr>
      <w:hyperlink w:anchor="_Toc41680890" w:history="1">
        <w:r w:rsidR="007B3ADE" w:rsidRPr="00700A31">
          <w:rPr>
            <w:rStyle w:val="Hyperlink"/>
          </w:rPr>
          <w:t>7.3.1</w:t>
        </w:r>
        <w:r w:rsidR="007B3ADE">
          <w:rPr>
            <w:rFonts w:asciiTheme="minorHAnsi" w:eastAsiaTheme="minorEastAsia" w:hAnsiTheme="minorHAnsi" w:cstheme="minorBidi"/>
            <w:iCs w:val="0"/>
          </w:rPr>
          <w:tab/>
        </w:r>
        <w:r w:rsidR="007B3ADE" w:rsidRPr="00700A31">
          <w:rPr>
            <w:rStyle w:val="Hyperlink"/>
          </w:rPr>
          <w:t>South Coast Air Quality Management District</w:t>
        </w:r>
        <w:r w:rsidR="007B3ADE">
          <w:rPr>
            <w:webHidden/>
          </w:rPr>
          <w:tab/>
        </w:r>
        <w:r w:rsidR="007B3ADE">
          <w:rPr>
            <w:webHidden/>
          </w:rPr>
          <w:fldChar w:fldCharType="begin"/>
        </w:r>
        <w:r w:rsidR="007B3ADE">
          <w:rPr>
            <w:webHidden/>
          </w:rPr>
          <w:instrText xml:space="preserve"> PAGEREF _Toc41680890 \h </w:instrText>
        </w:r>
        <w:r w:rsidR="007B3ADE">
          <w:rPr>
            <w:webHidden/>
          </w:rPr>
        </w:r>
        <w:r w:rsidR="007B3ADE">
          <w:rPr>
            <w:webHidden/>
          </w:rPr>
          <w:fldChar w:fldCharType="separate"/>
        </w:r>
        <w:r w:rsidR="00AA68F8">
          <w:rPr>
            <w:webHidden/>
          </w:rPr>
          <w:t>7-8</w:t>
        </w:r>
        <w:r w:rsidR="007B3ADE">
          <w:rPr>
            <w:webHidden/>
          </w:rPr>
          <w:fldChar w:fldCharType="end"/>
        </w:r>
      </w:hyperlink>
    </w:p>
    <w:p w14:paraId="042D1EAB" w14:textId="6AC06F59" w:rsidR="007B3ADE" w:rsidRDefault="00C723CB">
      <w:pPr>
        <w:pStyle w:val="TOC3"/>
        <w:tabs>
          <w:tab w:val="left" w:pos="1980"/>
        </w:tabs>
        <w:rPr>
          <w:rFonts w:asciiTheme="minorHAnsi" w:eastAsiaTheme="minorEastAsia" w:hAnsiTheme="minorHAnsi" w:cstheme="minorBidi"/>
          <w:iCs w:val="0"/>
        </w:rPr>
      </w:pPr>
      <w:hyperlink w:anchor="_Toc41680891" w:history="1">
        <w:r w:rsidR="007B3ADE" w:rsidRPr="00700A31">
          <w:rPr>
            <w:rStyle w:val="Hyperlink"/>
          </w:rPr>
          <w:t>7.3.2</w:t>
        </w:r>
        <w:r w:rsidR="007B3ADE">
          <w:rPr>
            <w:rFonts w:asciiTheme="minorHAnsi" w:eastAsiaTheme="minorEastAsia" w:hAnsiTheme="minorHAnsi" w:cstheme="minorBidi"/>
            <w:iCs w:val="0"/>
          </w:rPr>
          <w:tab/>
        </w:r>
        <w:r w:rsidR="007B3ADE" w:rsidRPr="00700A31">
          <w:rPr>
            <w:rStyle w:val="Hyperlink"/>
          </w:rPr>
          <w:t>California Air Resources Board</w:t>
        </w:r>
        <w:r w:rsidR="007B3ADE">
          <w:rPr>
            <w:webHidden/>
          </w:rPr>
          <w:tab/>
        </w:r>
        <w:r w:rsidR="007B3ADE">
          <w:rPr>
            <w:webHidden/>
          </w:rPr>
          <w:fldChar w:fldCharType="begin"/>
        </w:r>
        <w:r w:rsidR="007B3ADE">
          <w:rPr>
            <w:webHidden/>
          </w:rPr>
          <w:instrText xml:space="preserve"> PAGEREF _Toc41680891 \h </w:instrText>
        </w:r>
        <w:r w:rsidR="007B3ADE">
          <w:rPr>
            <w:webHidden/>
          </w:rPr>
        </w:r>
        <w:r w:rsidR="007B3ADE">
          <w:rPr>
            <w:webHidden/>
          </w:rPr>
          <w:fldChar w:fldCharType="separate"/>
        </w:r>
        <w:r w:rsidR="00AA68F8">
          <w:rPr>
            <w:webHidden/>
          </w:rPr>
          <w:t>7-12</w:t>
        </w:r>
        <w:r w:rsidR="007B3ADE">
          <w:rPr>
            <w:webHidden/>
          </w:rPr>
          <w:fldChar w:fldCharType="end"/>
        </w:r>
      </w:hyperlink>
    </w:p>
    <w:p w14:paraId="51FE2657" w14:textId="100AE3BF" w:rsidR="007B3ADE" w:rsidRDefault="00C723CB">
      <w:pPr>
        <w:pStyle w:val="TOC3"/>
        <w:tabs>
          <w:tab w:val="left" w:pos="1980"/>
        </w:tabs>
        <w:rPr>
          <w:rFonts w:asciiTheme="minorHAnsi" w:eastAsiaTheme="minorEastAsia" w:hAnsiTheme="minorHAnsi" w:cstheme="minorBidi"/>
          <w:iCs w:val="0"/>
        </w:rPr>
      </w:pPr>
      <w:hyperlink w:anchor="_Toc41680892" w:history="1">
        <w:r w:rsidR="007B3ADE" w:rsidRPr="00700A31">
          <w:rPr>
            <w:rStyle w:val="Hyperlink"/>
          </w:rPr>
          <w:t>7.3.3</w:t>
        </w:r>
        <w:r w:rsidR="007B3ADE">
          <w:rPr>
            <w:rFonts w:asciiTheme="minorHAnsi" w:eastAsiaTheme="minorEastAsia" w:hAnsiTheme="minorHAnsi" w:cstheme="minorBidi"/>
            <w:iCs w:val="0"/>
          </w:rPr>
          <w:tab/>
        </w:r>
        <w:r w:rsidR="007B3ADE" w:rsidRPr="00700A31">
          <w:rPr>
            <w:rStyle w:val="Hyperlink"/>
          </w:rPr>
          <w:t>Senate Bill 1383 (Short-lived Climate Pollutants)</w:t>
        </w:r>
        <w:r w:rsidR="007B3ADE">
          <w:rPr>
            <w:webHidden/>
          </w:rPr>
          <w:tab/>
        </w:r>
        <w:r w:rsidR="007B3ADE">
          <w:rPr>
            <w:webHidden/>
          </w:rPr>
          <w:fldChar w:fldCharType="begin"/>
        </w:r>
        <w:r w:rsidR="007B3ADE">
          <w:rPr>
            <w:webHidden/>
          </w:rPr>
          <w:instrText xml:space="preserve"> PAGEREF _Toc41680892 \h </w:instrText>
        </w:r>
        <w:r w:rsidR="007B3ADE">
          <w:rPr>
            <w:webHidden/>
          </w:rPr>
        </w:r>
        <w:r w:rsidR="007B3ADE">
          <w:rPr>
            <w:webHidden/>
          </w:rPr>
          <w:fldChar w:fldCharType="separate"/>
        </w:r>
        <w:r w:rsidR="00AA68F8">
          <w:rPr>
            <w:webHidden/>
          </w:rPr>
          <w:t>7-12</w:t>
        </w:r>
        <w:r w:rsidR="007B3ADE">
          <w:rPr>
            <w:webHidden/>
          </w:rPr>
          <w:fldChar w:fldCharType="end"/>
        </w:r>
      </w:hyperlink>
    </w:p>
    <w:p w14:paraId="1E11B57E" w14:textId="1CC49AD6" w:rsidR="007B3ADE" w:rsidRDefault="00C723CB">
      <w:pPr>
        <w:pStyle w:val="TOC3"/>
        <w:tabs>
          <w:tab w:val="left" w:pos="1980"/>
        </w:tabs>
        <w:rPr>
          <w:rFonts w:asciiTheme="minorHAnsi" w:eastAsiaTheme="minorEastAsia" w:hAnsiTheme="minorHAnsi" w:cstheme="minorBidi"/>
          <w:iCs w:val="0"/>
        </w:rPr>
      </w:pPr>
      <w:hyperlink w:anchor="_Toc41680893" w:history="1">
        <w:r w:rsidR="007B3ADE" w:rsidRPr="00700A31">
          <w:rPr>
            <w:rStyle w:val="Hyperlink"/>
          </w:rPr>
          <w:t>7.3.4</w:t>
        </w:r>
        <w:r w:rsidR="007B3ADE">
          <w:rPr>
            <w:rFonts w:asciiTheme="minorHAnsi" w:eastAsiaTheme="minorEastAsia" w:hAnsiTheme="minorHAnsi" w:cstheme="minorBidi"/>
            <w:iCs w:val="0"/>
          </w:rPr>
          <w:tab/>
        </w:r>
        <w:r w:rsidR="007B3ADE" w:rsidRPr="00700A31">
          <w:rPr>
            <w:rStyle w:val="Hyperlink"/>
          </w:rPr>
          <w:t>Odor Control</w:t>
        </w:r>
        <w:r w:rsidR="007B3ADE">
          <w:rPr>
            <w:webHidden/>
          </w:rPr>
          <w:tab/>
        </w:r>
        <w:r w:rsidR="007B3ADE">
          <w:rPr>
            <w:webHidden/>
          </w:rPr>
          <w:fldChar w:fldCharType="begin"/>
        </w:r>
        <w:r w:rsidR="007B3ADE">
          <w:rPr>
            <w:webHidden/>
          </w:rPr>
          <w:instrText xml:space="preserve"> PAGEREF _Toc41680893 \h </w:instrText>
        </w:r>
        <w:r w:rsidR="007B3ADE">
          <w:rPr>
            <w:webHidden/>
          </w:rPr>
        </w:r>
        <w:r w:rsidR="007B3ADE">
          <w:rPr>
            <w:webHidden/>
          </w:rPr>
          <w:fldChar w:fldCharType="separate"/>
        </w:r>
        <w:r w:rsidR="00AA68F8">
          <w:rPr>
            <w:webHidden/>
          </w:rPr>
          <w:t>7-13</w:t>
        </w:r>
        <w:r w:rsidR="007B3ADE">
          <w:rPr>
            <w:webHidden/>
          </w:rPr>
          <w:fldChar w:fldCharType="end"/>
        </w:r>
      </w:hyperlink>
    </w:p>
    <w:p w14:paraId="286C6D1B" w14:textId="434F1DE0" w:rsidR="007B3ADE" w:rsidRDefault="00C723CB">
      <w:pPr>
        <w:pStyle w:val="TOC2"/>
        <w:rPr>
          <w:rFonts w:asciiTheme="minorHAnsi" w:eastAsiaTheme="minorEastAsia" w:hAnsiTheme="minorHAnsi" w:cstheme="minorBidi"/>
          <w:noProof/>
        </w:rPr>
      </w:pPr>
      <w:hyperlink w:anchor="_Toc41680894" w:history="1">
        <w:r w:rsidR="007B3ADE" w:rsidRPr="00700A31">
          <w:rPr>
            <w:rStyle w:val="Hyperlink"/>
            <w:noProof/>
          </w:rPr>
          <w:t>7.4</w:t>
        </w:r>
        <w:r w:rsidR="007B3ADE">
          <w:rPr>
            <w:rFonts w:asciiTheme="minorHAnsi" w:eastAsiaTheme="minorEastAsia" w:hAnsiTheme="minorHAnsi" w:cstheme="minorBidi"/>
            <w:noProof/>
          </w:rPr>
          <w:tab/>
        </w:r>
        <w:r w:rsidR="007B3ADE" w:rsidRPr="00700A31">
          <w:rPr>
            <w:rStyle w:val="Hyperlink"/>
            <w:noProof/>
          </w:rPr>
          <w:t>Federal Aviation Administration</w:t>
        </w:r>
        <w:r w:rsidR="007B3ADE">
          <w:rPr>
            <w:noProof/>
            <w:webHidden/>
          </w:rPr>
          <w:tab/>
        </w:r>
        <w:r w:rsidR="007B3ADE">
          <w:rPr>
            <w:noProof/>
            <w:webHidden/>
          </w:rPr>
          <w:fldChar w:fldCharType="begin"/>
        </w:r>
        <w:r w:rsidR="007B3ADE">
          <w:rPr>
            <w:noProof/>
            <w:webHidden/>
          </w:rPr>
          <w:instrText xml:space="preserve"> PAGEREF _Toc41680894 \h </w:instrText>
        </w:r>
        <w:r w:rsidR="007B3ADE">
          <w:rPr>
            <w:noProof/>
            <w:webHidden/>
          </w:rPr>
        </w:r>
        <w:r w:rsidR="007B3ADE">
          <w:rPr>
            <w:noProof/>
            <w:webHidden/>
          </w:rPr>
          <w:fldChar w:fldCharType="separate"/>
        </w:r>
        <w:r w:rsidR="00AA68F8">
          <w:rPr>
            <w:noProof/>
            <w:webHidden/>
          </w:rPr>
          <w:t>7-14</w:t>
        </w:r>
        <w:r w:rsidR="007B3ADE">
          <w:rPr>
            <w:noProof/>
            <w:webHidden/>
          </w:rPr>
          <w:fldChar w:fldCharType="end"/>
        </w:r>
      </w:hyperlink>
    </w:p>
    <w:p w14:paraId="62A25F7A" w14:textId="43DEEDB4" w:rsidR="007B3ADE" w:rsidRDefault="00C723CB">
      <w:pPr>
        <w:pStyle w:val="TOC2"/>
        <w:rPr>
          <w:rFonts w:asciiTheme="minorHAnsi" w:eastAsiaTheme="minorEastAsia" w:hAnsiTheme="minorHAnsi" w:cstheme="minorBidi"/>
          <w:noProof/>
        </w:rPr>
      </w:pPr>
      <w:hyperlink w:anchor="_Toc41680895" w:history="1">
        <w:r w:rsidR="007B3ADE" w:rsidRPr="00700A31">
          <w:rPr>
            <w:rStyle w:val="Hyperlink"/>
            <w:noProof/>
          </w:rPr>
          <w:t>7.5</w:t>
        </w:r>
        <w:r w:rsidR="007B3ADE">
          <w:rPr>
            <w:rFonts w:asciiTheme="minorHAnsi" w:eastAsiaTheme="minorEastAsia" w:hAnsiTheme="minorHAnsi" w:cstheme="minorBidi"/>
            <w:noProof/>
          </w:rPr>
          <w:tab/>
        </w:r>
        <w:r w:rsidR="007B3ADE" w:rsidRPr="00700A31">
          <w:rPr>
            <w:rStyle w:val="Hyperlink"/>
            <w:noProof/>
          </w:rPr>
          <w:t>Safety</w:t>
        </w:r>
        <w:r w:rsidR="007B3ADE">
          <w:rPr>
            <w:noProof/>
            <w:webHidden/>
          </w:rPr>
          <w:tab/>
        </w:r>
        <w:r w:rsidR="007B3ADE">
          <w:rPr>
            <w:noProof/>
            <w:webHidden/>
          </w:rPr>
          <w:fldChar w:fldCharType="begin"/>
        </w:r>
        <w:r w:rsidR="007B3ADE">
          <w:rPr>
            <w:noProof/>
            <w:webHidden/>
          </w:rPr>
          <w:instrText xml:space="preserve"> PAGEREF _Toc41680895 \h </w:instrText>
        </w:r>
        <w:r w:rsidR="007B3ADE">
          <w:rPr>
            <w:noProof/>
            <w:webHidden/>
          </w:rPr>
        </w:r>
        <w:r w:rsidR="007B3ADE">
          <w:rPr>
            <w:noProof/>
            <w:webHidden/>
          </w:rPr>
          <w:fldChar w:fldCharType="separate"/>
        </w:r>
        <w:r w:rsidR="00AA68F8">
          <w:rPr>
            <w:noProof/>
            <w:webHidden/>
          </w:rPr>
          <w:t>7-15</w:t>
        </w:r>
        <w:r w:rsidR="007B3ADE">
          <w:rPr>
            <w:noProof/>
            <w:webHidden/>
          </w:rPr>
          <w:fldChar w:fldCharType="end"/>
        </w:r>
      </w:hyperlink>
    </w:p>
    <w:p w14:paraId="0A35ADC8" w14:textId="14256201" w:rsidR="007B3ADE" w:rsidRDefault="00C723CB">
      <w:pPr>
        <w:pStyle w:val="TOC3"/>
        <w:tabs>
          <w:tab w:val="left" w:pos="1980"/>
        </w:tabs>
        <w:rPr>
          <w:rFonts w:asciiTheme="minorHAnsi" w:eastAsiaTheme="minorEastAsia" w:hAnsiTheme="minorHAnsi" w:cstheme="minorBidi"/>
          <w:iCs w:val="0"/>
        </w:rPr>
      </w:pPr>
      <w:hyperlink w:anchor="_Toc41680896" w:history="1">
        <w:r w:rsidR="007B3ADE" w:rsidRPr="00700A31">
          <w:rPr>
            <w:rStyle w:val="Hyperlink"/>
          </w:rPr>
          <w:t>7.5.1</w:t>
        </w:r>
        <w:r w:rsidR="007B3ADE">
          <w:rPr>
            <w:rFonts w:asciiTheme="minorHAnsi" w:eastAsiaTheme="minorEastAsia" w:hAnsiTheme="minorHAnsi" w:cstheme="minorBidi"/>
            <w:iCs w:val="0"/>
          </w:rPr>
          <w:tab/>
        </w:r>
        <w:r w:rsidR="007B3ADE" w:rsidRPr="00700A31">
          <w:rPr>
            <w:rStyle w:val="Hyperlink"/>
          </w:rPr>
          <w:t>Cal/OSHA</w:t>
        </w:r>
        <w:r w:rsidR="007B3ADE">
          <w:rPr>
            <w:webHidden/>
          </w:rPr>
          <w:tab/>
        </w:r>
        <w:r w:rsidR="007B3ADE">
          <w:rPr>
            <w:webHidden/>
          </w:rPr>
          <w:fldChar w:fldCharType="begin"/>
        </w:r>
        <w:r w:rsidR="007B3ADE">
          <w:rPr>
            <w:webHidden/>
          </w:rPr>
          <w:instrText xml:space="preserve"> PAGEREF _Toc41680896 \h </w:instrText>
        </w:r>
        <w:r w:rsidR="007B3ADE">
          <w:rPr>
            <w:webHidden/>
          </w:rPr>
        </w:r>
        <w:r w:rsidR="007B3ADE">
          <w:rPr>
            <w:webHidden/>
          </w:rPr>
          <w:fldChar w:fldCharType="separate"/>
        </w:r>
        <w:r w:rsidR="00AA68F8">
          <w:rPr>
            <w:webHidden/>
          </w:rPr>
          <w:t>7-15</w:t>
        </w:r>
        <w:r w:rsidR="007B3ADE">
          <w:rPr>
            <w:webHidden/>
          </w:rPr>
          <w:fldChar w:fldCharType="end"/>
        </w:r>
      </w:hyperlink>
    </w:p>
    <w:p w14:paraId="485878B2" w14:textId="621D759E" w:rsidR="007B3ADE" w:rsidRDefault="00C723CB">
      <w:pPr>
        <w:pStyle w:val="TOC3"/>
        <w:tabs>
          <w:tab w:val="left" w:pos="1980"/>
        </w:tabs>
        <w:rPr>
          <w:rFonts w:asciiTheme="minorHAnsi" w:eastAsiaTheme="minorEastAsia" w:hAnsiTheme="minorHAnsi" w:cstheme="minorBidi"/>
          <w:iCs w:val="0"/>
        </w:rPr>
      </w:pPr>
      <w:hyperlink w:anchor="_Toc41680897" w:history="1">
        <w:r w:rsidR="007B3ADE" w:rsidRPr="00700A31">
          <w:rPr>
            <w:rStyle w:val="Hyperlink"/>
          </w:rPr>
          <w:t>7.5.2</w:t>
        </w:r>
        <w:r w:rsidR="007B3ADE">
          <w:rPr>
            <w:rFonts w:asciiTheme="minorHAnsi" w:eastAsiaTheme="minorEastAsia" w:hAnsiTheme="minorHAnsi" w:cstheme="minorBidi"/>
            <w:iCs w:val="0"/>
          </w:rPr>
          <w:tab/>
        </w:r>
        <w:r w:rsidR="007B3ADE" w:rsidRPr="00700A31">
          <w:rPr>
            <w:rStyle w:val="Hyperlink"/>
          </w:rPr>
          <w:t>San Bernardino County Fire Protection District</w:t>
        </w:r>
        <w:r w:rsidR="007B3ADE">
          <w:rPr>
            <w:webHidden/>
          </w:rPr>
          <w:tab/>
        </w:r>
        <w:r w:rsidR="007B3ADE">
          <w:rPr>
            <w:webHidden/>
          </w:rPr>
          <w:fldChar w:fldCharType="begin"/>
        </w:r>
        <w:r w:rsidR="007B3ADE">
          <w:rPr>
            <w:webHidden/>
          </w:rPr>
          <w:instrText xml:space="preserve"> PAGEREF _Toc41680897 \h </w:instrText>
        </w:r>
        <w:r w:rsidR="007B3ADE">
          <w:rPr>
            <w:webHidden/>
          </w:rPr>
        </w:r>
        <w:r w:rsidR="007B3ADE">
          <w:rPr>
            <w:webHidden/>
          </w:rPr>
          <w:fldChar w:fldCharType="separate"/>
        </w:r>
        <w:r w:rsidR="00AA68F8">
          <w:rPr>
            <w:webHidden/>
          </w:rPr>
          <w:t>7-15</w:t>
        </w:r>
        <w:r w:rsidR="007B3ADE">
          <w:rPr>
            <w:webHidden/>
          </w:rPr>
          <w:fldChar w:fldCharType="end"/>
        </w:r>
      </w:hyperlink>
    </w:p>
    <w:p w14:paraId="051B107F" w14:textId="795F4161" w:rsidR="007B3ADE" w:rsidRDefault="00C723CB">
      <w:pPr>
        <w:pStyle w:val="TOC3"/>
        <w:tabs>
          <w:tab w:val="left" w:pos="1980"/>
        </w:tabs>
        <w:rPr>
          <w:rFonts w:asciiTheme="minorHAnsi" w:eastAsiaTheme="minorEastAsia" w:hAnsiTheme="minorHAnsi" w:cstheme="minorBidi"/>
          <w:iCs w:val="0"/>
        </w:rPr>
      </w:pPr>
      <w:hyperlink w:anchor="_Toc41680898" w:history="1">
        <w:r w:rsidR="007B3ADE" w:rsidRPr="00700A31">
          <w:rPr>
            <w:rStyle w:val="Hyperlink"/>
          </w:rPr>
          <w:t>7.5.3</w:t>
        </w:r>
        <w:r w:rsidR="007B3ADE">
          <w:rPr>
            <w:rFonts w:asciiTheme="minorHAnsi" w:eastAsiaTheme="minorEastAsia" w:hAnsiTheme="minorHAnsi" w:cstheme="minorBidi"/>
            <w:iCs w:val="0"/>
          </w:rPr>
          <w:tab/>
        </w:r>
        <w:r w:rsidR="007B3ADE" w:rsidRPr="00700A31">
          <w:rPr>
            <w:rStyle w:val="Hyperlink"/>
          </w:rPr>
          <w:t>National Electrical Code</w:t>
        </w:r>
        <w:r w:rsidR="007B3ADE">
          <w:rPr>
            <w:webHidden/>
          </w:rPr>
          <w:tab/>
        </w:r>
        <w:r w:rsidR="007B3ADE">
          <w:rPr>
            <w:webHidden/>
          </w:rPr>
          <w:fldChar w:fldCharType="begin"/>
        </w:r>
        <w:r w:rsidR="007B3ADE">
          <w:rPr>
            <w:webHidden/>
          </w:rPr>
          <w:instrText xml:space="preserve"> PAGEREF _Toc41680898 \h </w:instrText>
        </w:r>
        <w:r w:rsidR="007B3ADE">
          <w:rPr>
            <w:webHidden/>
          </w:rPr>
        </w:r>
        <w:r w:rsidR="007B3ADE">
          <w:rPr>
            <w:webHidden/>
          </w:rPr>
          <w:fldChar w:fldCharType="separate"/>
        </w:r>
        <w:r w:rsidR="00AA68F8">
          <w:rPr>
            <w:webHidden/>
          </w:rPr>
          <w:t>7-16</w:t>
        </w:r>
        <w:r w:rsidR="007B3ADE">
          <w:rPr>
            <w:webHidden/>
          </w:rPr>
          <w:fldChar w:fldCharType="end"/>
        </w:r>
      </w:hyperlink>
    </w:p>
    <w:p w14:paraId="7A5484B7" w14:textId="2486F97A" w:rsidR="007B3ADE" w:rsidRDefault="00C723CB">
      <w:pPr>
        <w:pStyle w:val="TOC2"/>
        <w:rPr>
          <w:rFonts w:asciiTheme="minorHAnsi" w:eastAsiaTheme="minorEastAsia" w:hAnsiTheme="minorHAnsi" w:cstheme="minorBidi"/>
          <w:noProof/>
        </w:rPr>
      </w:pPr>
      <w:hyperlink w:anchor="_Toc41680899" w:history="1">
        <w:r w:rsidR="007B3ADE" w:rsidRPr="00700A31">
          <w:rPr>
            <w:rStyle w:val="Hyperlink"/>
            <w:noProof/>
          </w:rPr>
          <w:t>7.6</w:t>
        </w:r>
        <w:r w:rsidR="007B3ADE">
          <w:rPr>
            <w:rFonts w:asciiTheme="minorHAnsi" w:eastAsiaTheme="minorEastAsia" w:hAnsiTheme="minorHAnsi" w:cstheme="minorBidi"/>
            <w:noProof/>
          </w:rPr>
          <w:tab/>
        </w:r>
        <w:r w:rsidR="007B3ADE" w:rsidRPr="00700A31">
          <w:rPr>
            <w:rStyle w:val="Hyperlink"/>
            <w:noProof/>
          </w:rPr>
          <w:t>Utility Considerations</w:t>
        </w:r>
        <w:r w:rsidR="007B3ADE">
          <w:rPr>
            <w:noProof/>
            <w:webHidden/>
          </w:rPr>
          <w:tab/>
        </w:r>
        <w:r w:rsidR="007B3ADE">
          <w:rPr>
            <w:noProof/>
            <w:webHidden/>
          </w:rPr>
          <w:fldChar w:fldCharType="begin"/>
        </w:r>
        <w:r w:rsidR="007B3ADE">
          <w:rPr>
            <w:noProof/>
            <w:webHidden/>
          </w:rPr>
          <w:instrText xml:space="preserve"> PAGEREF _Toc41680899 \h </w:instrText>
        </w:r>
        <w:r w:rsidR="007B3ADE">
          <w:rPr>
            <w:noProof/>
            <w:webHidden/>
          </w:rPr>
        </w:r>
        <w:r w:rsidR="007B3ADE">
          <w:rPr>
            <w:noProof/>
            <w:webHidden/>
          </w:rPr>
          <w:fldChar w:fldCharType="separate"/>
        </w:r>
        <w:r w:rsidR="00AA68F8">
          <w:rPr>
            <w:noProof/>
            <w:webHidden/>
          </w:rPr>
          <w:t>7-16</w:t>
        </w:r>
        <w:r w:rsidR="007B3ADE">
          <w:rPr>
            <w:noProof/>
            <w:webHidden/>
          </w:rPr>
          <w:fldChar w:fldCharType="end"/>
        </w:r>
      </w:hyperlink>
    </w:p>
    <w:p w14:paraId="1774639C" w14:textId="2D0C4AC9" w:rsidR="007B3ADE" w:rsidRDefault="00C723CB">
      <w:pPr>
        <w:pStyle w:val="TOC1"/>
        <w:rPr>
          <w:rFonts w:asciiTheme="minorHAnsi" w:eastAsiaTheme="minorEastAsia" w:hAnsiTheme="minorHAnsi" w:cstheme="minorBidi"/>
          <w:bCs w:val="0"/>
        </w:rPr>
      </w:pPr>
      <w:hyperlink w:anchor="_Toc41680900" w:history="1">
        <w:r w:rsidR="007B3ADE" w:rsidRPr="00700A31">
          <w:rPr>
            <w:rStyle w:val="Hyperlink"/>
          </w:rPr>
          <w:t>8.</w:t>
        </w:r>
        <w:r w:rsidR="007B3ADE">
          <w:rPr>
            <w:rFonts w:asciiTheme="minorHAnsi" w:eastAsiaTheme="minorEastAsia" w:hAnsiTheme="minorHAnsi" w:cstheme="minorBidi"/>
            <w:bCs w:val="0"/>
          </w:rPr>
          <w:tab/>
        </w:r>
        <w:r w:rsidR="007B3ADE" w:rsidRPr="00700A31">
          <w:rPr>
            <w:rStyle w:val="Hyperlink"/>
          </w:rPr>
          <w:t>Existing Process Performance and Capacity</w:t>
        </w:r>
        <w:r w:rsidR="007B3ADE">
          <w:rPr>
            <w:webHidden/>
          </w:rPr>
          <w:tab/>
        </w:r>
        <w:r w:rsidR="007B3ADE">
          <w:rPr>
            <w:webHidden/>
          </w:rPr>
          <w:fldChar w:fldCharType="begin"/>
        </w:r>
        <w:r w:rsidR="007B3ADE">
          <w:rPr>
            <w:webHidden/>
          </w:rPr>
          <w:instrText xml:space="preserve"> PAGEREF _Toc41680900 \h </w:instrText>
        </w:r>
        <w:r w:rsidR="007B3ADE">
          <w:rPr>
            <w:webHidden/>
          </w:rPr>
        </w:r>
        <w:r w:rsidR="007B3ADE">
          <w:rPr>
            <w:webHidden/>
          </w:rPr>
          <w:fldChar w:fldCharType="separate"/>
        </w:r>
        <w:r w:rsidR="00AA68F8">
          <w:rPr>
            <w:webHidden/>
          </w:rPr>
          <w:t>8-1</w:t>
        </w:r>
        <w:r w:rsidR="007B3ADE">
          <w:rPr>
            <w:webHidden/>
          </w:rPr>
          <w:fldChar w:fldCharType="end"/>
        </w:r>
      </w:hyperlink>
    </w:p>
    <w:p w14:paraId="671E065A" w14:textId="01831FDE" w:rsidR="007B3ADE" w:rsidRDefault="00C723CB">
      <w:pPr>
        <w:pStyle w:val="TOC2"/>
        <w:rPr>
          <w:rFonts w:asciiTheme="minorHAnsi" w:eastAsiaTheme="minorEastAsia" w:hAnsiTheme="minorHAnsi" w:cstheme="minorBidi"/>
          <w:noProof/>
        </w:rPr>
      </w:pPr>
      <w:hyperlink w:anchor="_Toc41680901" w:history="1">
        <w:r w:rsidR="007B3ADE" w:rsidRPr="00700A31">
          <w:rPr>
            <w:rStyle w:val="Hyperlink"/>
            <w:noProof/>
          </w:rPr>
          <w:t>8.1</w:t>
        </w:r>
        <w:r w:rsidR="007B3ADE">
          <w:rPr>
            <w:rFonts w:asciiTheme="minorHAnsi" w:eastAsiaTheme="minorEastAsia" w:hAnsiTheme="minorHAnsi" w:cstheme="minorBidi"/>
            <w:noProof/>
          </w:rPr>
          <w:tab/>
        </w:r>
        <w:r w:rsidR="007B3ADE" w:rsidRPr="00700A31">
          <w:rPr>
            <w:rStyle w:val="Hyperlink"/>
            <w:noProof/>
          </w:rPr>
          <w:t>Hydraulic Capacity</w:t>
        </w:r>
        <w:r w:rsidR="007B3ADE">
          <w:rPr>
            <w:noProof/>
            <w:webHidden/>
          </w:rPr>
          <w:tab/>
        </w:r>
        <w:r w:rsidR="007B3ADE">
          <w:rPr>
            <w:noProof/>
            <w:webHidden/>
          </w:rPr>
          <w:fldChar w:fldCharType="begin"/>
        </w:r>
        <w:r w:rsidR="007B3ADE">
          <w:rPr>
            <w:noProof/>
            <w:webHidden/>
          </w:rPr>
          <w:instrText xml:space="preserve"> PAGEREF _Toc41680901 \h </w:instrText>
        </w:r>
        <w:r w:rsidR="007B3ADE">
          <w:rPr>
            <w:noProof/>
            <w:webHidden/>
          </w:rPr>
        </w:r>
        <w:r w:rsidR="007B3ADE">
          <w:rPr>
            <w:noProof/>
            <w:webHidden/>
          </w:rPr>
          <w:fldChar w:fldCharType="separate"/>
        </w:r>
        <w:r w:rsidR="00AA68F8">
          <w:rPr>
            <w:noProof/>
            <w:webHidden/>
          </w:rPr>
          <w:t>8-1</w:t>
        </w:r>
        <w:r w:rsidR="007B3ADE">
          <w:rPr>
            <w:noProof/>
            <w:webHidden/>
          </w:rPr>
          <w:fldChar w:fldCharType="end"/>
        </w:r>
      </w:hyperlink>
    </w:p>
    <w:p w14:paraId="05E68AC2" w14:textId="69BC0B34" w:rsidR="007B3ADE" w:rsidRDefault="00C723CB">
      <w:pPr>
        <w:pStyle w:val="TOC2"/>
        <w:rPr>
          <w:rFonts w:asciiTheme="minorHAnsi" w:eastAsiaTheme="minorEastAsia" w:hAnsiTheme="minorHAnsi" w:cstheme="minorBidi"/>
          <w:noProof/>
        </w:rPr>
      </w:pPr>
      <w:hyperlink w:anchor="_Toc41680902" w:history="1">
        <w:r w:rsidR="007B3ADE" w:rsidRPr="00700A31">
          <w:rPr>
            <w:rStyle w:val="Hyperlink"/>
            <w:noProof/>
          </w:rPr>
          <w:t>8.2</w:t>
        </w:r>
        <w:r w:rsidR="007B3ADE">
          <w:rPr>
            <w:rFonts w:asciiTheme="minorHAnsi" w:eastAsiaTheme="minorEastAsia" w:hAnsiTheme="minorHAnsi" w:cstheme="minorBidi"/>
            <w:noProof/>
          </w:rPr>
          <w:tab/>
        </w:r>
        <w:r w:rsidR="007B3ADE" w:rsidRPr="00700A31">
          <w:rPr>
            <w:rStyle w:val="Hyperlink"/>
            <w:noProof/>
          </w:rPr>
          <w:t>Influent Distribution Performance</w:t>
        </w:r>
        <w:r w:rsidR="007B3ADE">
          <w:rPr>
            <w:noProof/>
            <w:webHidden/>
          </w:rPr>
          <w:tab/>
        </w:r>
        <w:r w:rsidR="007B3ADE">
          <w:rPr>
            <w:noProof/>
            <w:webHidden/>
          </w:rPr>
          <w:fldChar w:fldCharType="begin"/>
        </w:r>
        <w:r w:rsidR="007B3ADE">
          <w:rPr>
            <w:noProof/>
            <w:webHidden/>
          </w:rPr>
          <w:instrText xml:space="preserve"> PAGEREF _Toc41680902 \h </w:instrText>
        </w:r>
        <w:r w:rsidR="007B3ADE">
          <w:rPr>
            <w:noProof/>
            <w:webHidden/>
          </w:rPr>
        </w:r>
        <w:r w:rsidR="007B3ADE">
          <w:rPr>
            <w:noProof/>
            <w:webHidden/>
          </w:rPr>
          <w:fldChar w:fldCharType="separate"/>
        </w:r>
        <w:r w:rsidR="00AA68F8">
          <w:rPr>
            <w:noProof/>
            <w:webHidden/>
          </w:rPr>
          <w:t>8-2</w:t>
        </w:r>
        <w:r w:rsidR="007B3ADE">
          <w:rPr>
            <w:noProof/>
            <w:webHidden/>
          </w:rPr>
          <w:fldChar w:fldCharType="end"/>
        </w:r>
      </w:hyperlink>
    </w:p>
    <w:p w14:paraId="7865E2B4" w14:textId="154BBEE1" w:rsidR="007B3ADE" w:rsidRDefault="00C723CB">
      <w:pPr>
        <w:pStyle w:val="TOC2"/>
        <w:rPr>
          <w:rFonts w:asciiTheme="minorHAnsi" w:eastAsiaTheme="minorEastAsia" w:hAnsiTheme="minorHAnsi" w:cstheme="minorBidi"/>
          <w:noProof/>
        </w:rPr>
      </w:pPr>
      <w:hyperlink w:anchor="_Toc41680903" w:history="1">
        <w:r w:rsidR="007B3ADE" w:rsidRPr="00700A31">
          <w:rPr>
            <w:rStyle w:val="Hyperlink"/>
            <w:noProof/>
          </w:rPr>
          <w:t>8.3</w:t>
        </w:r>
        <w:r w:rsidR="007B3ADE">
          <w:rPr>
            <w:rFonts w:asciiTheme="minorHAnsi" w:eastAsiaTheme="minorEastAsia" w:hAnsiTheme="minorHAnsi" w:cstheme="minorBidi"/>
            <w:noProof/>
          </w:rPr>
          <w:tab/>
        </w:r>
        <w:r w:rsidR="007B3ADE" w:rsidRPr="00700A31">
          <w:rPr>
            <w:rStyle w:val="Hyperlink"/>
            <w:noProof/>
          </w:rPr>
          <w:t>Primary Process Performance</w:t>
        </w:r>
        <w:r w:rsidR="007B3ADE">
          <w:rPr>
            <w:noProof/>
            <w:webHidden/>
          </w:rPr>
          <w:tab/>
        </w:r>
        <w:r w:rsidR="007B3ADE">
          <w:rPr>
            <w:noProof/>
            <w:webHidden/>
          </w:rPr>
          <w:fldChar w:fldCharType="begin"/>
        </w:r>
        <w:r w:rsidR="007B3ADE">
          <w:rPr>
            <w:noProof/>
            <w:webHidden/>
          </w:rPr>
          <w:instrText xml:space="preserve"> PAGEREF _Toc41680903 \h </w:instrText>
        </w:r>
        <w:r w:rsidR="007B3ADE">
          <w:rPr>
            <w:noProof/>
            <w:webHidden/>
          </w:rPr>
        </w:r>
        <w:r w:rsidR="007B3ADE">
          <w:rPr>
            <w:noProof/>
            <w:webHidden/>
          </w:rPr>
          <w:fldChar w:fldCharType="separate"/>
        </w:r>
        <w:r w:rsidR="00AA68F8">
          <w:rPr>
            <w:noProof/>
            <w:webHidden/>
          </w:rPr>
          <w:t>8-2</w:t>
        </w:r>
        <w:r w:rsidR="007B3ADE">
          <w:rPr>
            <w:noProof/>
            <w:webHidden/>
          </w:rPr>
          <w:fldChar w:fldCharType="end"/>
        </w:r>
      </w:hyperlink>
    </w:p>
    <w:p w14:paraId="77B7165D" w14:textId="44869D2B" w:rsidR="007B3ADE" w:rsidRDefault="00C723CB">
      <w:pPr>
        <w:pStyle w:val="TOC2"/>
        <w:rPr>
          <w:rFonts w:asciiTheme="minorHAnsi" w:eastAsiaTheme="minorEastAsia" w:hAnsiTheme="minorHAnsi" w:cstheme="minorBidi"/>
          <w:noProof/>
        </w:rPr>
      </w:pPr>
      <w:hyperlink w:anchor="_Toc41680904" w:history="1">
        <w:r w:rsidR="007B3ADE" w:rsidRPr="00700A31">
          <w:rPr>
            <w:rStyle w:val="Hyperlink"/>
            <w:noProof/>
          </w:rPr>
          <w:t>8.4</w:t>
        </w:r>
        <w:r w:rsidR="007B3ADE">
          <w:rPr>
            <w:rFonts w:asciiTheme="minorHAnsi" w:eastAsiaTheme="minorEastAsia" w:hAnsiTheme="minorHAnsi" w:cstheme="minorBidi"/>
            <w:noProof/>
          </w:rPr>
          <w:tab/>
        </w:r>
        <w:r w:rsidR="007B3ADE" w:rsidRPr="00700A31">
          <w:rPr>
            <w:rStyle w:val="Hyperlink"/>
            <w:noProof/>
          </w:rPr>
          <w:t>Secondary Process Overall Performance</w:t>
        </w:r>
        <w:r w:rsidR="007B3ADE">
          <w:rPr>
            <w:noProof/>
            <w:webHidden/>
          </w:rPr>
          <w:tab/>
        </w:r>
        <w:r w:rsidR="007B3ADE">
          <w:rPr>
            <w:noProof/>
            <w:webHidden/>
          </w:rPr>
          <w:fldChar w:fldCharType="begin"/>
        </w:r>
        <w:r w:rsidR="007B3ADE">
          <w:rPr>
            <w:noProof/>
            <w:webHidden/>
          </w:rPr>
          <w:instrText xml:space="preserve"> PAGEREF _Toc41680904 \h </w:instrText>
        </w:r>
        <w:r w:rsidR="007B3ADE">
          <w:rPr>
            <w:noProof/>
            <w:webHidden/>
          </w:rPr>
        </w:r>
        <w:r w:rsidR="007B3ADE">
          <w:rPr>
            <w:noProof/>
            <w:webHidden/>
          </w:rPr>
          <w:fldChar w:fldCharType="separate"/>
        </w:r>
        <w:r w:rsidR="00AA68F8">
          <w:rPr>
            <w:noProof/>
            <w:webHidden/>
          </w:rPr>
          <w:t>8-3</w:t>
        </w:r>
        <w:r w:rsidR="007B3ADE">
          <w:rPr>
            <w:noProof/>
            <w:webHidden/>
          </w:rPr>
          <w:fldChar w:fldCharType="end"/>
        </w:r>
      </w:hyperlink>
    </w:p>
    <w:p w14:paraId="45E1DB1B" w14:textId="234428DE" w:rsidR="007B3ADE" w:rsidRDefault="00C723CB">
      <w:pPr>
        <w:pStyle w:val="TOC2"/>
        <w:rPr>
          <w:rFonts w:asciiTheme="minorHAnsi" w:eastAsiaTheme="minorEastAsia" w:hAnsiTheme="minorHAnsi" w:cstheme="minorBidi"/>
          <w:noProof/>
        </w:rPr>
      </w:pPr>
      <w:hyperlink w:anchor="_Toc41680905" w:history="1">
        <w:r w:rsidR="007B3ADE" w:rsidRPr="00700A31">
          <w:rPr>
            <w:rStyle w:val="Hyperlink"/>
            <w:noProof/>
          </w:rPr>
          <w:t>8.5</w:t>
        </w:r>
        <w:r w:rsidR="007B3ADE">
          <w:rPr>
            <w:rFonts w:asciiTheme="minorHAnsi" w:eastAsiaTheme="minorEastAsia" w:hAnsiTheme="minorHAnsi" w:cstheme="minorBidi"/>
            <w:noProof/>
          </w:rPr>
          <w:tab/>
        </w:r>
        <w:r w:rsidR="007B3ADE" w:rsidRPr="00700A31">
          <w:rPr>
            <w:rStyle w:val="Hyperlink"/>
            <w:noProof/>
          </w:rPr>
          <w:t>Secondary Process Nitrogen Removal Performance</w:t>
        </w:r>
        <w:r w:rsidR="007B3ADE">
          <w:rPr>
            <w:noProof/>
            <w:webHidden/>
          </w:rPr>
          <w:tab/>
        </w:r>
        <w:r w:rsidR="007B3ADE">
          <w:rPr>
            <w:noProof/>
            <w:webHidden/>
          </w:rPr>
          <w:fldChar w:fldCharType="begin"/>
        </w:r>
        <w:r w:rsidR="007B3ADE">
          <w:rPr>
            <w:noProof/>
            <w:webHidden/>
          </w:rPr>
          <w:instrText xml:space="preserve"> PAGEREF _Toc41680905 \h </w:instrText>
        </w:r>
        <w:r w:rsidR="007B3ADE">
          <w:rPr>
            <w:noProof/>
            <w:webHidden/>
          </w:rPr>
        </w:r>
        <w:r w:rsidR="007B3ADE">
          <w:rPr>
            <w:noProof/>
            <w:webHidden/>
          </w:rPr>
          <w:fldChar w:fldCharType="separate"/>
        </w:r>
        <w:r w:rsidR="00AA68F8">
          <w:rPr>
            <w:noProof/>
            <w:webHidden/>
          </w:rPr>
          <w:t>8-3</w:t>
        </w:r>
        <w:r w:rsidR="007B3ADE">
          <w:rPr>
            <w:noProof/>
            <w:webHidden/>
          </w:rPr>
          <w:fldChar w:fldCharType="end"/>
        </w:r>
      </w:hyperlink>
    </w:p>
    <w:p w14:paraId="049F7540" w14:textId="27A01D4C" w:rsidR="007B3ADE" w:rsidRDefault="00C723CB">
      <w:pPr>
        <w:pStyle w:val="TOC2"/>
        <w:rPr>
          <w:rFonts w:asciiTheme="minorHAnsi" w:eastAsiaTheme="minorEastAsia" w:hAnsiTheme="minorHAnsi" w:cstheme="minorBidi"/>
          <w:noProof/>
        </w:rPr>
      </w:pPr>
      <w:hyperlink w:anchor="_Toc41680906" w:history="1">
        <w:r w:rsidR="007B3ADE" w:rsidRPr="00700A31">
          <w:rPr>
            <w:rStyle w:val="Hyperlink"/>
            <w:noProof/>
          </w:rPr>
          <w:t>8.6</w:t>
        </w:r>
        <w:r w:rsidR="007B3ADE">
          <w:rPr>
            <w:rFonts w:asciiTheme="minorHAnsi" w:eastAsiaTheme="minorEastAsia" w:hAnsiTheme="minorHAnsi" w:cstheme="minorBidi"/>
            <w:noProof/>
          </w:rPr>
          <w:tab/>
        </w:r>
        <w:r w:rsidR="007B3ADE" w:rsidRPr="00700A31">
          <w:rPr>
            <w:rStyle w:val="Hyperlink"/>
            <w:noProof/>
          </w:rPr>
          <w:t>Secondary Clarifier Performance</w:t>
        </w:r>
        <w:r w:rsidR="007B3ADE">
          <w:rPr>
            <w:noProof/>
            <w:webHidden/>
          </w:rPr>
          <w:tab/>
        </w:r>
        <w:r w:rsidR="007B3ADE">
          <w:rPr>
            <w:noProof/>
            <w:webHidden/>
          </w:rPr>
          <w:fldChar w:fldCharType="begin"/>
        </w:r>
        <w:r w:rsidR="007B3ADE">
          <w:rPr>
            <w:noProof/>
            <w:webHidden/>
          </w:rPr>
          <w:instrText xml:space="preserve"> PAGEREF _Toc41680906 \h </w:instrText>
        </w:r>
        <w:r w:rsidR="007B3ADE">
          <w:rPr>
            <w:noProof/>
            <w:webHidden/>
          </w:rPr>
        </w:r>
        <w:r w:rsidR="007B3ADE">
          <w:rPr>
            <w:noProof/>
            <w:webHidden/>
          </w:rPr>
          <w:fldChar w:fldCharType="separate"/>
        </w:r>
        <w:r w:rsidR="00AA68F8">
          <w:rPr>
            <w:noProof/>
            <w:webHidden/>
          </w:rPr>
          <w:t>8-4</w:t>
        </w:r>
        <w:r w:rsidR="007B3ADE">
          <w:rPr>
            <w:noProof/>
            <w:webHidden/>
          </w:rPr>
          <w:fldChar w:fldCharType="end"/>
        </w:r>
      </w:hyperlink>
    </w:p>
    <w:p w14:paraId="7461D4F0" w14:textId="0108BC3B" w:rsidR="007B3ADE" w:rsidRDefault="00C723CB">
      <w:pPr>
        <w:pStyle w:val="TOC2"/>
        <w:rPr>
          <w:rFonts w:asciiTheme="minorHAnsi" w:eastAsiaTheme="minorEastAsia" w:hAnsiTheme="minorHAnsi" w:cstheme="minorBidi"/>
          <w:noProof/>
        </w:rPr>
      </w:pPr>
      <w:hyperlink w:anchor="_Toc41680907" w:history="1">
        <w:r w:rsidR="007B3ADE" w:rsidRPr="00700A31">
          <w:rPr>
            <w:rStyle w:val="Hyperlink"/>
            <w:noProof/>
          </w:rPr>
          <w:t>8.7</w:t>
        </w:r>
        <w:r w:rsidR="007B3ADE">
          <w:rPr>
            <w:rFonts w:asciiTheme="minorHAnsi" w:eastAsiaTheme="minorEastAsia" w:hAnsiTheme="minorHAnsi" w:cstheme="minorBidi"/>
            <w:noProof/>
          </w:rPr>
          <w:tab/>
        </w:r>
        <w:r w:rsidR="007B3ADE" w:rsidRPr="00700A31">
          <w:rPr>
            <w:rStyle w:val="Hyperlink"/>
            <w:noProof/>
          </w:rPr>
          <w:t>Secondary Treatment Capacity</w:t>
        </w:r>
        <w:r w:rsidR="007B3ADE">
          <w:rPr>
            <w:noProof/>
            <w:webHidden/>
          </w:rPr>
          <w:tab/>
        </w:r>
        <w:r w:rsidR="007B3ADE">
          <w:rPr>
            <w:noProof/>
            <w:webHidden/>
          </w:rPr>
          <w:fldChar w:fldCharType="begin"/>
        </w:r>
        <w:r w:rsidR="007B3ADE">
          <w:rPr>
            <w:noProof/>
            <w:webHidden/>
          </w:rPr>
          <w:instrText xml:space="preserve"> PAGEREF _Toc41680907 \h </w:instrText>
        </w:r>
        <w:r w:rsidR="007B3ADE">
          <w:rPr>
            <w:noProof/>
            <w:webHidden/>
          </w:rPr>
        </w:r>
        <w:r w:rsidR="007B3ADE">
          <w:rPr>
            <w:noProof/>
            <w:webHidden/>
          </w:rPr>
          <w:fldChar w:fldCharType="separate"/>
        </w:r>
        <w:r w:rsidR="00AA68F8">
          <w:rPr>
            <w:noProof/>
            <w:webHidden/>
          </w:rPr>
          <w:t>8-4</w:t>
        </w:r>
        <w:r w:rsidR="007B3ADE">
          <w:rPr>
            <w:noProof/>
            <w:webHidden/>
          </w:rPr>
          <w:fldChar w:fldCharType="end"/>
        </w:r>
      </w:hyperlink>
    </w:p>
    <w:p w14:paraId="68330055" w14:textId="290A12A2" w:rsidR="007B3ADE" w:rsidRDefault="00C723CB">
      <w:pPr>
        <w:pStyle w:val="TOC2"/>
        <w:rPr>
          <w:rFonts w:asciiTheme="minorHAnsi" w:eastAsiaTheme="minorEastAsia" w:hAnsiTheme="minorHAnsi" w:cstheme="minorBidi"/>
          <w:noProof/>
        </w:rPr>
      </w:pPr>
      <w:hyperlink w:anchor="_Toc41680908" w:history="1">
        <w:r w:rsidR="007B3ADE" w:rsidRPr="00700A31">
          <w:rPr>
            <w:rStyle w:val="Hyperlink"/>
            <w:noProof/>
          </w:rPr>
          <w:t>8.8</w:t>
        </w:r>
        <w:r w:rsidR="007B3ADE">
          <w:rPr>
            <w:rFonts w:asciiTheme="minorHAnsi" w:eastAsiaTheme="minorEastAsia" w:hAnsiTheme="minorHAnsi" w:cstheme="minorBidi"/>
            <w:noProof/>
          </w:rPr>
          <w:tab/>
        </w:r>
        <w:r w:rsidR="007B3ADE" w:rsidRPr="00700A31">
          <w:rPr>
            <w:rStyle w:val="Hyperlink"/>
            <w:noProof/>
          </w:rPr>
          <w:t>Solids Handling Capacity and Performance</w:t>
        </w:r>
        <w:r w:rsidR="007B3ADE">
          <w:rPr>
            <w:noProof/>
            <w:webHidden/>
          </w:rPr>
          <w:tab/>
        </w:r>
        <w:r w:rsidR="007B3ADE">
          <w:rPr>
            <w:noProof/>
            <w:webHidden/>
          </w:rPr>
          <w:fldChar w:fldCharType="begin"/>
        </w:r>
        <w:r w:rsidR="007B3ADE">
          <w:rPr>
            <w:noProof/>
            <w:webHidden/>
          </w:rPr>
          <w:instrText xml:space="preserve"> PAGEREF _Toc41680908 \h </w:instrText>
        </w:r>
        <w:r w:rsidR="007B3ADE">
          <w:rPr>
            <w:noProof/>
            <w:webHidden/>
          </w:rPr>
        </w:r>
        <w:r w:rsidR="007B3ADE">
          <w:rPr>
            <w:noProof/>
            <w:webHidden/>
          </w:rPr>
          <w:fldChar w:fldCharType="separate"/>
        </w:r>
        <w:r w:rsidR="00AA68F8">
          <w:rPr>
            <w:noProof/>
            <w:webHidden/>
          </w:rPr>
          <w:t>8-6</w:t>
        </w:r>
        <w:r w:rsidR="007B3ADE">
          <w:rPr>
            <w:noProof/>
            <w:webHidden/>
          </w:rPr>
          <w:fldChar w:fldCharType="end"/>
        </w:r>
      </w:hyperlink>
    </w:p>
    <w:p w14:paraId="07A0B48B" w14:textId="0D9C5C3F" w:rsidR="007B3ADE" w:rsidRDefault="00C723CB">
      <w:pPr>
        <w:pStyle w:val="TOC1"/>
        <w:rPr>
          <w:rFonts w:asciiTheme="minorHAnsi" w:eastAsiaTheme="minorEastAsia" w:hAnsiTheme="minorHAnsi" w:cstheme="minorBidi"/>
          <w:bCs w:val="0"/>
        </w:rPr>
      </w:pPr>
      <w:hyperlink w:anchor="_Toc41680909" w:history="1">
        <w:r w:rsidR="007B3ADE" w:rsidRPr="00700A31">
          <w:rPr>
            <w:rStyle w:val="Hyperlink"/>
          </w:rPr>
          <w:t>9.</w:t>
        </w:r>
        <w:r w:rsidR="007B3ADE">
          <w:rPr>
            <w:rFonts w:asciiTheme="minorHAnsi" w:eastAsiaTheme="minorEastAsia" w:hAnsiTheme="minorHAnsi" w:cstheme="minorBidi"/>
            <w:bCs w:val="0"/>
          </w:rPr>
          <w:tab/>
        </w:r>
        <w:r w:rsidR="007B3ADE" w:rsidRPr="00700A31">
          <w:rPr>
            <w:rStyle w:val="Hyperlink"/>
          </w:rPr>
          <w:t>Recommended Rehabilitation and Replacement Projects</w:t>
        </w:r>
        <w:r w:rsidR="007B3ADE">
          <w:rPr>
            <w:webHidden/>
          </w:rPr>
          <w:tab/>
        </w:r>
        <w:r w:rsidR="007B3ADE">
          <w:rPr>
            <w:webHidden/>
          </w:rPr>
          <w:fldChar w:fldCharType="begin"/>
        </w:r>
        <w:r w:rsidR="007B3ADE">
          <w:rPr>
            <w:webHidden/>
          </w:rPr>
          <w:instrText xml:space="preserve"> PAGEREF _Toc41680909 \h </w:instrText>
        </w:r>
        <w:r w:rsidR="007B3ADE">
          <w:rPr>
            <w:webHidden/>
          </w:rPr>
        </w:r>
        <w:r w:rsidR="007B3ADE">
          <w:rPr>
            <w:webHidden/>
          </w:rPr>
          <w:fldChar w:fldCharType="separate"/>
        </w:r>
        <w:r w:rsidR="00AA68F8">
          <w:rPr>
            <w:webHidden/>
          </w:rPr>
          <w:t>9-1</w:t>
        </w:r>
        <w:r w:rsidR="007B3ADE">
          <w:rPr>
            <w:webHidden/>
          </w:rPr>
          <w:fldChar w:fldCharType="end"/>
        </w:r>
      </w:hyperlink>
    </w:p>
    <w:p w14:paraId="3B3AEF0B" w14:textId="01CBEA55" w:rsidR="007B3ADE" w:rsidRDefault="00C723CB">
      <w:pPr>
        <w:pStyle w:val="TOC2"/>
        <w:rPr>
          <w:rFonts w:asciiTheme="minorHAnsi" w:eastAsiaTheme="minorEastAsia" w:hAnsiTheme="minorHAnsi" w:cstheme="minorBidi"/>
          <w:noProof/>
        </w:rPr>
      </w:pPr>
      <w:hyperlink w:anchor="_Toc41680910" w:history="1">
        <w:r w:rsidR="007B3ADE" w:rsidRPr="00700A31">
          <w:rPr>
            <w:rStyle w:val="Hyperlink"/>
            <w:noProof/>
          </w:rPr>
          <w:t>9.1</w:t>
        </w:r>
        <w:r w:rsidR="007B3ADE">
          <w:rPr>
            <w:rFonts w:asciiTheme="minorHAnsi" w:eastAsiaTheme="minorEastAsia" w:hAnsiTheme="minorHAnsi" w:cstheme="minorBidi"/>
            <w:noProof/>
          </w:rPr>
          <w:tab/>
        </w:r>
        <w:r w:rsidR="007B3ADE" w:rsidRPr="00700A31">
          <w:rPr>
            <w:rStyle w:val="Hyperlink"/>
            <w:noProof/>
          </w:rPr>
          <w:t>Near-Term R&amp;R Projects (1 to 5 Years)</w:t>
        </w:r>
        <w:r w:rsidR="007B3ADE">
          <w:rPr>
            <w:noProof/>
            <w:webHidden/>
          </w:rPr>
          <w:tab/>
        </w:r>
        <w:r w:rsidR="007B3ADE">
          <w:rPr>
            <w:noProof/>
            <w:webHidden/>
          </w:rPr>
          <w:fldChar w:fldCharType="begin"/>
        </w:r>
        <w:r w:rsidR="007B3ADE">
          <w:rPr>
            <w:noProof/>
            <w:webHidden/>
          </w:rPr>
          <w:instrText xml:space="preserve"> PAGEREF _Toc41680910 \h </w:instrText>
        </w:r>
        <w:r w:rsidR="007B3ADE">
          <w:rPr>
            <w:noProof/>
            <w:webHidden/>
          </w:rPr>
        </w:r>
        <w:r w:rsidR="007B3ADE">
          <w:rPr>
            <w:noProof/>
            <w:webHidden/>
          </w:rPr>
          <w:fldChar w:fldCharType="separate"/>
        </w:r>
        <w:r w:rsidR="00AA68F8">
          <w:rPr>
            <w:noProof/>
            <w:webHidden/>
          </w:rPr>
          <w:t>9-1</w:t>
        </w:r>
        <w:r w:rsidR="007B3ADE">
          <w:rPr>
            <w:noProof/>
            <w:webHidden/>
          </w:rPr>
          <w:fldChar w:fldCharType="end"/>
        </w:r>
      </w:hyperlink>
    </w:p>
    <w:p w14:paraId="5EF15BD3" w14:textId="433CB119" w:rsidR="007B3ADE" w:rsidRDefault="00C723CB">
      <w:pPr>
        <w:pStyle w:val="TOC2"/>
        <w:rPr>
          <w:rFonts w:asciiTheme="minorHAnsi" w:eastAsiaTheme="minorEastAsia" w:hAnsiTheme="minorHAnsi" w:cstheme="minorBidi"/>
          <w:noProof/>
        </w:rPr>
      </w:pPr>
      <w:hyperlink w:anchor="_Toc41680911" w:history="1">
        <w:r w:rsidR="007B3ADE" w:rsidRPr="00700A31">
          <w:rPr>
            <w:rStyle w:val="Hyperlink"/>
            <w:noProof/>
          </w:rPr>
          <w:t>9.2</w:t>
        </w:r>
        <w:r w:rsidR="007B3ADE">
          <w:rPr>
            <w:rFonts w:asciiTheme="minorHAnsi" w:eastAsiaTheme="minorEastAsia" w:hAnsiTheme="minorHAnsi" w:cstheme="minorBidi"/>
            <w:noProof/>
          </w:rPr>
          <w:tab/>
        </w:r>
        <w:r w:rsidR="007B3ADE" w:rsidRPr="00700A31">
          <w:rPr>
            <w:rStyle w:val="Hyperlink"/>
            <w:noProof/>
          </w:rPr>
          <w:t>Medium-Term R&amp;R Projects (6 to 10 Years)</w:t>
        </w:r>
        <w:r w:rsidR="007B3ADE">
          <w:rPr>
            <w:noProof/>
            <w:webHidden/>
          </w:rPr>
          <w:tab/>
        </w:r>
        <w:r w:rsidR="007B3ADE">
          <w:rPr>
            <w:noProof/>
            <w:webHidden/>
          </w:rPr>
          <w:fldChar w:fldCharType="begin"/>
        </w:r>
        <w:r w:rsidR="007B3ADE">
          <w:rPr>
            <w:noProof/>
            <w:webHidden/>
          </w:rPr>
          <w:instrText xml:space="preserve"> PAGEREF _Toc41680911 \h </w:instrText>
        </w:r>
        <w:r w:rsidR="007B3ADE">
          <w:rPr>
            <w:noProof/>
            <w:webHidden/>
          </w:rPr>
        </w:r>
        <w:r w:rsidR="007B3ADE">
          <w:rPr>
            <w:noProof/>
            <w:webHidden/>
          </w:rPr>
          <w:fldChar w:fldCharType="separate"/>
        </w:r>
        <w:r w:rsidR="00AA68F8">
          <w:rPr>
            <w:noProof/>
            <w:webHidden/>
          </w:rPr>
          <w:t>9-4</w:t>
        </w:r>
        <w:r w:rsidR="007B3ADE">
          <w:rPr>
            <w:noProof/>
            <w:webHidden/>
          </w:rPr>
          <w:fldChar w:fldCharType="end"/>
        </w:r>
      </w:hyperlink>
    </w:p>
    <w:p w14:paraId="6C5C9DE4" w14:textId="0E322EDF" w:rsidR="007B3ADE" w:rsidRDefault="00C723CB">
      <w:pPr>
        <w:pStyle w:val="TOC2"/>
        <w:rPr>
          <w:rFonts w:asciiTheme="minorHAnsi" w:eastAsiaTheme="minorEastAsia" w:hAnsiTheme="minorHAnsi" w:cstheme="minorBidi"/>
          <w:noProof/>
        </w:rPr>
      </w:pPr>
      <w:hyperlink w:anchor="_Toc41680912" w:history="1">
        <w:r w:rsidR="007B3ADE" w:rsidRPr="00700A31">
          <w:rPr>
            <w:rStyle w:val="Hyperlink"/>
            <w:noProof/>
          </w:rPr>
          <w:t>9.3</w:t>
        </w:r>
        <w:r w:rsidR="007B3ADE">
          <w:rPr>
            <w:rFonts w:asciiTheme="minorHAnsi" w:eastAsiaTheme="minorEastAsia" w:hAnsiTheme="minorHAnsi" w:cstheme="minorBidi"/>
            <w:noProof/>
          </w:rPr>
          <w:tab/>
        </w:r>
        <w:r w:rsidR="007B3ADE" w:rsidRPr="00700A31">
          <w:rPr>
            <w:rStyle w:val="Hyperlink"/>
            <w:noProof/>
          </w:rPr>
          <w:t>Long-Term R&amp;R Projects (11 to 20 Years)</w:t>
        </w:r>
        <w:r w:rsidR="007B3ADE">
          <w:rPr>
            <w:noProof/>
            <w:webHidden/>
          </w:rPr>
          <w:tab/>
        </w:r>
        <w:r w:rsidR="007B3ADE">
          <w:rPr>
            <w:noProof/>
            <w:webHidden/>
          </w:rPr>
          <w:fldChar w:fldCharType="begin"/>
        </w:r>
        <w:r w:rsidR="007B3ADE">
          <w:rPr>
            <w:noProof/>
            <w:webHidden/>
          </w:rPr>
          <w:instrText xml:space="preserve"> PAGEREF _Toc41680912 \h </w:instrText>
        </w:r>
        <w:r w:rsidR="007B3ADE">
          <w:rPr>
            <w:noProof/>
            <w:webHidden/>
          </w:rPr>
        </w:r>
        <w:r w:rsidR="007B3ADE">
          <w:rPr>
            <w:noProof/>
            <w:webHidden/>
          </w:rPr>
          <w:fldChar w:fldCharType="separate"/>
        </w:r>
        <w:r w:rsidR="00AA68F8">
          <w:rPr>
            <w:noProof/>
            <w:webHidden/>
          </w:rPr>
          <w:t>9-5</w:t>
        </w:r>
        <w:r w:rsidR="007B3ADE">
          <w:rPr>
            <w:noProof/>
            <w:webHidden/>
          </w:rPr>
          <w:fldChar w:fldCharType="end"/>
        </w:r>
      </w:hyperlink>
    </w:p>
    <w:p w14:paraId="382237C7" w14:textId="5A56C70D" w:rsidR="007B3ADE" w:rsidRDefault="00C723CB">
      <w:pPr>
        <w:pStyle w:val="TOC1"/>
        <w:rPr>
          <w:rFonts w:asciiTheme="minorHAnsi" w:eastAsiaTheme="minorEastAsia" w:hAnsiTheme="minorHAnsi" w:cstheme="minorBidi"/>
          <w:bCs w:val="0"/>
        </w:rPr>
      </w:pPr>
      <w:hyperlink w:anchor="_Toc41680913" w:history="1">
        <w:r w:rsidR="007B3ADE" w:rsidRPr="00700A31">
          <w:rPr>
            <w:rStyle w:val="Hyperlink"/>
          </w:rPr>
          <w:t>10.</w:t>
        </w:r>
        <w:r w:rsidR="007B3ADE">
          <w:rPr>
            <w:rFonts w:asciiTheme="minorHAnsi" w:eastAsiaTheme="minorEastAsia" w:hAnsiTheme="minorHAnsi" w:cstheme="minorBidi"/>
            <w:bCs w:val="0"/>
          </w:rPr>
          <w:tab/>
        </w:r>
        <w:r w:rsidR="007B3ADE" w:rsidRPr="00700A31">
          <w:rPr>
            <w:rStyle w:val="Hyperlink"/>
          </w:rPr>
          <w:t>Operational Efficiency and Optimization Projects</w:t>
        </w:r>
        <w:r w:rsidR="007B3ADE">
          <w:rPr>
            <w:webHidden/>
          </w:rPr>
          <w:tab/>
        </w:r>
        <w:r w:rsidR="007B3ADE">
          <w:rPr>
            <w:webHidden/>
          </w:rPr>
          <w:fldChar w:fldCharType="begin"/>
        </w:r>
        <w:r w:rsidR="007B3ADE">
          <w:rPr>
            <w:webHidden/>
          </w:rPr>
          <w:instrText xml:space="preserve"> PAGEREF _Toc41680913 \h </w:instrText>
        </w:r>
        <w:r w:rsidR="007B3ADE">
          <w:rPr>
            <w:webHidden/>
          </w:rPr>
        </w:r>
        <w:r w:rsidR="007B3ADE">
          <w:rPr>
            <w:webHidden/>
          </w:rPr>
          <w:fldChar w:fldCharType="separate"/>
        </w:r>
        <w:r w:rsidR="00AA68F8">
          <w:rPr>
            <w:webHidden/>
          </w:rPr>
          <w:t>10-1</w:t>
        </w:r>
        <w:r w:rsidR="007B3ADE">
          <w:rPr>
            <w:webHidden/>
          </w:rPr>
          <w:fldChar w:fldCharType="end"/>
        </w:r>
      </w:hyperlink>
    </w:p>
    <w:p w14:paraId="13C2A231" w14:textId="1A47DBF1" w:rsidR="007B3ADE" w:rsidRDefault="00C723CB">
      <w:pPr>
        <w:pStyle w:val="TOC2"/>
        <w:rPr>
          <w:rFonts w:asciiTheme="minorHAnsi" w:eastAsiaTheme="minorEastAsia" w:hAnsiTheme="minorHAnsi" w:cstheme="minorBidi"/>
          <w:noProof/>
        </w:rPr>
      </w:pPr>
      <w:hyperlink w:anchor="_Toc41680914" w:history="1">
        <w:r w:rsidR="007B3ADE" w:rsidRPr="00700A31">
          <w:rPr>
            <w:rStyle w:val="Hyperlink"/>
            <w:noProof/>
          </w:rPr>
          <w:t>10.1</w:t>
        </w:r>
        <w:r w:rsidR="007B3ADE">
          <w:rPr>
            <w:rFonts w:asciiTheme="minorHAnsi" w:eastAsiaTheme="minorEastAsia" w:hAnsiTheme="minorHAnsi" w:cstheme="minorBidi"/>
            <w:noProof/>
          </w:rPr>
          <w:tab/>
        </w:r>
        <w:r w:rsidR="007B3ADE" w:rsidRPr="00700A31">
          <w:rPr>
            <w:rStyle w:val="Hyperlink"/>
            <w:noProof/>
          </w:rPr>
          <w:t>Primary Treatment</w:t>
        </w:r>
        <w:r w:rsidR="007B3ADE">
          <w:rPr>
            <w:noProof/>
            <w:webHidden/>
          </w:rPr>
          <w:tab/>
        </w:r>
        <w:r w:rsidR="007B3ADE">
          <w:rPr>
            <w:noProof/>
            <w:webHidden/>
          </w:rPr>
          <w:fldChar w:fldCharType="begin"/>
        </w:r>
        <w:r w:rsidR="007B3ADE">
          <w:rPr>
            <w:noProof/>
            <w:webHidden/>
          </w:rPr>
          <w:instrText xml:space="preserve"> PAGEREF _Toc41680914 \h </w:instrText>
        </w:r>
        <w:r w:rsidR="007B3ADE">
          <w:rPr>
            <w:noProof/>
            <w:webHidden/>
          </w:rPr>
        </w:r>
        <w:r w:rsidR="007B3ADE">
          <w:rPr>
            <w:noProof/>
            <w:webHidden/>
          </w:rPr>
          <w:fldChar w:fldCharType="separate"/>
        </w:r>
        <w:r w:rsidR="00AA68F8">
          <w:rPr>
            <w:noProof/>
            <w:webHidden/>
          </w:rPr>
          <w:t>10-4</w:t>
        </w:r>
        <w:r w:rsidR="007B3ADE">
          <w:rPr>
            <w:noProof/>
            <w:webHidden/>
          </w:rPr>
          <w:fldChar w:fldCharType="end"/>
        </w:r>
      </w:hyperlink>
    </w:p>
    <w:p w14:paraId="2CD4DD8F" w14:textId="53816952" w:rsidR="007B3ADE" w:rsidRDefault="00C723CB">
      <w:pPr>
        <w:pStyle w:val="TOC3"/>
        <w:tabs>
          <w:tab w:val="left" w:pos="1980"/>
        </w:tabs>
        <w:rPr>
          <w:rFonts w:asciiTheme="minorHAnsi" w:eastAsiaTheme="minorEastAsia" w:hAnsiTheme="minorHAnsi" w:cstheme="minorBidi"/>
          <w:iCs w:val="0"/>
        </w:rPr>
      </w:pPr>
      <w:hyperlink w:anchor="_Toc41680915" w:history="1">
        <w:r w:rsidR="007B3ADE" w:rsidRPr="00700A31">
          <w:rPr>
            <w:rStyle w:val="Hyperlink"/>
          </w:rPr>
          <w:t>10.1.1</w:t>
        </w:r>
        <w:r w:rsidR="007B3ADE">
          <w:rPr>
            <w:rFonts w:asciiTheme="minorHAnsi" w:eastAsiaTheme="minorEastAsia" w:hAnsiTheme="minorHAnsi" w:cstheme="minorBidi"/>
            <w:iCs w:val="0"/>
          </w:rPr>
          <w:tab/>
        </w:r>
        <w:r w:rsidR="007B3ADE" w:rsidRPr="00700A31">
          <w:rPr>
            <w:rStyle w:val="Hyperlink"/>
          </w:rPr>
          <w:t>Primary Flow Equalization</w:t>
        </w:r>
        <w:r w:rsidR="007B3ADE">
          <w:rPr>
            <w:webHidden/>
          </w:rPr>
          <w:tab/>
        </w:r>
        <w:r w:rsidR="007B3ADE">
          <w:rPr>
            <w:webHidden/>
          </w:rPr>
          <w:fldChar w:fldCharType="begin"/>
        </w:r>
        <w:r w:rsidR="007B3ADE">
          <w:rPr>
            <w:webHidden/>
          </w:rPr>
          <w:instrText xml:space="preserve"> PAGEREF _Toc41680915 \h </w:instrText>
        </w:r>
        <w:r w:rsidR="007B3ADE">
          <w:rPr>
            <w:webHidden/>
          </w:rPr>
        </w:r>
        <w:r w:rsidR="007B3ADE">
          <w:rPr>
            <w:webHidden/>
          </w:rPr>
          <w:fldChar w:fldCharType="separate"/>
        </w:r>
        <w:r w:rsidR="00AA68F8">
          <w:rPr>
            <w:webHidden/>
          </w:rPr>
          <w:t>10-4</w:t>
        </w:r>
        <w:r w:rsidR="007B3ADE">
          <w:rPr>
            <w:webHidden/>
          </w:rPr>
          <w:fldChar w:fldCharType="end"/>
        </w:r>
      </w:hyperlink>
    </w:p>
    <w:p w14:paraId="7D4493C8" w14:textId="20E6B6AC" w:rsidR="007B3ADE" w:rsidRDefault="00C723CB">
      <w:pPr>
        <w:pStyle w:val="TOC3"/>
        <w:tabs>
          <w:tab w:val="left" w:pos="1980"/>
        </w:tabs>
        <w:rPr>
          <w:rFonts w:asciiTheme="minorHAnsi" w:eastAsiaTheme="minorEastAsia" w:hAnsiTheme="minorHAnsi" w:cstheme="minorBidi"/>
          <w:iCs w:val="0"/>
        </w:rPr>
      </w:pPr>
      <w:hyperlink w:anchor="_Toc41680916" w:history="1">
        <w:r w:rsidR="007B3ADE" w:rsidRPr="00700A31">
          <w:rPr>
            <w:rStyle w:val="Hyperlink"/>
          </w:rPr>
          <w:t>10.1.2</w:t>
        </w:r>
        <w:r w:rsidR="007B3ADE">
          <w:rPr>
            <w:rFonts w:asciiTheme="minorHAnsi" w:eastAsiaTheme="minorEastAsia" w:hAnsiTheme="minorHAnsi" w:cstheme="minorBidi"/>
            <w:iCs w:val="0"/>
          </w:rPr>
          <w:tab/>
        </w:r>
        <w:r w:rsidR="007B3ADE" w:rsidRPr="00700A31">
          <w:rPr>
            <w:rStyle w:val="Hyperlink"/>
          </w:rPr>
          <w:t>Chemically Enhanced Primary Treatment</w:t>
        </w:r>
        <w:r w:rsidR="007B3ADE">
          <w:rPr>
            <w:webHidden/>
          </w:rPr>
          <w:tab/>
        </w:r>
        <w:r w:rsidR="007B3ADE">
          <w:rPr>
            <w:webHidden/>
          </w:rPr>
          <w:fldChar w:fldCharType="begin"/>
        </w:r>
        <w:r w:rsidR="007B3ADE">
          <w:rPr>
            <w:webHidden/>
          </w:rPr>
          <w:instrText xml:space="preserve"> PAGEREF _Toc41680916 \h </w:instrText>
        </w:r>
        <w:r w:rsidR="007B3ADE">
          <w:rPr>
            <w:webHidden/>
          </w:rPr>
        </w:r>
        <w:r w:rsidR="007B3ADE">
          <w:rPr>
            <w:webHidden/>
          </w:rPr>
          <w:fldChar w:fldCharType="separate"/>
        </w:r>
        <w:r w:rsidR="00AA68F8">
          <w:rPr>
            <w:webHidden/>
          </w:rPr>
          <w:t>10-5</w:t>
        </w:r>
        <w:r w:rsidR="007B3ADE">
          <w:rPr>
            <w:webHidden/>
          </w:rPr>
          <w:fldChar w:fldCharType="end"/>
        </w:r>
      </w:hyperlink>
    </w:p>
    <w:p w14:paraId="4AE661E2" w14:textId="2225E439" w:rsidR="007B3ADE" w:rsidRDefault="00C723CB">
      <w:pPr>
        <w:pStyle w:val="TOC2"/>
        <w:rPr>
          <w:rFonts w:asciiTheme="minorHAnsi" w:eastAsiaTheme="minorEastAsia" w:hAnsiTheme="minorHAnsi" w:cstheme="minorBidi"/>
          <w:noProof/>
        </w:rPr>
      </w:pPr>
      <w:hyperlink w:anchor="_Toc41680917" w:history="1">
        <w:r w:rsidR="007B3ADE" w:rsidRPr="00700A31">
          <w:rPr>
            <w:rStyle w:val="Hyperlink"/>
            <w:noProof/>
          </w:rPr>
          <w:t>10.2</w:t>
        </w:r>
        <w:r w:rsidR="007B3ADE">
          <w:rPr>
            <w:rFonts w:asciiTheme="minorHAnsi" w:eastAsiaTheme="minorEastAsia" w:hAnsiTheme="minorHAnsi" w:cstheme="minorBidi"/>
            <w:noProof/>
          </w:rPr>
          <w:tab/>
        </w:r>
        <w:r w:rsidR="007B3ADE" w:rsidRPr="00700A31">
          <w:rPr>
            <w:rStyle w:val="Hyperlink"/>
            <w:noProof/>
          </w:rPr>
          <w:t>Secondary Treatment</w:t>
        </w:r>
        <w:r w:rsidR="007B3ADE">
          <w:rPr>
            <w:noProof/>
            <w:webHidden/>
          </w:rPr>
          <w:tab/>
        </w:r>
        <w:r w:rsidR="007B3ADE">
          <w:rPr>
            <w:noProof/>
            <w:webHidden/>
          </w:rPr>
          <w:fldChar w:fldCharType="begin"/>
        </w:r>
        <w:r w:rsidR="007B3ADE">
          <w:rPr>
            <w:noProof/>
            <w:webHidden/>
          </w:rPr>
          <w:instrText xml:space="preserve"> PAGEREF _Toc41680917 \h </w:instrText>
        </w:r>
        <w:r w:rsidR="007B3ADE">
          <w:rPr>
            <w:noProof/>
            <w:webHidden/>
          </w:rPr>
        </w:r>
        <w:r w:rsidR="007B3ADE">
          <w:rPr>
            <w:noProof/>
            <w:webHidden/>
          </w:rPr>
          <w:fldChar w:fldCharType="separate"/>
        </w:r>
        <w:r w:rsidR="00AA68F8">
          <w:rPr>
            <w:noProof/>
            <w:webHidden/>
          </w:rPr>
          <w:t>10-7</w:t>
        </w:r>
        <w:r w:rsidR="007B3ADE">
          <w:rPr>
            <w:noProof/>
            <w:webHidden/>
          </w:rPr>
          <w:fldChar w:fldCharType="end"/>
        </w:r>
      </w:hyperlink>
    </w:p>
    <w:p w14:paraId="0345E941" w14:textId="7EF67C87" w:rsidR="007B3ADE" w:rsidRDefault="00C723CB">
      <w:pPr>
        <w:pStyle w:val="TOC3"/>
        <w:tabs>
          <w:tab w:val="left" w:pos="1980"/>
        </w:tabs>
        <w:rPr>
          <w:rFonts w:asciiTheme="minorHAnsi" w:eastAsiaTheme="minorEastAsia" w:hAnsiTheme="minorHAnsi" w:cstheme="minorBidi"/>
          <w:iCs w:val="0"/>
        </w:rPr>
      </w:pPr>
      <w:hyperlink w:anchor="_Toc41680918" w:history="1">
        <w:r w:rsidR="007B3ADE" w:rsidRPr="00700A31">
          <w:rPr>
            <w:rStyle w:val="Hyperlink"/>
          </w:rPr>
          <w:t>10.2.1</w:t>
        </w:r>
        <w:r w:rsidR="007B3ADE">
          <w:rPr>
            <w:rFonts w:asciiTheme="minorHAnsi" w:eastAsiaTheme="minorEastAsia" w:hAnsiTheme="minorHAnsi" w:cstheme="minorBidi"/>
            <w:iCs w:val="0"/>
          </w:rPr>
          <w:tab/>
        </w:r>
        <w:r w:rsidR="007B3ADE" w:rsidRPr="00700A31">
          <w:rPr>
            <w:rStyle w:val="Hyperlink"/>
          </w:rPr>
          <w:t>Liquid Process Optimization</w:t>
        </w:r>
        <w:r w:rsidR="007B3ADE">
          <w:rPr>
            <w:webHidden/>
          </w:rPr>
          <w:tab/>
        </w:r>
        <w:r w:rsidR="007B3ADE">
          <w:rPr>
            <w:webHidden/>
          </w:rPr>
          <w:fldChar w:fldCharType="begin"/>
        </w:r>
        <w:r w:rsidR="007B3ADE">
          <w:rPr>
            <w:webHidden/>
          </w:rPr>
          <w:instrText xml:space="preserve"> PAGEREF _Toc41680918 \h </w:instrText>
        </w:r>
        <w:r w:rsidR="007B3ADE">
          <w:rPr>
            <w:webHidden/>
          </w:rPr>
        </w:r>
        <w:r w:rsidR="007B3ADE">
          <w:rPr>
            <w:webHidden/>
          </w:rPr>
          <w:fldChar w:fldCharType="separate"/>
        </w:r>
        <w:r w:rsidR="00AA68F8">
          <w:rPr>
            <w:webHidden/>
          </w:rPr>
          <w:t>10-7</w:t>
        </w:r>
        <w:r w:rsidR="007B3ADE">
          <w:rPr>
            <w:webHidden/>
          </w:rPr>
          <w:fldChar w:fldCharType="end"/>
        </w:r>
      </w:hyperlink>
    </w:p>
    <w:p w14:paraId="2C122766" w14:textId="0F210E8A" w:rsidR="007B3ADE" w:rsidRDefault="00C723CB">
      <w:pPr>
        <w:pStyle w:val="TOC3"/>
        <w:tabs>
          <w:tab w:val="left" w:pos="1980"/>
        </w:tabs>
        <w:rPr>
          <w:rFonts w:asciiTheme="minorHAnsi" w:eastAsiaTheme="minorEastAsia" w:hAnsiTheme="minorHAnsi" w:cstheme="minorBidi"/>
          <w:iCs w:val="0"/>
        </w:rPr>
      </w:pPr>
      <w:hyperlink w:anchor="_Toc41680919" w:history="1">
        <w:r w:rsidR="007B3ADE" w:rsidRPr="00700A31">
          <w:rPr>
            <w:rStyle w:val="Hyperlink"/>
          </w:rPr>
          <w:t>10.2.2</w:t>
        </w:r>
        <w:r w:rsidR="007B3ADE">
          <w:rPr>
            <w:rFonts w:asciiTheme="minorHAnsi" w:eastAsiaTheme="minorEastAsia" w:hAnsiTheme="minorHAnsi" w:cstheme="minorBidi"/>
            <w:iCs w:val="0"/>
          </w:rPr>
          <w:tab/>
        </w:r>
        <w:r w:rsidR="007B3ADE" w:rsidRPr="00700A31">
          <w:rPr>
            <w:rStyle w:val="Hyperlink"/>
          </w:rPr>
          <w:t>Secondary Capacity Reduction</w:t>
        </w:r>
        <w:r w:rsidR="007B3ADE">
          <w:rPr>
            <w:webHidden/>
          </w:rPr>
          <w:tab/>
        </w:r>
        <w:r w:rsidR="007B3ADE">
          <w:rPr>
            <w:webHidden/>
          </w:rPr>
          <w:fldChar w:fldCharType="begin"/>
        </w:r>
        <w:r w:rsidR="007B3ADE">
          <w:rPr>
            <w:webHidden/>
          </w:rPr>
          <w:instrText xml:space="preserve"> PAGEREF _Toc41680919 \h </w:instrText>
        </w:r>
        <w:r w:rsidR="007B3ADE">
          <w:rPr>
            <w:webHidden/>
          </w:rPr>
        </w:r>
        <w:r w:rsidR="007B3ADE">
          <w:rPr>
            <w:webHidden/>
          </w:rPr>
          <w:fldChar w:fldCharType="separate"/>
        </w:r>
        <w:r w:rsidR="00AA68F8">
          <w:rPr>
            <w:webHidden/>
          </w:rPr>
          <w:t>10-7</w:t>
        </w:r>
        <w:r w:rsidR="007B3ADE">
          <w:rPr>
            <w:webHidden/>
          </w:rPr>
          <w:fldChar w:fldCharType="end"/>
        </w:r>
      </w:hyperlink>
    </w:p>
    <w:p w14:paraId="4F7E4428" w14:textId="2724F421" w:rsidR="007B3ADE" w:rsidRDefault="00C723CB">
      <w:pPr>
        <w:pStyle w:val="TOC3"/>
        <w:tabs>
          <w:tab w:val="left" w:pos="1980"/>
        </w:tabs>
        <w:rPr>
          <w:rFonts w:asciiTheme="minorHAnsi" w:eastAsiaTheme="minorEastAsia" w:hAnsiTheme="minorHAnsi" w:cstheme="minorBidi"/>
          <w:iCs w:val="0"/>
        </w:rPr>
      </w:pPr>
      <w:hyperlink w:anchor="_Toc41680920" w:history="1">
        <w:r w:rsidR="007B3ADE" w:rsidRPr="00700A31">
          <w:rPr>
            <w:rStyle w:val="Hyperlink"/>
          </w:rPr>
          <w:t>10.2.3</w:t>
        </w:r>
        <w:r w:rsidR="007B3ADE">
          <w:rPr>
            <w:rFonts w:asciiTheme="minorHAnsi" w:eastAsiaTheme="minorEastAsia" w:hAnsiTheme="minorHAnsi" w:cstheme="minorBidi"/>
            <w:iCs w:val="0"/>
          </w:rPr>
          <w:tab/>
        </w:r>
        <w:r w:rsidR="007B3ADE" w:rsidRPr="00700A31">
          <w:rPr>
            <w:rStyle w:val="Hyperlink"/>
          </w:rPr>
          <w:t>NRC Conversion to Diffused Air</w:t>
        </w:r>
        <w:r w:rsidR="007B3ADE">
          <w:rPr>
            <w:webHidden/>
          </w:rPr>
          <w:tab/>
        </w:r>
        <w:r w:rsidR="007B3ADE">
          <w:rPr>
            <w:webHidden/>
          </w:rPr>
          <w:fldChar w:fldCharType="begin"/>
        </w:r>
        <w:r w:rsidR="007B3ADE">
          <w:rPr>
            <w:webHidden/>
          </w:rPr>
          <w:instrText xml:space="preserve"> PAGEREF _Toc41680920 \h </w:instrText>
        </w:r>
        <w:r w:rsidR="007B3ADE">
          <w:rPr>
            <w:webHidden/>
          </w:rPr>
        </w:r>
        <w:r w:rsidR="007B3ADE">
          <w:rPr>
            <w:webHidden/>
          </w:rPr>
          <w:fldChar w:fldCharType="separate"/>
        </w:r>
        <w:r w:rsidR="00AA68F8">
          <w:rPr>
            <w:webHidden/>
          </w:rPr>
          <w:t>10-11</w:t>
        </w:r>
        <w:r w:rsidR="007B3ADE">
          <w:rPr>
            <w:webHidden/>
          </w:rPr>
          <w:fldChar w:fldCharType="end"/>
        </w:r>
      </w:hyperlink>
    </w:p>
    <w:p w14:paraId="3A0983AE" w14:textId="1F69A031" w:rsidR="007B3ADE" w:rsidRDefault="00C723CB">
      <w:pPr>
        <w:pStyle w:val="TOC3"/>
        <w:tabs>
          <w:tab w:val="left" w:pos="1980"/>
        </w:tabs>
        <w:rPr>
          <w:rFonts w:asciiTheme="minorHAnsi" w:eastAsiaTheme="minorEastAsia" w:hAnsiTheme="minorHAnsi" w:cstheme="minorBidi"/>
          <w:iCs w:val="0"/>
        </w:rPr>
      </w:pPr>
      <w:hyperlink w:anchor="_Toc41680921" w:history="1">
        <w:r w:rsidR="007B3ADE" w:rsidRPr="00700A31">
          <w:rPr>
            <w:rStyle w:val="Hyperlink"/>
          </w:rPr>
          <w:t>10.2.4</w:t>
        </w:r>
        <w:r w:rsidR="007B3ADE">
          <w:rPr>
            <w:rFonts w:asciiTheme="minorHAnsi" w:eastAsiaTheme="minorEastAsia" w:hAnsiTheme="minorHAnsi" w:cstheme="minorBidi"/>
            <w:iCs w:val="0"/>
          </w:rPr>
          <w:tab/>
        </w:r>
        <w:r w:rsidR="007B3ADE" w:rsidRPr="00700A31">
          <w:rPr>
            <w:rStyle w:val="Hyperlink"/>
          </w:rPr>
          <w:t>Unit 3 Expansion and Completion</w:t>
        </w:r>
        <w:r w:rsidR="007B3ADE">
          <w:rPr>
            <w:webHidden/>
          </w:rPr>
          <w:tab/>
        </w:r>
        <w:r w:rsidR="007B3ADE">
          <w:rPr>
            <w:webHidden/>
          </w:rPr>
          <w:fldChar w:fldCharType="begin"/>
        </w:r>
        <w:r w:rsidR="007B3ADE">
          <w:rPr>
            <w:webHidden/>
          </w:rPr>
          <w:instrText xml:space="preserve"> PAGEREF _Toc41680921 \h </w:instrText>
        </w:r>
        <w:r w:rsidR="007B3ADE">
          <w:rPr>
            <w:webHidden/>
          </w:rPr>
        </w:r>
        <w:r w:rsidR="007B3ADE">
          <w:rPr>
            <w:webHidden/>
          </w:rPr>
          <w:fldChar w:fldCharType="separate"/>
        </w:r>
        <w:r w:rsidR="00AA68F8">
          <w:rPr>
            <w:webHidden/>
          </w:rPr>
          <w:t>10-11</w:t>
        </w:r>
        <w:r w:rsidR="007B3ADE">
          <w:rPr>
            <w:webHidden/>
          </w:rPr>
          <w:fldChar w:fldCharType="end"/>
        </w:r>
      </w:hyperlink>
    </w:p>
    <w:p w14:paraId="1A0D7930" w14:textId="72EA339D" w:rsidR="007B3ADE" w:rsidRDefault="00C723CB">
      <w:pPr>
        <w:pStyle w:val="TOC2"/>
        <w:rPr>
          <w:rFonts w:asciiTheme="minorHAnsi" w:eastAsiaTheme="minorEastAsia" w:hAnsiTheme="minorHAnsi" w:cstheme="minorBidi"/>
          <w:noProof/>
        </w:rPr>
      </w:pPr>
      <w:hyperlink w:anchor="_Toc41680922" w:history="1">
        <w:r w:rsidR="007B3ADE" w:rsidRPr="00700A31">
          <w:rPr>
            <w:rStyle w:val="Hyperlink"/>
            <w:noProof/>
          </w:rPr>
          <w:t>10.3</w:t>
        </w:r>
        <w:r w:rsidR="007B3ADE">
          <w:rPr>
            <w:rFonts w:asciiTheme="minorHAnsi" w:eastAsiaTheme="minorEastAsia" w:hAnsiTheme="minorHAnsi" w:cstheme="minorBidi"/>
            <w:noProof/>
          </w:rPr>
          <w:tab/>
        </w:r>
        <w:r w:rsidR="007B3ADE" w:rsidRPr="00700A31">
          <w:rPr>
            <w:rStyle w:val="Hyperlink"/>
            <w:noProof/>
          </w:rPr>
          <w:t>Solids Handling</w:t>
        </w:r>
        <w:r w:rsidR="007B3ADE">
          <w:rPr>
            <w:noProof/>
            <w:webHidden/>
          </w:rPr>
          <w:tab/>
        </w:r>
        <w:r w:rsidR="007B3ADE">
          <w:rPr>
            <w:noProof/>
            <w:webHidden/>
          </w:rPr>
          <w:fldChar w:fldCharType="begin"/>
        </w:r>
        <w:r w:rsidR="007B3ADE">
          <w:rPr>
            <w:noProof/>
            <w:webHidden/>
          </w:rPr>
          <w:instrText xml:space="preserve"> PAGEREF _Toc41680922 \h </w:instrText>
        </w:r>
        <w:r w:rsidR="007B3ADE">
          <w:rPr>
            <w:noProof/>
            <w:webHidden/>
          </w:rPr>
        </w:r>
        <w:r w:rsidR="007B3ADE">
          <w:rPr>
            <w:noProof/>
            <w:webHidden/>
          </w:rPr>
          <w:fldChar w:fldCharType="separate"/>
        </w:r>
        <w:r w:rsidR="00AA68F8">
          <w:rPr>
            <w:noProof/>
            <w:webHidden/>
          </w:rPr>
          <w:t>10-16</w:t>
        </w:r>
        <w:r w:rsidR="007B3ADE">
          <w:rPr>
            <w:noProof/>
            <w:webHidden/>
          </w:rPr>
          <w:fldChar w:fldCharType="end"/>
        </w:r>
      </w:hyperlink>
    </w:p>
    <w:p w14:paraId="11EEEB26" w14:textId="10391F91" w:rsidR="007B3ADE" w:rsidRDefault="00C723CB">
      <w:pPr>
        <w:pStyle w:val="TOC3"/>
        <w:tabs>
          <w:tab w:val="left" w:pos="1980"/>
        </w:tabs>
        <w:rPr>
          <w:rFonts w:asciiTheme="minorHAnsi" w:eastAsiaTheme="minorEastAsia" w:hAnsiTheme="minorHAnsi" w:cstheme="minorBidi"/>
          <w:iCs w:val="0"/>
        </w:rPr>
      </w:pPr>
      <w:hyperlink w:anchor="_Toc41680923" w:history="1">
        <w:r w:rsidR="007B3ADE" w:rsidRPr="00700A31">
          <w:rPr>
            <w:rStyle w:val="Hyperlink"/>
          </w:rPr>
          <w:t>10.3.1</w:t>
        </w:r>
        <w:r w:rsidR="007B3ADE">
          <w:rPr>
            <w:rFonts w:asciiTheme="minorHAnsi" w:eastAsiaTheme="minorEastAsia" w:hAnsiTheme="minorHAnsi" w:cstheme="minorBidi"/>
            <w:iCs w:val="0"/>
          </w:rPr>
          <w:tab/>
        </w:r>
        <w:r w:rsidR="007B3ADE" w:rsidRPr="00700A31">
          <w:rPr>
            <w:rStyle w:val="Hyperlink"/>
          </w:rPr>
          <w:t>Digester B Replacement</w:t>
        </w:r>
        <w:r w:rsidR="007B3ADE">
          <w:rPr>
            <w:webHidden/>
          </w:rPr>
          <w:tab/>
        </w:r>
        <w:r w:rsidR="007B3ADE">
          <w:rPr>
            <w:webHidden/>
          </w:rPr>
          <w:fldChar w:fldCharType="begin"/>
        </w:r>
        <w:r w:rsidR="007B3ADE">
          <w:rPr>
            <w:webHidden/>
          </w:rPr>
          <w:instrText xml:space="preserve"> PAGEREF _Toc41680923 \h </w:instrText>
        </w:r>
        <w:r w:rsidR="007B3ADE">
          <w:rPr>
            <w:webHidden/>
          </w:rPr>
        </w:r>
        <w:r w:rsidR="007B3ADE">
          <w:rPr>
            <w:webHidden/>
          </w:rPr>
          <w:fldChar w:fldCharType="separate"/>
        </w:r>
        <w:r w:rsidR="00AA68F8">
          <w:rPr>
            <w:webHidden/>
          </w:rPr>
          <w:t>10-16</w:t>
        </w:r>
        <w:r w:rsidR="007B3ADE">
          <w:rPr>
            <w:webHidden/>
          </w:rPr>
          <w:fldChar w:fldCharType="end"/>
        </w:r>
      </w:hyperlink>
    </w:p>
    <w:p w14:paraId="15BFD9F0" w14:textId="1F81F5DD" w:rsidR="007B3ADE" w:rsidRDefault="00C723CB">
      <w:pPr>
        <w:pStyle w:val="TOC3"/>
        <w:tabs>
          <w:tab w:val="left" w:pos="1980"/>
        </w:tabs>
        <w:rPr>
          <w:rFonts w:asciiTheme="minorHAnsi" w:eastAsiaTheme="minorEastAsia" w:hAnsiTheme="minorHAnsi" w:cstheme="minorBidi"/>
          <w:iCs w:val="0"/>
        </w:rPr>
      </w:pPr>
      <w:hyperlink w:anchor="_Toc41680924" w:history="1">
        <w:r w:rsidR="007B3ADE" w:rsidRPr="00700A31">
          <w:rPr>
            <w:rStyle w:val="Hyperlink"/>
          </w:rPr>
          <w:t>10.3.2</w:t>
        </w:r>
        <w:r w:rsidR="007B3ADE">
          <w:rPr>
            <w:rFonts w:asciiTheme="minorHAnsi" w:eastAsiaTheme="minorEastAsia" w:hAnsiTheme="minorHAnsi" w:cstheme="minorBidi"/>
            <w:iCs w:val="0"/>
          </w:rPr>
          <w:tab/>
        </w:r>
        <w:r w:rsidR="007B3ADE" w:rsidRPr="00700A31">
          <w:rPr>
            <w:rStyle w:val="Hyperlink"/>
          </w:rPr>
          <w:t>Digester Cleaning</w:t>
        </w:r>
        <w:r w:rsidR="007B3ADE">
          <w:rPr>
            <w:webHidden/>
          </w:rPr>
          <w:tab/>
        </w:r>
        <w:r w:rsidR="007B3ADE">
          <w:rPr>
            <w:webHidden/>
          </w:rPr>
          <w:fldChar w:fldCharType="begin"/>
        </w:r>
        <w:r w:rsidR="007B3ADE">
          <w:rPr>
            <w:webHidden/>
          </w:rPr>
          <w:instrText xml:space="preserve"> PAGEREF _Toc41680924 \h </w:instrText>
        </w:r>
        <w:r w:rsidR="007B3ADE">
          <w:rPr>
            <w:webHidden/>
          </w:rPr>
        </w:r>
        <w:r w:rsidR="007B3ADE">
          <w:rPr>
            <w:webHidden/>
          </w:rPr>
          <w:fldChar w:fldCharType="separate"/>
        </w:r>
        <w:r w:rsidR="00AA68F8">
          <w:rPr>
            <w:webHidden/>
          </w:rPr>
          <w:t>10-17</w:t>
        </w:r>
        <w:r w:rsidR="007B3ADE">
          <w:rPr>
            <w:webHidden/>
          </w:rPr>
          <w:fldChar w:fldCharType="end"/>
        </w:r>
      </w:hyperlink>
    </w:p>
    <w:p w14:paraId="7C188A73" w14:textId="452EECF0" w:rsidR="007B3ADE" w:rsidRDefault="00C723CB">
      <w:pPr>
        <w:pStyle w:val="TOC3"/>
        <w:tabs>
          <w:tab w:val="left" w:pos="1980"/>
        </w:tabs>
        <w:rPr>
          <w:rFonts w:asciiTheme="minorHAnsi" w:eastAsiaTheme="minorEastAsia" w:hAnsiTheme="minorHAnsi" w:cstheme="minorBidi"/>
          <w:iCs w:val="0"/>
        </w:rPr>
      </w:pPr>
      <w:hyperlink w:anchor="_Toc41680925" w:history="1">
        <w:r w:rsidR="007B3ADE" w:rsidRPr="00700A31">
          <w:rPr>
            <w:rStyle w:val="Hyperlink"/>
          </w:rPr>
          <w:t>10.3.3</w:t>
        </w:r>
        <w:r w:rsidR="007B3ADE">
          <w:rPr>
            <w:rFonts w:asciiTheme="minorHAnsi" w:eastAsiaTheme="minorEastAsia" w:hAnsiTheme="minorHAnsi" w:cstheme="minorBidi"/>
            <w:iCs w:val="0"/>
          </w:rPr>
          <w:tab/>
        </w:r>
        <w:r w:rsidR="007B3ADE" w:rsidRPr="00700A31">
          <w:rPr>
            <w:rStyle w:val="Hyperlink"/>
          </w:rPr>
          <w:t>Digester Mixing Optimization</w:t>
        </w:r>
        <w:r w:rsidR="007B3ADE">
          <w:rPr>
            <w:webHidden/>
          </w:rPr>
          <w:tab/>
        </w:r>
        <w:r w:rsidR="007B3ADE">
          <w:rPr>
            <w:webHidden/>
          </w:rPr>
          <w:fldChar w:fldCharType="begin"/>
        </w:r>
        <w:r w:rsidR="007B3ADE">
          <w:rPr>
            <w:webHidden/>
          </w:rPr>
          <w:instrText xml:space="preserve"> PAGEREF _Toc41680925 \h </w:instrText>
        </w:r>
        <w:r w:rsidR="007B3ADE">
          <w:rPr>
            <w:webHidden/>
          </w:rPr>
        </w:r>
        <w:r w:rsidR="007B3ADE">
          <w:rPr>
            <w:webHidden/>
          </w:rPr>
          <w:fldChar w:fldCharType="separate"/>
        </w:r>
        <w:r w:rsidR="00AA68F8">
          <w:rPr>
            <w:webHidden/>
          </w:rPr>
          <w:t>10-17</w:t>
        </w:r>
        <w:r w:rsidR="007B3ADE">
          <w:rPr>
            <w:webHidden/>
          </w:rPr>
          <w:fldChar w:fldCharType="end"/>
        </w:r>
      </w:hyperlink>
    </w:p>
    <w:p w14:paraId="54845BCE" w14:textId="458F8F75" w:rsidR="007B3ADE" w:rsidRDefault="00C723CB">
      <w:pPr>
        <w:pStyle w:val="TOC2"/>
        <w:rPr>
          <w:rFonts w:asciiTheme="minorHAnsi" w:eastAsiaTheme="minorEastAsia" w:hAnsiTheme="minorHAnsi" w:cstheme="minorBidi"/>
          <w:noProof/>
        </w:rPr>
      </w:pPr>
      <w:hyperlink w:anchor="_Toc41680926" w:history="1">
        <w:r w:rsidR="007B3ADE" w:rsidRPr="00700A31">
          <w:rPr>
            <w:rStyle w:val="Hyperlink"/>
            <w:noProof/>
          </w:rPr>
          <w:t>10.4</w:t>
        </w:r>
        <w:r w:rsidR="007B3ADE">
          <w:rPr>
            <w:rFonts w:asciiTheme="minorHAnsi" w:eastAsiaTheme="minorEastAsia" w:hAnsiTheme="minorHAnsi" w:cstheme="minorBidi"/>
            <w:noProof/>
          </w:rPr>
          <w:tab/>
        </w:r>
        <w:r w:rsidR="007B3ADE" w:rsidRPr="00700A31">
          <w:rPr>
            <w:rStyle w:val="Hyperlink"/>
            <w:noProof/>
          </w:rPr>
          <w:t>Brine Line Improvements</w:t>
        </w:r>
        <w:r w:rsidR="007B3ADE">
          <w:rPr>
            <w:noProof/>
            <w:webHidden/>
          </w:rPr>
          <w:tab/>
        </w:r>
        <w:r w:rsidR="007B3ADE">
          <w:rPr>
            <w:noProof/>
            <w:webHidden/>
          </w:rPr>
          <w:fldChar w:fldCharType="begin"/>
        </w:r>
        <w:r w:rsidR="007B3ADE">
          <w:rPr>
            <w:noProof/>
            <w:webHidden/>
          </w:rPr>
          <w:instrText xml:space="preserve"> PAGEREF _Toc41680926 \h </w:instrText>
        </w:r>
        <w:r w:rsidR="007B3ADE">
          <w:rPr>
            <w:noProof/>
            <w:webHidden/>
          </w:rPr>
        </w:r>
        <w:r w:rsidR="007B3ADE">
          <w:rPr>
            <w:noProof/>
            <w:webHidden/>
          </w:rPr>
          <w:fldChar w:fldCharType="separate"/>
        </w:r>
        <w:r w:rsidR="00AA68F8">
          <w:rPr>
            <w:noProof/>
            <w:webHidden/>
          </w:rPr>
          <w:t>10-17</w:t>
        </w:r>
        <w:r w:rsidR="007B3ADE">
          <w:rPr>
            <w:noProof/>
            <w:webHidden/>
          </w:rPr>
          <w:fldChar w:fldCharType="end"/>
        </w:r>
      </w:hyperlink>
    </w:p>
    <w:p w14:paraId="74C2DBC1" w14:textId="405940E7" w:rsidR="007B3ADE" w:rsidRDefault="00C723CB">
      <w:pPr>
        <w:pStyle w:val="TOC2"/>
        <w:rPr>
          <w:rFonts w:asciiTheme="minorHAnsi" w:eastAsiaTheme="minorEastAsia" w:hAnsiTheme="minorHAnsi" w:cstheme="minorBidi"/>
          <w:noProof/>
        </w:rPr>
      </w:pPr>
      <w:hyperlink w:anchor="_Toc41680927" w:history="1">
        <w:r w:rsidR="007B3ADE" w:rsidRPr="00700A31">
          <w:rPr>
            <w:rStyle w:val="Hyperlink"/>
            <w:noProof/>
          </w:rPr>
          <w:t>10.5</w:t>
        </w:r>
        <w:r w:rsidR="007B3ADE">
          <w:rPr>
            <w:rFonts w:asciiTheme="minorHAnsi" w:eastAsiaTheme="minorEastAsia" w:hAnsiTheme="minorHAnsi" w:cstheme="minorBidi"/>
            <w:noProof/>
          </w:rPr>
          <w:tab/>
        </w:r>
        <w:r w:rsidR="007B3ADE" w:rsidRPr="00700A31">
          <w:rPr>
            <w:rStyle w:val="Hyperlink"/>
            <w:noProof/>
          </w:rPr>
          <w:t>Influent Lift Stations</w:t>
        </w:r>
        <w:r w:rsidR="007B3ADE">
          <w:rPr>
            <w:noProof/>
            <w:webHidden/>
          </w:rPr>
          <w:tab/>
        </w:r>
        <w:r w:rsidR="007B3ADE">
          <w:rPr>
            <w:noProof/>
            <w:webHidden/>
          </w:rPr>
          <w:fldChar w:fldCharType="begin"/>
        </w:r>
        <w:r w:rsidR="007B3ADE">
          <w:rPr>
            <w:noProof/>
            <w:webHidden/>
          </w:rPr>
          <w:instrText xml:space="preserve"> PAGEREF _Toc41680927 \h </w:instrText>
        </w:r>
        <w:r w:rsidR="007B3ADE">
          <w:rPr>
            <w:noProof/>
            <w:webHidden/>
          </w:rPr>
        </w:r>
        <w:r w:rsidR="007B3ADE">
          <w:rPr>
            <w:noProof/>
            <w:webHidden/>
          </w:rPr>
          <w:fldChar w:fldCharType="separate"/>
        </w:r>
        <w:r w:rsidR="00AA68F8">
          <w:rPr>
            <w:noProof/>
            <w:webHidden/>
          </w:rPr>
          <w:t>10-18</w:t>
        </w:r>
        <w:r w:rsidR="007B3ADE">
          <w:rPr>
            <w:noProof/>
            <w:webHidden/>
          </w:rPr>
          <w:fldChar w:fldCharType="end"/>
        </w:r>
      </w:hyperlink>
    </w:p>
    <w:p w14:paraId="727566DC" w14:textId="321D56DF" w:rsidR="007B3ADE" w:rsidRDefault="00C723CB">
      <w:pPr>
        <w:pStyle w:val="TOC3"/>
        <w:tabs>
          <w:tab w:val="left" w:pos="1980"/>
        </w:tabs>
        <w:rPr>
          <w:rFonts w:asciiTheme="minorHAnsi" w:eastAsiaTheme="minorEastAsia" w:hAnsiTheme="minorHAnsi" w:cstheme="minorBidi"/>
          <w:iCs w:val="0"/>
        </w:rPr>
      </w:pPr>
      <w:hyperlink w:anchor="_Toc41680928" w:history="1">
        <w:r w:rsidR="007B3ADE" w:rsidRPr="00700A31">
          <w:rPr>
            <w:rStyle w:val="Hyperlink"/>
          </w:rPr>
          <w:t>10.5.1</w:t>
        </w:r>
        <w:r w:rsidR="007B3ADE">
          <w:rPr>
            <w:rFonts w:asciiTheme="minorHAnsi" w:eastAsiaTheme="minorEastAsia" w:hAnsiTheme="minorHAnsi" w:cstheme="minorBidi"/>
            <w:iCs w:val="0"/>
          </w:rPr>
          <w:tab/>
        </w:r>
        <w:r w:rsidR="007B3ADE" w:rsidRPr="00700A31">
          <w:rPr>
            <w:rStyle w:val="Hyperlink"/>
          </w:rPr>
          <w:t>Downsizing of the East Influent Lift Station</w:t>
        </w:r>
        <w:r w:rsidR="007B3ADE">
          <w:rPr>
            <w:webHidden/>
          </w:rPr>
          <w:tab/>
        </w:r>
        <w:r w:rsidR="007B3ADE">
          <w:rPr>
            <w:webHidden/>
          </w:rPr>
          <w:fldChar w:fldCharType="begin"/>
        </w:r>
        <w:r w:rsidR="007B3ADE">
          <w:rPr>
            <w:webHidden/>
          </w:rPr>
          <w:instrText xml:space="preserve"> PAGEREF _Toc41680928 \h </w:instrText>
        </w:r>
        <w:r w:rsidR="007B3ADE">
          <w:rPr>
            <w:webHidden/>
          </w:rPr>
        </w:r>
        <w:r w:rsidR="007B3ADE">
          <w:rPr>
            <w:webHidden/>
          </w:rPr>
          <w:fldChar w:fldCharType="separate"/>
        </w:r>
        <w:r w:rsidR="00AA68F8">
          <w:rPr>
            <w:webHidden/>
          </w:rPr>
          <w:t>10-18</w:t>
        </w:r>
        <w:r w:rsidR="007B3ADE">
          <w:rPr>
            <w:webHidden/>
          </w:rPr>
          <w:fldChar w:fldCharType="end"/>
        </w:r>
      </w:hyperlink>
    </w:p>
    <w:p w14:paraId="1CF7E78E" w14:textId="05416F5F" w:rsidR="007B3ADE" w:rsidRDefault="00C723CB">
      <w:pPr>
        <w:pStyle w:val="TOC2"/>
        <w:rPr>
          <w:rFonts w:asciiTheme="minorHAnsi" w:eastAsiaTheme="minorEastAsia" w:hAnsiTheme="minorHAnsi" w:cstheme="minorBidi"/>
          <w:noProof/>
        </w:rPr>
      </w:pPr>
      <w:hyperlink w:anchor="_Toc41680929" w:history="1">
        <w:r w:rsidR="007B3ADE" w:rsidRPr="00700A31">
          <w:rPr>
            <w:rStyle w:val="Hyperlink"/>
            <w:noProof/>
          </w:rPr>
          <w:t>10.6</w:t>
        </w:r>
        <w:r w:rsidR="007B3ADE">
          <w:rPr>
            <w:rFonts w:asciiTheme="minorHAnsi" w:eastAsiaTheme="minorEastAsia" w:hAnsiTheme="minorHAnsi" w:cstheme="minorBidi"/>
            <w:noProof/>
          </w:rPr>
          <w:tab/>
        </w:r>
        <w:r w:rsidR="007B3ADE" w:rsidRPr="00700A31">
          <w:rPr>
            <w:rStyle w:val="Hyperlink"/>
            <w:noProof/>
          </w:rPr>
          <w:t>Special Studies</w:t>
        </w:r>
        <w:r w:rsidR="007B3ADE">
          <w:rPr>
            <w:noProof/>
            <w:webHidden/>
          </w:rPr>
          <w:tab/>
        </w:r>
        <w:r w:rsidR="007B3ADE">
          <w:rPr>
            <w:noProof/>
            <w:webHidden/>
          </w:rPr>
          <w:fldChar w:fldCharType="begin"/>
        </w:r>
        <w:r w:rsidR="007B3ADE">
          <w:rPr>
            <w:noProof/>
            <w:webHidden/>
          </w:rPr>
          <w:instrText xml:space="preserve"> PAGEREF _Toc41680929 \h </w:instrText>
        </w:r>
        <w:r w:rsidR="007B3ADE">
          <w:rPr>
            <w:noProof/>
            <w:webHidden/>
          </w:rPr>
        </w:r>
        <w:r w:rsidR="007B3ADE">
          <w:rPr>
            <w:noProof/>
            <w:webHidden/>
          </w:rPr>
          <w:fldChar w:fldCharType="separate"/>
        </w:r>
        <w:r w:rsidR="00AA68F8">
          <w:rPr>
            <w:noProof/>
            <w:webHidden/>
          </w:rPr>
          <w:t>10-19</w:t>
        </w:r>
        <w:r w:rsidR="007B3ADE">
          <w:rPr>
            <w:noProof/>
            <w:webHidden/>
          </w:rPr>
          <w:fldChar w:fldCharType="end"/>
        </w:r>
      </w:hyperlink>
    </w:p>
    <w:p w14:paraId="6D7B0022" w14:textId="3264459F" w:rsidR="007B3ADE" w:rsidRDefault="00C723CB">
      <w:pPr>
        <w:pStyle w:val="TOC3"/>
        <w:tabs>
          <w:tab w:val="left" w:pos="1980"/>
        </w:tabs>
        <w:rPr>
          <w:rFonts w:asciiTheme="minorHAnsi" w:eastAsiaTheme="minorEastAsia" w:hAnsiTheme="minorHAnsi" w:cstheme="minorBidi"/>
          <w:iCs w:val="0"/>
        </w:rPr>
      </w:pPr>
      <w:hyperlink w:anchor="_Toc41680930" w:history="1">
        <w:r w:rsidR="007B3ADE" w:rsidRPr="00700A31">
          <w:rPr>
            <w:rStyle w:val="Hyperlink"/>
          </w:rPr>
          <w:t>10.6.1</w:t>
        </w:r>
        <w:r w:rsidR="007B3ADE">
          <w:rPr>
            <w:rFonts w:asciiTheme="minorHAnsi" w:eastAsiaTheme="minorEastAsia" w:hAnsiTheme="minorHAnsi" w:cstheme="minorBidi"/>
            <w:iCs w:val="0"/>
          </w:rPr>
          <w:tab/>
        </w:r>
        <w:r w:rsidR="007B3ADE" w:rsidRPr="00700A31">
          <w:rPr>
            <w:rStyle w:val="Hyperlink"/>
          </w:rPr>
          <w:t>Electrical Master Plan</w:t>
        </w:r>
        <w:r w:rsidR="007B3ADE">
          <w:rPr>
            <w:webHidden/>
          </w:rPr>
          <w:tab/>
        </w:r>
        <w:r w:rsidR="007B3ADE">
          <w:rPr>
            <w:webHidden/>
          </w:rPr>
          <w:fldChar w:fldCharType="begin"/>
        </w:r>
        <w:r w:rsidR="007B3ADE">
          <w:rPr>
            <w:webHidden/>
          </w:rPr>
          <w:instrText xml:space="preserve"> PAGEREF _Toc41680930 \h </w:instrText>
        </w:r>
        <w:r w:rsidR="007B3ADE">
          <w:rPr>
            <w:webHidden/>
          </w:rPr>
        </w:r>
        <w:r w:rsidR="007B3ADE">
          <w:rPr>
            <w:webHidden/>
          </w:rPr>
          <w:fldChar w:fldCharType="separate"/>
        </w:r>
        <w:r w:rsidR="00AA68F8">
          <w:rPr>
            <w:webHidden/>
          </w:rPr>
          <w:t>10-19</w:t>
        </w:r>
        <w:r w:rsidR="007B3ADE">
          <w:rPr>
            <w:webHidden/>
          </w:rPr>
          <w:fldChar w:fldCharType="end"/>
        </w:r>
      </w:hyperlink>
    </w:p>
    <w:p w14:paraId="22C1187B" w14:textId="77D65965" w:rsidR="007B3ADE" w:rsidRDefault="00C723CB">
      <w:pPr>
        <w:pStyle w:val="TOC3"/>
        <w:tabs>
          <w:tab w:val="left" w:pos="1980"/>
        </w:tabs>
        <w:rPr>
          <w:rFonts w:asciiTheme="minorHAnsi" w:eastAsiaTheme="minorEastAsia" w:hAnsiTheme="minorHAnsi" w:cstheme="minorBidi"/>
          <w:iCs w:val="0"/>
        </w:rPr>
      </w:pPr>
      <w:hyperlink w:anchor="_Toc41680931" w:history="1">
        <w:r w:rsidR="007B3ADE" w:rsidRPr="00700A31">
          <w:rPr>
            <w:rStyle w:val="Hyperlink"/>
          </w:rPr>
          <w:t>10.6.2</w:t>
        </w:r>
        <w:r w:rsidR="007B3ADE">
          <w:rPr>
            <w:rFonts w:asciiTheme="minorHAnsi" w:eastAsiaTheme="minorEastAsia" w:hAnsiTheme="minorHAnsi" w:cstheme="minorBidi"/>
            <w:iCs w:val="0"/>
          </w:rPr>
          <w:tab/>
        </w:r>
        <w:r w:rsidR="007B3ADE" w:rsidRPr="00700A31">
          <w:rPr>
            <w:rStyle w:val="Hyperlink"/>
          </w:rPr>
          <w:t>SCADA Master Plan</w:t>
        </w:r>
        <w:r w:rsidR="007B3ADE">
          <w:rPr>
            <w:webHidden/>
          </w:rPr>
          <w:tab/>
        </w:r>
        <w:r w:rsidR="007B3ADE">
          <w:rPr>
            <w:webHidden/>
          </w:rPr>
          <w:fldChar w:fldCharType="begin"/>
        </w:r>
        <w:r w:rsidR="007B3ADE">
          <w:rPr>
            <w:webHidden/>
          </w:rPr>
          <w:instrText xml:space="preserve"> PAGEREF _Toc41680931 \h </w:instrText>
        </w:r>
        <w:r w:rsidR="007B3ADE">
          <w:rPr>
            <w:webHidden/>
          </w:rPr>
        </w:r>
        <w:r w:rsidR="007B3ADE">
          <w:rPr>
            <w:webHidden/>
          </w:rPr>
          <w:fldChar w:fldCharType="separate"/>
        </w:r>
        <w:r w:rsidR="00AA68F8">
          <w:rPr>
            <w:webHidden/>
          </w:rPr>
          <w:t>10-21</w:t>
        </w:r>
        <w:r w:rsidR="007B3ADE">
          <w:rPr>
            <w:webHidden/>
          </w:rPr>
          <w:fldChar w:fldCharType="end"/>
        </w:r>
      </w:hyperlink>
    </w:p>
    <w:p w14:paraId="64D4F189" w14:textId="5F8B5CE7" w:rsidR="007B3ADE" w:rsidRDefault="00C723CB">
      <w:pPr>
        <w:pStyle w:val="TOC3"/>
        <w:tabs>
          <w:tab w:val="left" w:pos="1980"/>
        </w:tabs>
        <w:rPr>
          <w:rFonts w:asciiTheme="minorHAnsi" w:eastAsiaTheme="minorEastAsia" w:hAnsiTheme="minorHAnsi" w:cstheme="minorBidi"/>
          <w:iCs w:val="0"/>
        </w:rPr>
      </w:pPr>
      <w:hyperlink w:anchor="_Toc41680932" w:history="1">
        <w:r w:rsidR="007B3ADE" w:rsidRPr="00700A31">
          <w:rPr>
            <w:rStyle w:val="Hyperlink"/>
          </w:rPr>
          <w:t>10.6.3</w:t>
        </w:r>
        <w:r w:rsidR="007B3ADE">
          <w:rPr>
            <w:rFonts w:asciiTheme="minorHAnsi" w:eastAsiaTheme="minorEastAsia" w:hAnsiTheme="minorHAnsi" w:cstheme="minorBidi"/>
            <w:iCs w:val="0"/>
          </w:rPr>
          <w:tab/>
        </w:r>
        <w:r w:rsidR="007B3ADE" w:rsidRPr="00700A31">
          <w:rPr>
            <w:rStyle w:val="Hyperlink"/>
          </w:rPr>
          <w:t>Biosolids Strategic Plan</w:t>
        </w:r>
        <w:r w:rsidR="007B3ADE">
          <w:rPr>
            <w:webHidden/>
          </w:rPr>
          <w:tab/>
        </w:r>
        <w:r w:rsidR="007B3ADE">
          <w:rPr>
            <w:webHidden/>
          </w:rPr>
          <w:fldChar w:fldCharType="begin"/>
        </w:r>
        <w:r w:rsidR="007B3ADE">
          <w:rPr>
            <w:webHidden/>
          </w:rPr>
          <w:instrText xml:space="preserve"> PAGEREF _Toc41680932 \h </w:instrText>
        </w:r>
        <w:r w:rsidR="007B3ADE">
          <w:rPr>
            <w:webHidden/>
          </w:rPr>
        </w:r>
        <w:r w:rsidR="007B3ADE">
          <w:rPr>
            <w:webHidden/>
          </w:rPr>
          <w:fldChar w:fldCharType="separate"/>
        </w:r>
        <w:r w:rsidR="00AA68F8">
          <w:rPr>
            <w:webHidden/>
          </w:rPr>
          <w:t>10-23</w:t>
        </w:r>
        <w:r w:rsidR="007B3ADE">
          <w:rPr>
            <w:webHidden/>
          </w:rPr>
          <w:fldChar w:fldCharType="end"/>
        </w:r>
      </w:hyperlink>
    </w:p>
    <w:p w14:paraId="58430037" w14:textId="14354676" w:rsidR="007B3ADE" w:rsidRDefault="00C723CB">
      <w:pPr>
        <w:pStyle w:val="TOC3"/>
        <w:tabs>
          <w:tab w:val="left" w:pos="1980"/>
        </w:tabs>
        <w:rPr>
          <w:rFonts w:asciiTheme="minorHAnsi" w:eastAsiaTheme="minorEastAsia" w:hAnsiTheme="minorHAnsi" w:cstheme="minorBidi"/>
          <w:iCs w:val="0"/>
        </w:rPr>
      </w:pPr>
      <w:hyperlink w:anchor="_Toc41680933" w:history="1">
        <w:r w:rsidR="007B3ADE" w:rsidRPr="00700A31">
          <w:rPr>
            <w:rStyle w:val="Hyperlink"/>
          </w:rPr>
          <w:t>10.6.4</w:t>
        </w:r>
        <w:r w:rsidR="007B3ADE">
          <w:rPr>
            <w:rFonts w:asciiTheme="minorHAnsi" w:eastAsiaTheme="minorEastAsia" w:hAnsiTheme="minorHAnsi" w:cstheme="minorBidi"/>
            <w:iCs w:val="0"/>
          </w:rPr>
          <w:tab/>
        </w:r>
        <w:r w:rsidR="007B3ADE" w:rsidRPr="00700A31">
          <w:rPr>
            <w:rStyle w:val="Hyperlink"/>
          </w:rPr>
          <w:t>RIX Facility Plan</w:t>
        </w:r>
        <w:r w:rsidR="007B3ADE">
          <w:rPr>
            <w:webHidden/>
          </w:rPr>
          <w:tab/>
        </w:r>
        <w:r w:rsidR="007B3ADE">
          <w:rPr>
            <w:webHidden/>
          </w:rPr>
          <w:fldChar w:fldCharType="begin"/>
        </w:r>
        <w:r w:rsidR="007B3ADE">
          <w:rPr>
            <w:webHidden/>
          </w:rPr>
          <w:instrText xml:space="preserve"> PAGEREF _Toc41680933 \h </w:instrText>
        </w:r>
        <w:r w:rsidR="007B3ADE">
          <w:rPr>
            <w:webHidden/>
          </w:rPr>
        </w:r>
        <w:r w:rsidR="007B3ADE">
          <w:rPr>
            <w:webHidden/>
          </w:rPr>
          <w:fldChar w:fldCharType="separate"/>
        </w:r>
        <w:r w:rsidR="00AA68F8">
          <w:rPr>
            <w:webHidden/>
          </w:rPr>
          <w:t>10-24</w:t>
        </w:r>
        <w:r w:rsidR="007B3ADE">
          <w:rPr>
            <w:webHidden/>
          </w:rPr>
          <w:fldChar w:fldCharType="end"/>
        </w:r>
      </w:hyperlink>
    </w:p>
    <w:p w14:paraId="1D6C29F4" w14:textId="630C6A55" w:rsidR="007B3ADE" w:rsidRDefault="00C723CB">
      <w:pPr>
        <w:pStyle w:val="TOC2"/>
        <w:rPr>
          <w:rFonts w:asciiTheme="minorHAnsi" w:eastAsiaTheme="minorEastAsia" w:hAnsiTheme="minorHAnsi" w:cstheme="minorBidi"/>
          <w:noProof/>
        </w:rPr>
      </w:pPr>
      <w:hyperlink w:anchor="_Toc41680934" w:history="1">
        <w:r w:rsidR="007B3ADE" w:rsidRPr="00700A31">
          <w:rPr>
            <w:rStyle w:val="Hyperlink"/>
            <w:noProof/>
          </w:rPr>
          <w:t>10.7</w:t>
        </w:r>
        <w:r w:rsidR="007B3ADE">
          <w:rPr>
            <w:rFonts w:asciiTheme="minorHAnsi" w:eastAsiaTheme="minorEastAsia" w:hAnsiTheme="minorHAnsi" w:cstheme="minorBidi"/>
            <w:noProof/>
          </w:rPr>
          <w:tab/>
        </w:r>
        <w:r w:rsidR="007B3ADE" w:rsidRPr="00700A31">
          <w:rPr>
            <w:rStyle w:val="Hyperlink"/>
            <w:noProof/>
          </w:rPr>
          <w:t>Project Ranking and Recommendations</w:t>
        </w:r>
        <w:r w:rsidR="007B3ADE">
          <w:rPr>
            <w:noProof/>
            <w:webHidden/>
          </w:rPr>
          <w:tab/>
        </w:r>
        <w:r w:rsidR="007B3ADE">
          <w:rPr>
            <w:noProof/>
            <w:webHidden/>
          </w:rPr>
          <w:fldChar w:fldCharType="begin"/>
        </w:r>
        <w:r w:rsidR="007B3ADE">
          <w:rPr>
            <w:noProof/>
            <w:webHidden/>
          </w:rPr>
          <w:instrText xml:space="preserve"> PAGEREF _Toc41680934 \h </w:instrText>
        </w:r>
        <w:r w:rsidR="007B3ADE">
          <w:rPr>
            <w:noProof/>
            <w:webHidden/>
          </w:rPr>
        </w:r>
        <w:r w:rsidR="007B3ADE">
          <w:rPr>
            <w:noProof/>
            <w:webHidden/>
          </w:rPr>
          <w:fldChar w:fldCharType="separate"/>
        </w:r>
        <w:r w:rsidR="00AA68F8">
          <w:rPr>
            <w:noProof/>
            <w:webHidden/>
          </w:rPr>
          <w:t>10-24</w:t>
        </w:r>
        <w:r w:rsidR="007B3ADE">
          <w:rPr>
            <w:noProof/>
            <w:webHidden/>
          </w:rPr>
          <w:fldChar w:fldCharType="end"/>
        </w:r>
      </w:hyperlink>
    </w:p>
    <w:p w14:paraId="599245AA" w14:textId="469926EB" w:rsidR="007B3ADE" w:rsidRDefault="00C723CB">
      <w:pPr>
        <w:pStyle w:val="TOC1"/>
        <w:rPr>
          <w:rFonts w:asciiTheme="minorHAnsi" w:eastAsiaTheme="minorEastAsia" w:hAnsiTheme="minorHAnsi" w:cstheme="minorBidi"/>
          <w:bCs w:val="0"/>
        </w:rPr>
      </w:pPr>
      <w:hyperlink w:anchor="_Toc41680935" w:history="1">
        <w:r w:rsidR="007B3ADE" w:rsidRPr="00700A31">
          <w:rPr>
            <w:rStyle w:val="Hyperlink"/>
          </w:rPr>
          <w:t>11.</w:t>
        </w:r>
        <w:r w:rsidR="007B3ADE">
          <w:rPr>
            <w:rFonts w:asciiTheme="minorHAnsi" w:eastAsiaTheme="minorEastAsia" w:hAnsiTheme="minorHAnsi" w:cstheme="minorBidi"/>
            <w:bCs w:val="0"/>
          </w:rPr>
          <w:tab/>
        </w:r>
        <w:r w:rsidR="007B3ADE" w:rsidRPr="00700A31">
          <w:rPr>
            <w:rStyle w:val="Hyperlink"/>
          </w:rPr>
          <w:t>Capital Improvement Plan</w:t>
        </w:r>
        <w:r w:rsidR="007B3ADE">
          <w:rPr>
            <w:webHidden/>
          </w:rPr>
          <w:tab/>
        </w:r>
        <w:r w:rsidR="007B3ADE">
          <w:rPr>
            <w:webHidden/>
          </w:rPr>
          <w:fldChar w:fldCharType="begin"/>
        </w:r>
        <w:r w:rsidR="007B3ADE">
          <w:rPr>
            <w:webHidden/>
          </w:rPr>
          <w:instrText xml:space="preserve"> PAGEREF _Toc41680935 \h </w:instrText>
        </w:r>
        <w:r w:rsidR="007B3ADE">
          <w:rPr>
            <w:webHidden/>
          </w:rPr>
        </w:r>
        <w:r w:rsidR="007B3ADE">
          <w:rPr>
            <w:webHidden/>
          </w:rPr>
          <w:fldChar w:fldCharType="separate"/>
        </w:r>
        <w:r w:rsidR="00AA68F8">
          <w:rPr>
            <w:webHidden/>
          </w:rPr>
          <w:t>11-1</w:t>
        </w:r>
        <w:r w:rsidR="007B3ADE">
          <w:rPr>
            <w:webHidden/>
          </w:rPr>
          <w:fldChar w:fldCharType="end"/>
        </w:r>
      </w:hyperlink>
    </w:p>
    <w:p w14:paraId="5B87644C" w14:textId="77A8A8EC" w:rsidR="007B3ADE" w:rsidRDefault="00C723CB">
      <w:pPr>
        <w:pStyle w:val="TOC2"/>
        <w:rPr>
          <w:rFonts w:asciiTheme="minorHAnsi" w:eastAsiaTheme="minorEastAsia" w:hAnsiTheme="minorHAnsi" w:cstheme="minorBidi"/>
          <w:noProof/>
        </w:rPr>
      </w:pPr>
      <w:hyperlink w:anchor="_Toc41680936" w:history="1">
        <w:r w:rsidR="007B3ADE" w:rsidRPr="00700A31">
          <w:rPr>
            <w:rStyle w:val="Hyperlink"/>
            <w:noProof/>
          </w:rPr>
          <w:t>11.1</w:t>
        </w:r>
        <w:r w:rsidR="007B3ADE">
          <w:rPr>
            <w:rFonts w:asciiTheme="minorHAnsi" w:eastAsiaTheme="minorEastAsia" w:hAnsiTheme="minorHAnsi" w:cstheme="minorBidi"/>
            <w:noProof/>
          </w:rPr>
          <w:tab/>
        </w:r>
        <w:r w:rsidR="007B3ADE" w:rsidRPr="00700A31">
          <w:rPr>
            <w:rStyle w:val="Hyperlink"/>
            <w:noProof/>
          </w:rPr>
          <w:t>Ongoing Projects</w:t>
        </w:r>
        <w:r w:rsidR="007B3ADE">
          <w:rPr>
            <w:noProof/>
            <w:webHidden/>
          </w:rPr>
          <w:tab/>
        </w:r>
        <w:r w:rsidR="007B3ADE">
          <w:rPr>
            <w:noProof/>
            <w:webHidden/>
          </w:rPr>
          <w:fldChar w:fldCharType="begin"/>
        </w:r>
        <w:r w:rsidR="007B3ADE">
          <w:rPr>
            <w:noProof/>
            <w:webHidden/>
          </w:rPr>
          <w:instrText xml:space="preserve"> PAGEREF _Toc41680936 \h </w:instrText>
        </w:r>
        <w:r w:rsidR="007B3ADE">
          <w:rPr>
            <w:noProof/>
            <w:webHidden/>
          </w:rPr>
        </w:r>
        <w:r w:rsidR="007B3ADE">
          <w:rPr>
            <w:noProof/>
            <w:webHidden/>
          </w:rPr>
          <w:fldChar w:fldCharType="separate"/>
        </w:r>
        <w:r w:rsidR="00AA68F8">
          <w:rPr>
            <w:noProof/>
            <w:webHidden/>
          </w:rPr>
          <w:t>11-1</w:t>
        </w:r>
        <w:r w:rsidR="007B3ADE">
          <w:rPr>
            <w:noProof/>
            <w:webHidden/>
          </w:rPr>
          <w:fldChar w:fldCharType="end"/>
        </w:r>
      </w:hyperlink>
    </w:p>
    <w:p w14:paraId="741F93C5" w14:textId="7A23ED00" w:rsidR="007B3ADE" w:rsidRDefault="00C723CB">
      <w:pPr>
        <w:pStyle w:val="TOC3"/>
        <w:tabs>
          <w:tab w:val="left" w:pos="1980"/>
        </w:tabs>
        <w:rPr>
          <w:rFonts w:asciiTheme="minorHAnsi" w:eastAsiaTheme="minorEastAsia" w:hAnsiTheme="minorHAnsi" w:cstheme="minorBidi"/>
          <w:iCs w:val="0"/>
        </w:rPr>
      </w:pPr>
      <w:hyperlink w:anchor="_Toc41680937" w:history="1">
        <w:r w:rsidR="007B3ADE" w:rsidRPr="00700A31">
          <w:rPr>
            <w:rStyle w:val="Hyperlink"/>
          </w:rPr>
          <w:t>11.1.1</w:t>
        </w:r>
        <w:r w:rsidR="007B3ADE">
          <w:rPr>
            <w:rFonts w:asciiTheme="minorHAnsi" w:eastAsiaTheme="minorEastAsia" w:hAnsiTheme="minorHAnsi" w:cstheme="minorBidi"/>
            <w:iCs w:val="0"/>
          </w:rPr>
          <w:tab/>
        </w:r>
        <w:r w:rsidR="007B3ADE" w:rsidRPr="00700A31">
          <w:rPr>
            <w:rStyle w:val="Hyperlink"/>
          </w:rPr>
          <w:t>Digester Gas Beneficial Use Program / Fuel Cell Project</w:t>
        </w:r>
        <w:r w:rsidR="007B3ADE">
          <w:rPr>
            <w:webHidden/>
          </w:rPr>
          <w:tab/>
        </w:r>
        <w:r w:rsidR="007B3ADE">
          <w:rPr>
            <w:webHidden/>
          </w:rPr>
          <w:fldChar w:fldCharType="begin"/>
        </w:r>
        <w:r w:rsidR="007B3ADE">
          <w:rPr>
            <w:webHidden/>
          </w:rPr>
          <w:instrText xml:space="preserve"> PAGEREF _Toc41680937 \h </w:instrText>
        </w:r>
        <w:r w:rsidR="007B3ADE">
          <w:rPr>
            <w:webHidden/>
          </w:rPr>
        </w:r>
        <w:r w:rsidR="007B3ADE">
          <w:rPr>
            <w:webHidden/>
          </w:rPr>
          <w:fldChar w:fldCharType="separate"/>
        </w:r>
        <w:r w:rsidR="00AA68F8">
          <w:rPr>
            <w:webHidden/>
          </w:rPr>
          <w:t>11-1</w:t>
        </w:r>
        <w:r w:rsidR="007B3ADE">
          <w:rPr>
            <w:webHidden/>
          </w:rPr>
          <w:fldChar w:fldCharType="end"/>
        </w:r>
      </w:hyperlink>
    </w:p>
    <w:p w14:paraId="7A74D670" w14:textId="18B1779C" w:rsidR="007B3ADE" w:rsidRDefault="00C723CB">
      <w:pPr>
        <w:pStyle w:val="TOC3"/>
        <w:tabs>
          <w:tab w:val="left" w:pos="1980"/>
        </w:tabs>
        <w:rPr>
          <w:rFonts w:asciiTheme="minorHAnsi" w:eastAsiaTheme="minorEastAsia" w:hAnsiTheme="minorHAnsi" w:cstheme="minorBidi"/>
          <w:iCs w:val="0"/>
        </w:rPr>
      </w:pPr>
      <w:hyperlink w:anchor="_Toc41680938" w:history="1">
        <w:r w:rsidR="007B3ADE" w:rsidRPr="00700A31">
          <w:rPr>
            <w:rStyle w:val="Hyperlink"/>
          </w:rPr>
          <w:t>11.1.2</w:t>
        </w:r>
        <w:r w:rsidR="007B3ADE">
          <w:rPr>
            <w:rFonts w:asciiTheme="minorHAnsi" w:eastAsiaTheme="minorEastAsia" w:hAnsiTheme="minorHAnsi" w:cstheme="minorBidi"/>
            <w:iCs w:val="0"/>
          </w:rPr>
          <w:tab/>
        </w:r>
        <w:r w:rsidR="007B3ADE" w:rsidRPr="00700A31">
          <w:rPr>
            <w:rStyle w:val="Hyperlink"/>
          </w:rPr>
          <w:t>Blower Electrification Project</w:t>
        </w:r>
        <w:r w:rsidR="007B3ADE">
          <w:rPr>
            <w:webHidden/>
          </w:rPr>
          <w:tab/>
        </w:r>
        <w:r w:rsidR="007B3ADE">
          <w:rPr>
            <w:webHidden/>
          </w:rPr>
          <w:fldChar w:fldCharType="begin"/>
        </w:r>
        <w:r w:rsidR="007B3ADE">
          <w:rPr>
            <w:webHidden/>
          </w:rPr>
          <w:instrText xml:space="preserve"> PAGEREF _Toc41680938 \h </w:instrText>
        </w:r>
        <w:r w:rsidR="007B3ADE">
          <w:rPr>
            <w:webHidden/>
          </w:rPr>
        </w:r>
        <w:r w:rsidR="007B3ADE">
          <w:rPr>
            <w:webHidden/>
          </w:rPr>
          <w:fldChar w:fldCharType="separate"/>
        </w:r>
        <w:r w:rsidR="00AA68F8">
          <w:rPr>
            <w:webHidden/>
          </w:rPr>
          <w:t>11-1</w:t>
        </w:r>
        <w:r w:rsidR="007B3ADE">
          <w:rPr>
            <w:webHidden/>
          </w:rPr>
          <w:fldChar w:fldCharType="end"/>
        </w:r>
      </w:hyperlink>
    </w:p>
    <w:p w14:paraId="6F5379DA" w14:textId="025761FE" w:rsidR="007B3ADE" w:rsidRDefault="00C723CB">
      <w:pPr>
        <w:pStyle w:val="TOC3"/>
        <w:tabs>
          <w:tab w:val="left" w:pos="1980"/>
        </w:tabs>
        <w:rPr>
          <w:rFonts w:asciiTheme="minorHAnsi" w:eastAsiaTheme="minorEastAsia" w:hAnsiTheme="minorHAnsi" w:cstheme="minorBidi"/>
          <w:iCs w:val="0"/>
        </w:rPr>
      </w:pPr>
      <w:hyperlink w:anchor="_Toc41680939" w:history="1">
        <w:r w:rsidR="007B3ADE" w:rsidRPr="00700A31">
          <w:rPr>
            <w:rStyle w:val="Hyperlink"/>
          </w:rPr>
          <w:t>11.1.3</w:t>
        </w:r>
        <w:r w:rsidR="007B3ADE">
          <w:rPr>
            <w:rFonts w:asciiTheme="minorHAnsi" w:eastAsiaTheme="minorEastAsia" w:hAnsiTheme="minorHAnsi" w:cstheme="minorBidi"/>
            <w:iCs w:val="0"/>
          </w:rPr>
          <w:tab/>
        </w:r>
        <w:r w:rsidR="007B3ADE" w:rsidRPr="00700A31">
          <w:rPr>
            <w:rStyle w:val="Hyperlink"/>
          </w:rPr>
          <w:t>Duty Flare and Backup Flare Replacement</w:t>
        </w:r>
        <w:r w:rsidR="007B3ADE">
          <w:rPr>
            <w:webHidden/>
          </w:rPr>
          <w:tab/>
        </w:r>
        <w:r w:rsidR="007B3ADE">
          <w:rPr>
            <w:webHidden/>
          </w:rPr>
          <w:fldChar w:fldCharType="begin"/>
        </w:r>
        <w:r w:rsidR="007B3ADE">
          <w:rPr>
            <w:webHidden/>
          </w:rPr>
          <w:instrText xml:space="preserve"> PAGEREF _Toc41680939 \h </w:instrText>
        </w:r>
        <w:r w:rsidR="007B3ADE">
          <w:rPr>
            <w:webHidden/>
          </w:rPr>
        </w:r>
        <w:r w:rsidR="007B3ADE">
          <w:rPr>
            <w:webHidden/>
          </w:rPr>
          <w:fldChar w:fldCharType="separate"/>
        </w:r>
        <w:r w:rsidR="00AA68F8">
          <w:rPr>
            <w:webHidden/>
          </w:rPr>
          <w:t>11-2</w:t>
        </w:r>
        <w:r w:rsidR="007B3ADE">
          <w:rPr>
            <w:webHidden/>
          </w:rPr>
          <w:fldChar w:fldCharType="end"/>
        </w:r>
      </w:hyperlink>
    </w:p>
    <w:p w14:paraId="70768113" w14:textId="3B2F752B" w:rsidR="007B3ADE" w:rsidRDefault="00C723CB">
      <w:pPr>
        <w:pStyle w:val="TOC3"/>
        <w:tabs>
          <w:tab w:val="left" w:pos="1980"/>
        </w:tabs>
        <w:rPr>
          <w:rFonts w:asciiTheme="minorHAnsi" w:eastAsiaTheme="minorEastAsia" w:hAnsiTheme="minorHAnsi" w:cstheme="minorBidi"/>
          <w:iCs w:val="0"/>
        </w:rPr>
      </w:pPr>
      <w:hyperlink w:anchor="_Toc41680940" w:history="1">
        <w:r w:rsidR="007B3ADE" w:rsidRPr="00700A31">
          <w:rPr>
            <w:rStyle w:val="Hyperlink"/>
          </w:rPr>
          <w:t>11.1.4</w:t>
        </w:r>
        <w:r w:rsidR="007B3ADE">
          <w:rPr>
            <w:rFonts w:asciiTheme="minorHAnsi" w:eastAsiaTheme="minorEastAsia" w:hAnsiTheme="minorHAnsi" w:cstheme="minorBidi"/>
            <w:iCs w:val="0"/>
          </w:rPr>
          <w:tab/>
        </w:r>
        <w:r w:rsidR="007B3ADE" w:rsidRPr="00700A31">
          <w:rPr>
            <w:rStyle w:val="Hyperlink"/>
          </w:rPr>
          <w:t>Arrowhead Lift Station Electrical Supply and Pump Conversion Project</w:t>
        </w:r>
        <w:r w:rsidR="007B3ADE">
          <w:rPr>
            <w:webHidden/>
          </w:rPr>
          <w:tab/>
        </w:r>
        <w:r w:rsidR="007B3ADE">
          <w:rPr>
            <w:webHidden/>
          </w:rPr>
          <w:fldChar w:fldCharType="begin"/>
        </w:r>
        <w:r w:rsidR="007B3ADE">
          <w:rPr>
            <w:webHidden/>
          </w:rPr>
          <w:instrText xml:space="preserve"> PAGEREF _Toc41680940 \h </w:instrText>
        </w:r>
        <w:r w:rsidR="007B3ADE">
          <w:rPr>
            <w:webHidden/>
          </w:rPr>
        </w:r>
        <w:r w:rsidR="007B3ADE">
          <w:rPr>
            <w:webHidden/>
          </w:rPr>
          <w:fldChar w:fldCharType="separate"/>
        </w:r>
        <w:r w:rsidR="00AA68F8">
          <w:rPr>
            <w:webHidden/>
          </w:rPr>
          <w:t>11-2</w:t>
        </w:r>
        <w:r w:rsidR="007B3ADE">
          <w:rPr>
            <w:webHidden/>
          </w:rPr>
          <w:fldChar w:fldCharType="end"/>
        </w:r>
      </w:hyperlink>
    </w:p>
    <w:p w14:paraId="0D42B0DD" w14:textId="1C9B88E2" w:rsidR="007B3ADE" w:rsidRDefault="00C723CB">
      <w:pPr>
        <w:pStyle w:val="TOC3"/>
        <w:tabs>
          <w:tab w:val="left" w:pos="1980"/>
        </w:tabs>
        <w:rPr>
          <w:rFonts w:asciiTheme="minorHAnsi" w:eastAsiaTheme="minorEastAsia" w:hAnsiTheme="minorHAnsi" w:cstheme="minorBidi"/>
          <w:iCs w:val="0"/>
        </w:rPr>
      </w:pPr>
      <w:hyperlink w:anchor="_Toc41680941" w:history="1">
        <w:r w:rsidR="007B3ADE" w:rsidRPr="00700A31">
          <w:rPr>
            <w:rStyle w:val="Hyperlink"/>
          </w:rPr>
          <w:t>11.1.5</w:t>
        </w:r>
        <w:r w:rsidR="007B3ADE">
          <w:rPr>
            <w:rFonts w:asciiTheme="minorHAnsi" w:eastAsiaTheme="minorEastAsia" w:hAnsiTheme="minorHAnsi" w:cstheme="minorBidi"/>
            <w:iCs w:val="0"/>
          </w:rPr>
          <w:tab/>
        </w:r>
        <w:r w:rsidR="007B3ADE" w:rsidRPr="00700A31">
          <w:rPr>
            <w:rStyle w:val="Hyperlink"/>
          </w:rPr>
          <w:t>Digester Gas Holder Project</w:t>
        </w:r>
        <w:r w:rsidR="007B3ADE">
          <w:rPr>
            <w:webHidden/>
          </w:rPr>
          <w:tab/>
        </w:r>
        <w:r w:rsidR="007B3ADE">
          <w:rPr>
            <w:webHidden/>
          </w:rPr>
          <w:fldChar w:fldCharType="begin"/>
        </w:r>
        <w:r w:rsidR="007B3ADE">
          <w:rPr>
            <w:webHidden/>
          </w:rPr>
          <w:instrText xml:space="preserve"> PAGEREF _Toc41680941 \h </w:instrText>
        </w:r>
        <w:r w:rsidR="007B3ADE">
          <w:rPr>
            <w:webHidden/>
          </w:rPr>
        </w:r>
        <w:r w:rsidR="007B3ADE">
          <w:rPr>
            <w:webHidden/>
          </w:rPr>
          <w:fldChar w:fldCharType="separate"/>
        </w:r>
        <w:r w:rsidR="00AA68F8">
          <w:rPr>
            <w:webHidden/>
          </w:rPr>
          <w:t>11-2</w:t>
        </w:r>
        <w:r w:rsidR="007B3ADE">
          <w:rPr>
            <w:webHidden/>
          </w:rPr>
          <w:fldChar w:fldCharType="end"/>
        </w:r>
      </w:hyperlink>
    </w:p>
    <w:p w14:paraId="5287C49B" w14:textId="29E508BA" w:rsidR="007B3ADE" w:rsidRDefault="00C723CB">
      <w:pPr>
        <w:pStyle w:val="TOC3"/>
        <w:tabs>
          <w:tab w:val="left" w:pos="1980"/>
        </w:tabs>
        <w:rPr>
          <w:rFonts w:asciiTheme="minorHAnsi" w:eastAsiaTheme="minorEastAsia" w:hAnsiTheme="minorHAnsi" w:cstheme="minorBidi"/>
          <w:iCs w:val="0"/>
        </w:rPr>
      </w:pPr>
      <w:hyperlink w:anchor="_Toc41680942" w:history="1">
        <w:r w:rsidR="007B3ADE" w:rsidRPr="00700A31">
          <w:rPr>
            <w:rStyle w:val="Hyperlink"/>
          </w:rPr>
          <w:t>11.1.6</w:t>
        </w:r>
        <w:r w:rsidR="007B3ADE">
          <w:rPr>
            <w:rFonts w:asciiTheme="minorHAnsi" w:eastAsiaTheme="minorEastAsia" w:hAnsiTheme="minorHAnsi" w:cstheme="minorBidi"/>
            <w:iCs w:val="0"/>
          </w:rPr>
          <w:tab/>
        </w:r>
        <w:r w:rsidR="007B3ADE" w:rsidRPr="00700A31">
          <w:rPr>
            <w:rStyle w:val="Hyperlink"/>
          </w:rPr>
          <w:t>Primary Metering Project</w:t>
        </w:r>
        <w:r w:rsidR="007B3ADE">
          <w:rPr>
            <w:webHidden/>
          </w:rPr>
          <w:tab/>
        </w:r>
        <w:r w:rsidR="007B3ADE">
          <w:rPr>
            <w:webHidden/>
          </w:rPr>
          <w:fldChar w:fldCharType="begin"/>
        </w:r>
        <w:r w:rsidR="007B3ADE">
          <w:rPr>
            <w:webHidden/>
          </w:rPr>
          <w:instrText xml:space="preserve"> PAGEREF _Toc41680942 \h </w:instrText>
        </w:r>
        <w:r w:rsidR="007B3ADE">
          <w:rPr>
            <w:webHidden/>
          </w:rPr>
        </w:r>
        <w:r w:rsidR="007B3ADE">
          <w:rPr>
            <w:webHidden/>
          </w:rPr>
          <w:fldChar w:fldCharType="separate"/>
        </w:r>
        <w:r w:rsidR="00AA68F8">
          <w:rPr>
            <w:webHidden/>
          </w:rPr>
          <w:t>11-2</w:t>
        </w:r>
        <w:r w:rsidR="007B3ADE">
          <w:rPr>
            <w:webHidden/>
          </w:rPr>
          <w:fldChar w:fldCharType="end"/>
        </w:r>
      </w:hyperlink>
    </w:p>
    <w:p w14:paraId="3D8E6299" w14:textId="7641A006" w:rsidR="007B3ADE" w:rsidRDefault="00C723CB">
      <w:pPr>
        <w:pStyle w:val="TOC3"/>
        <w:tabs>
          <w:tab w:val="left" w:pos="1980"/>
        </w:tabs>
        <w:rPr>
          <w:rFonts w:asciiTheme="minorHAnsi" w:eastAsiaTheme="minorEastAsia" w:hAnsiTheme="minorHAnsi" w:cstheme="minorBidi"/>
          <w:iCs w:val="0"/>
        </w:rPr>
      </w:pPr>
      <w:hyperlink w:anchor="_Toc41680943" w:history="1">
        <w:r w:rsidR="007B3ADE" w:rsidRPr="00700A31">
          <w:rPr>
            <w:rStyle w:val="Hyperlink"/>
          </w:rPr>
          <w:t>11.1.7</w:t>
        </w:r>
        <w:r w:rsidR="007B3ADE">
          <w:rPr>
            <w:rFonts w:asciiTheme="minorHAnsi" w:eastAsiaTheme="minorEastAsia" w:hAnsiTheme="minorHAnsi" w:cstheme="minorBidi"/>
            <w:iCs w:val="0"/>
          </w:rPr>
          <w:tab/>
        </w:r>
        <w:r w:rsidR="007B3ADE" w:rsidRPr="00700A31">
          <w:rPr>
            <w:rStyle w:val="Hyperlink"/>
          </w:rPr>
          <w:t>Clean Water Factory Tertiary Treatment System Design</w:t>
        </w:r>
        <w:r w:rsidR="007B3ADE">
          <w:rPr>
            <w:webHidden/>
          </w:rPr>
          <w:tab/>
        </w:r>
        <w:r w:rsidR="007B3ADE">
          <w:rPr>
            <w:webHidden/>
          </w:rPr>
          <w:fldChar w:fldCharType="begin"/>
        </w:r>
        <w:r w:rsidR="007B3ADE">
          <w:rPr>
            <w:webHidden/>
          </w:rPr>
          <w:instrText xml:space="preserve"> PAGEREF _Toc41680943 \h </w:instrText>
        </w:r>
        <w:r w:rsidR="007B3ADE">
          <w:rPr>
            <w:webHidden/>
          </w:rPr>
        </w:r>
        <w:r w:rsidR="007B3ADE">
          <w:rPr>
            <w:webHidden/>
          </w:rPr>
          <w:fldChar w:fldCharType="separate"/>
        </w:r>
        <w:r w:rsidR="00AA68F8">
          <w:rPr>
            <w:webHidden/>
          </w:rPr>
          <w:t>11-2</w:t>
        </w:r>
        <w:r w:rsidR="007B3ADE">
          <w:rPr>
            <w:webHidden/>
          </w:rPr>
          <w:fldChar w:fldCharType="end"/>
        </w:r>
      </w:hyperlink>
    </w:p>
    <w:p w14:paraId="1A695DD4" w14:textId="29AE0979" w:rsidR="007B3ADE" w:rsidRDefault="00C723CB">
      <w:pPr>
        <w:pStyle w:val="TOC3"/>
        <w:tabs>
          <w:tab w:val="left" w:pos="1980"/>
        </w:tabs>
        <w:rPr>
          <w:rFonts w:asciiTheme="minorHAnsi" w:eastAsiaTheme="minorEastAsia" w:hAnsiTheme="minorHAnsi" w:cstheme="minorBidi"/>
          <w:iCs w:val="0"/>
        </w:rPr>
      </w:pPr>
      <w:hyperlink w:anchor="_Toc41680944" w:history="1">
        <w:r w:rsidR="007B3ADE" w:rsidRPr="00700A31">
          <w:rPr>
            <w:rStyle w:val="Hyperlink"/>
          </w:rPr>
          <w:t>11.1.8</w:t>
        </w:r>
        <w:r w:rsidR="007B3ADE">
          <w:rPr>
            <w:rFonts w:asciiTheme="minorHAnsi" w:eastAsiaTheme="minorEastAsia" w:hAnsiTheme="minorHAnsi" w:cstheme="minorBidi"/>
            <w:iCs w:val="0"/>
          </w:rPr>
          <w:tab/>
        </w:r>
        <w:r w:rsidR="007B3ADE" w:rsidRPr="00700A31">
          <w:rPr>
            <w:rStyle w:val="Hyperlink"/>
          </w:rPr>
          <w:t>Receiving Station for Fats, Oils, Grease and Other Anaerobically Digestible Materials</w:t>
        </w:r>
        <w:r w:rsidR="007B3ADE">
          <w:rPr>
            <w:webHidden/>
          </w:rPr>
          <w:tab/>
        </w:r>
        <w:r w:rsidR="007B3ADE">
          <w:rPr>
            <w:webHidden/>
          </w:rPr>
          <w:fldChar w:fldCharType="begin"/>
        </w:r>
        <w:r w:rsidR="007B3ADE">
          <w:rPr>
            <w:webHidden/>
          </w:rPr>
          <w:instrText xml:space="preserve"> PAGEREF _Toc41680944 \h </w:instrText>
        </w:r>
        <w:r w:rsidR="007B3ADE">
          <w:rPr>
            <w:webHidden/>
          </w:rPr>
        </w:r>
        <w:r w:rsidR="007B3ADE">
          <w:rPr>
            <w:webHidden/>
          </w:rPr>
          <w:fldChar w:fldCharType="separate"/>
        </w:r>
        <w:r w:rsidR="00AA68F8">
          <w:rPr>
            <w:webHidden/>
          </w:rPr>
          <w:t>11-2</w:t>
        </w:r>
        <w:r w:rsidR="007B3ADE">
          <w:rPr>
            <w:webHidden/>
          </w:rPr>
          <w:fldChar w:fldCharType="end"/>
        </w:r>
      </w:hyperlink>
    </w:p>
    <w:p w14:paraId="5741441D" w14:textId="7B380C71" w:rsidR="007B3ADE" w:rsidRDefault="00C723CB">
      <w:pPr>
        <w:pStyle w:val="TOC2"/>
        <w:rPr>
          <w:rFonts w:asciiTheme="minorHAnsi" w:eastAsiaTheme="minorEastAsia" w:hAnsiTheme="minorHAnsi" w:cstheme="minorBidi"/>
          <w:noProof/>
        </w:rPr>
      </w:pPr>
      <w:hyperlink w:anchor="_Toc41680945" w:history="1">
        <w:r w:rsidR="007B3ADE" w:rsidRPr="00700A31">
          <w:rPr>
            <w:rStyle w:val="Hyperlink"/>
            <w:noProof/>
          </w:rPr>
          <w:t>11.2</w:t>
        </w:r>
        <w:r w:rsidR="007B3ADE">
          <w:rPr>
            <w:rFonts w:asciiTheme="minorHAnsi" w:eastAsiaTheme="minorEastAsia" w:hAnsiTheme="minorHAnsi" w:cstheme="minorBidi"/>
            <w:noProof/>
          </w:rPr>
          <w:tab/>
        </w:r>
        <w:r w:rsidR="007B3ADE" w:rsidRPr="00700A31">
          <w:rPr>
            <w:rStyle w:val="Hyperlink"/>
            <w:noProof/>
          </w:rPr>
          <w:t>Current Capital Improvement Projects</w:t>
        </w:r>
        <w:r w:rsidR="007B3ADE">
          <w:rPr>
            <w:noProof/>
            <w:webHidden/>
          </w:rPr>
          <w:tab/>
        </w:r>
        <w:r w:rsidR="007B3ADE">
          <w:rPr>
            <w:noProof/>
            <w:webHidden/>
          </w:rPr>
          <w:fldChar w:fldCharType="begin"/>
        </w:r>
        <w:r w:rsidR="007B3ADE">
          <w:rPr>
            <w:noProof/>
            <w:webHidden/>
          </w:rPr>
          <w:instrText xml:space="preserve"> PAGEREF _Toc41680945 \h </w:instrText>
        </w:r>
        <w:r w:rsidR="007B3ADE">
          <w:rPr>
            <w:noProof/>
            <w:webHidden/>
          </w:rPr>
        </w:r>
        <w:r w:rsidR="007B3ADE">
          <w:rPr>
            <w:noProof/>
            <w:webHidden/>
          </w:rPr>
          <w:fldChar w:fldCharType="separate"/>
        </w:r>
        <w:r w:rsidR="00AA68F8">
          <w:rPr>
            <w:noProof/>
            <w:webHidden/>
          </w:rPr>
          <w:t>11-3</w:t>
        </w:r>
        <w:r w:rsidR="007B3ADE">
          <w:rPr>
            <w:noProof/>
            <w:webHidden/>
          </w:rPr>
          <w:fldChar w:fldCharType="end"/>
        </w:r>
      </w:hyperlink>
    </w:p>
    <w:p w14:paraId="7DDEEBEA" w14:textId="7B5EE225" w:rsidR="007B3ADE" w:rsidRDefault="00C723CB">
      <w:pPr>
        <w:pStyle w:val="TOC2"/>
        <w:rPr>
          <w:rFonts w:asciiTheme="minorHAnsi" w:eastAsiaTheme="minorEastAsia" w:hAnsiTheme="minorHAnsi" w:cstheme="minorBidi"/>
          <w:noProof/>
        </w:rPr>
      </w:pPr>
      <w:hyperlink w:anchor="_Toc41680946" w:history="1">
        <w:r w:rsidR="007B3ADE" w:rsidRPr="00700A31">
          <w:rPr>
            <w:rStyle w:val="Hyperlink"/>
            <w:noProof/>
          </w:rPr>
          <w:t>11.3</w:t>
        </w:r>
        <w:r w:rsidR="007B3ADE">
          <w:rPr>
            <w:rFonts w:asciiTheme="minorHAnsi" w:eastAsiaTheme="minorEastAsia" w:hAnsiTheme="minorHAnsi" w:cstheme="minorBidi"/>
            <w:noProof/>
          </w:rPr>
          <w:tab/>
        </w:r>
        <w:r w:rsidR="007B3ADE" w:rsidRPr="00700A31">
          <w:rPr>
            <w:rStyle w:val="Hyperlink"/>
            <w:noProof/>
          </w:rPr>
          <w:t>2020 – 2040 CIP Implementation Road Map</w:t>
        </w:r>
        <w:r w:rsidR="007B3ADE">
          <w:rPr>
            <w:noProof/>
            <w:webHidden/>
          </w:rPr>
          <w:tab/>
        </w:r>
        <w:r w:rsidR="007B3ADE">
          <w:rPr>
            <w:noProof/>
            <w:webHidden/>
          </w:rPr>
          <w:fldChar w:fldCharType="begin"/>
        </w:r>
        <w:r w:rsidR="007B3ADE">
          <w:rPr>
            <w:noProof/>
            <w:webHidden/>
          </w:rPr>
          <w:instrText xml:space="preserve"> PAGEREF _Toc41680946 \h </w:instrText>
        </w:r>
        <w:r w:rsidR="007B3ADE">
          <w:rPr>
            <w:noProof/>
            <w:webHidden/>
          </w:rPr>
        </w:r>
        <w:r w:rsidR="007B3ADE">
          <w:rPr>
            <w:noProof/>
            <w:webHidden/>
          </w:rPr>
          <w:fldChar w:fldCharType="separate"/>
        </w:r>
        <w:r w:rsidR="00AA68F8">
          <w:rPr>
            <w:noProof/>
            <w:webHidden/>
          </w:rPr>
          <w:t>11-4</w:t>
        </w:r>
        <w:r w:rsidR="007B3ADE">
          <w:rPr>
            <w:noProof/>
            <w:webHidden/>
          </w:rPr>
          <w:fldChar w:fldCharType="end"/>
        </w:r>
      </w:hyperlink>
    </w:p>
    <w:p w14:paraId="6C0D78F9" w14:textId="3AB51310" w:rsidR="007B3ADE" w:rsidRDefault="00C723CB">
      <w:pPr>
        <w:pStyle w:val="TOC2"/>
        <w:rPr>
          <w:rFonts w:asciiTheme="minorHAnsi" w:eastAsiaTheme="minorEastAsia" w:hAnsiTheme="minorHAnsi" w:cstheme="minorBidi"/>
          <w:noProof/>
        </w:rPr>
      </w:pPr>
      <w:hyperlink w:anchor="_Toc41680947" w:history="1">
        <w:r w:rsidR="007B3ADE" w:rsidRPr="00700A31">
          <w:rPr>
            <w:rStyle w:val="Hyperlink"/>
            <w:noProof/>
          </w:rPr>
          <w:t>11.4</w:t>
        </w:r>
        <w:r w:rsidR="007B3ADE">
          <w:rPr>
            <w:rFonts w:asciiTheme="minorHAnsi" w:eastAsiaTheme="minorEastAsia" w:hAnsiTheme="minorHAnsi" w:cstheme="minorBidi"/>
            <w:noProof/>
          </w:rPr>
          <w:tab/>
        </w:r>
        <w:r w:rsidR="007B3ADE" w:rsidRPr="00700A31">
          <w:rPr>
            <w:rStyle w:val="Hyperlink"/>
            <w:noProof/>
          </w:rPr>
          <w:t>Unit 3 Expansion and Completion Project</w:t>
        </w:r>
        <w:r w:rsidR="007B3ADE">
          <w:rPr>
            <w:noProof/>
            <w:webHidden/>
          </w:rPr>
          <w:tab/>
        </w:r>
        <w:r w:rsidR="007B3ADE">
          <w:rPr>
            <w:noProof/>
            <w:webHidden/>
          </w:rPr>
          <w:fldChar w:fldCharType="begin"/>
        </w:r>
        <w:r w:rsidR="007B3ADE">
          <w:rPr>
            <w:noProof/>
            <w:webHidden/>
          </w:rPr>
          <w:instrText xml:space="preserve"> PAGEREF _Toc41680947 \h </w:instrText>
        </w:r>
        <w:r w:rsidR="007B3ADE">
          <w:rPr>
            <w:noProof/>
            <w:webHidden/>
          </w:rPr>
        </w:r>
        <w:r w:rsidR="007B3ADE">
          <w:rPr>
            <w:noProof/>
            <w:webHidden/>
          </w:rPr>
          <w:fldChar w:fldCharType="separate"/>
        </w:r>
        <w:r w:rsidR="00AA68F8">
          <w:rPr>
            <w:noProof/>
            <w:webHidden/>
          </w:rPr>
          <w:t>11-6</w:t>
        </w:r>
        <w:r w:rsidR="007B3ADE">
          <w:rPr>
            <w:noProof/>
            <w:webHidden/>
          </w:rPr>
          <w:fldChar w:fldCharType="end"/>
        </w:r>
      </w:hyperlink>
    </w:p>
    <w:p w14:paraId="5BE6EA28" w14:textId="28EEC9D1" w:rsidR="007B3ADE" w:rsidRDefault="00C723CB">
      <w:pPr>
        <w:pStyle w:val="TOC3"/>
        <w:tabs>
          <w:tab w:val="left" w:pos="1980"/>
        </w:tabs>
        <w:rPr>
          <w:rFonts w:asciiTheme="minorHAnsi" w:eastAsiaTheme="minorEastAsia" w:hAnsiTheme="minorHAnsi" w:cstheme="minorBidi"/>
          <w:iCs w:val="0"/>
        </w:rPr>
      </w:pPr>
      <w:hyperlink w:anchor="_Toc41680948" w:history="1">
        <w:r w:rsidR="007B3ADE" w:rsidRPr="00700A31">
          <w:rPr>
            <w:rStyle w:val="Hyperlink"/>
          </w:rPr>
          <w:t>11.4.1</w:t>
        </w:r>
        <w:r w:rsidR="007B3ADE">
          <w:rPr>
            <w:rFonts w:asciiTheme="minorHAnsi" w:eastAsiaTheme="minorEastAsia" w:hAnsiTheme="minorHAnsi" w:cstheme="minorBidi"/>
            <w:iCs w:val="0"/>
          </w:rPr>
          <w:tab/>
        </w:r>
        <w:r w:rsidR="007B3ADE" w:rsidRPr="00700A31">
          <w:rPr>
            <w:rStyle w:val="Hyperlink"/>
          </w:rPr>
          <w:t>Phasing</w:t>
        </w:r>
        <w:r w:rsidR="007B3ADE">
          <w:rPr>
            <w:webHidden/>
          </w:rPr>
          <w:tab/>
        </w:r>
        <w:r w:rsidR="007B3ADE">
          <w:rPr>
            <w:webHidden/>
          </w:rPr>
          <w:fldChar w:fldCharType="begin"/>
        </w:r>
        <w:r w:rsidR="007B3ADE">
          <w:rPr>
            <w:webHidden/>
          </w:rPr>
          <w:instrText xml:space="preserve"> PAGEREF _Toc41680948 \h </w:instrText>
        </w:r>
        <w:r w:rsidR="007B3ADE">
          <w:rPr>
            <w:webHidden/>
          </w:rPr>
        </w:r>
        <w:r w:rsidR="007B3ADE">
          <w:rPr>
            <w:webHidden/>
          </w:rPr>
          <w:fldChar w:fldCharType="separate"/>
        </w:r>
        <w:r w:rsidR="00AA68F8">
          <w:rPr>
            <w:webHidden/>
          </w:rPr>
          <w:t>11-6</w:t>
        </w:r>
        <w:r w:rsidR="007B3ADE">
          <w:rPr>
            <w:webHidden/>
          </w:rPr>
          <w:fldChar w:fldCharType="end"/>
        </w:r>
      </w:hyperlink>
    </w:p>
    <w:p w14:paraId="44B1EA8E" w14:textId="6AC6BFE9" w:rsidR="007B3ADE" w:rsidRDefault="00C723CB">
      <w:pPr>
        <w:pStyle w:val="TOC3"/>
        <w:tabs>
          <w:tab w:val="left" w:pos="1980"/>
        </w:tabs>
        <w:rPr>
          <w:rFonts w:asciiTheme="minorHAnsi" w:eastAsiaTheme="minorEastAsia" w:hAnsiTheme="minorHAnsi" w:cstheme="minorBidi"/>
          <w:iCs w:val="0"/>
        </w:rPr>
      </w:pPr>
      <w:hyperlink w:anchor="_Toc41680949" w:history="1">
        <w:r w:rsidR="007B3ADE" w:rsidRPr="00700A31">
          <w:rPr>
            <w:rStyle w:val="Hyperlink"/>
          </w:rPr>
          <w:t>11.4.2</w:t>
        </w:r>
        <w:r w:rsidR="007B3ADE">
          <w:rPr>
            <w:rFonts w:asciiTheme="minorHAnsi" w:eastAsiaTheme="minorEastAsia" w:hAnsiTheme="minorHAnsi" w:cstheme="minorBidi"/>
            <w:iCs w:val="0"/>
          </w:rPr>
          <w:tab/>
        </w:r>
        <w:r w:rsidR="007B3ADE" w:rsidRPr="00700A31">
          <w:rPr>
            <w:rStyle w:val="Hyperlink"/>
          </w:rPr>
          <w:t>Cost Comparison and Financing</w:t>
        </w:r>
        <w:r w:rsidR="007B3ADE">
          <w:rPr>
            <w:webHidden/>
          </w:rPr>
          <w:tab/>
        </w:r>
        <w:r w:rsidR="007B3ADE">
          <w:rPr>
            <w:webHidden/>
          </w:rPr>
          <w:fldChar w:fldCharType="begin"/>
        </w:r>
        <w:r w:rsidR="007B3ADE">
          <w:rPr>
            <w:webHidden/>
          </w:rPr>
          <w:instrText xml:space="preserve"> PAGEREF _Toc41680949 \h </w:instrText>
        </w:r>
        <w:r w:rsidR="007B3ADE">
          <w:rPr>
            <w:webHidden/>
          </w:rPr>
        </w:r>
        <w:r w:rsidR="007B3ADE">
          <w:rPr>
            <w:webHidden/>
          </w:rPr>
          <w:fldChar w:fldCharType="separate"/>
        </w:r>
        <w:r w:rsidR="00AA68F8">
          <w:rPr>
            <w:webHidden/>
          </w:rPr>
          <w:t>11-7</w:t>
        </w:r>
        <w:r w:rsidR="007B3ADE">
          <w:rPr>
            <w:webHidden/>
          </w:rPr>
          <w:fldChar w:fldCharType="end"/>
        </w:r>
      </w:hyperlink>
    </w:p>
    <w:p w14:paraId="7880243F" w14:textId="2912DE95" w:rsidR="007B3ADE" w:rsidRDefault="00C723CB">
      <w:pPr>
        <w:pStyle w:val="TOC2"/>
        <w:rPr>
          <w:rFonts w:asciiTheme="minorHAnsi" w:eastAsiaTheme="minorEastAsia" w:hAnsiTheme="minorHAnsi" w:cstheme="minorBidi"/>
          <w:noProof/>
        </w:rPr>
      </w:pPr>
      <w:hyperlink w:anchor="_Toc41680950" w:history="1">
        <w:r w:rsidR="007B3ADE" w:rsidRPr="00700A31">
          <w:rPr>
            <w:rStyle w:val="Hyperlink"/>
            <w:noProof/>
          </w:rPr>
          <w:t>11.5</w:t>
        </w:r>
        <w:r w:rsidR="007B3ADE">
          <w:rPr>
            <w:rFonts w:asciiTheme="minorHAnsi" w:eastAsiaTheme="minorEastAsia" w:hAnsiTheme="minorHAnsi" w:cstheme="minorBidi"/>
            <w:noProof/>
          </w:rPr>
          <w:tab/>
        </w:r>
        <w:r w:rsidR="007B3ADE" w:rsidRPr="00700A31">
          <w:rPr>
            <w:rStyle w:val="Hyperlink"/>
            <w:noProof/>
          </w:rPr>
          <w:t>Project Implementation</w:t>
        </w:r>
        <w:r w:rsidR="007B3ADE">
          <w:rPr>
            <w:noProof/>
            <w:webHidden/>
          </w:rPr>
          <w:tab/>
        </w:r>
        <w:r w:rsidR="007B3ADE">
          <w:rPr>
            <w:noProof/>
            <w:webHidden/>
          </w:rPr>
          <w:fldChar w:fldCharType="begin"/>
        </w:r>
        <w:r w:rsidR="007B3ADE">
          <w:rPr>
            <w:noProof/>
            <w:webHidden/>
          </w:rPr>
          <w:instrText xml:space="preserve"> PAGEREF _Toc41680950 \h </w:instrText>
        </w:r>
        <w:r w:rsidR="007B3ADE">
          <w:rPr>
            <w:noProof/>
            <w:webHidden/>
          </w:rPr>
        </w:r>
        <w:r w:rsidR="007B3ADE">
          <w:rPr>
            <w:noProof/>
            <w:webHidden/>
          </w:rPr>
          <w:fldChar w:fldCharType="separate"/>
        </w:r>
        <w:r w:rsidR="00AA68F8">
          <w:rPr>
            <w:noProof/>
            <w:webHidden/>
          </w:rPr>
          <w:t>11-8</w:t>
        </w:r>
        <w:r w:rsidR="007B3ADE">
          <w:rPr>
            <w:noProof/>
            <w:webHidden/>
          </w:rPr>
          <w:fldChar w:fldCharType="end"/>
        </w:r>
      </w:hyperlink>
    </w:p>
    <w:p w14:paraId="66FB7CD8" w14:textId="7D3E5B34" w:rsidR="007B3ADE" w:rsidRDefault="00C723CB">
      <w:pPr>
        <w:pStyle w:val="TOC3"/>
        <w:tabs>
          <w:tab w:val="left" w:pos="1980"/>
        </w:tabs>
        <w:rPr>
          <w:rFonts w:asciiTheme="minorHAnsi" w:eastAsiaTheme="minorEastAsia" w:hAnsiTheme="minorHAnsi" w:cstheme="minorBidi"/>
          <w:iCs w:val="0"/>
        </w:rPr>
      </w:pPr>
      <w:hyperlink w:anchor="_Toc41680951" w:history="1">
        <w:r w:rsidR="007B3ADE" w:rsidRPr="00700A31">
          <w:rPr>
            <w:rStyle w:val="Hyperlink"/>
          </w:rPr>
          <w:t>11.5.1</w:t>
        </w:r>
        <w:r w:rsidR="007B3ADE">
          <w:rPr>
            <w:rFonts w:asciiTheme="minorHAnsi" w:eastAsiaTheme="minorEastAsia" w:hAnsiTheme="minorHAnsi" w:cstheme="minorBidi"/>
            <w:iCs w:val="0"/>
          </w:rPr>
          <w:tab/>
        </w:r>
        <w:r w:rsidR="007B3ADE" w:rsidRPr="00700A31">
          <w:rPr>
            <w:rStyle w:val="Hyperlink"/>
          </w:rPr>
          <w:t>Near-Term Projects (1 to 5 Years)</w:t>
        </w:r>
        <w:r w:rsidR="007B3ADE">
          <w:rPr>
            <w:webHidden/>
          </w:rPr>
          <w:tab/>
        </w:r>
        <w:r w:rsidR="007B3ADE">
          <w:rPr>
            <w:webHidden/>
          </w:rPr>
          <w:fldChar w:fldCharType="begin"/>
        </w:r>
        <w:r w:rsidR="007B3ADE">
          <w:rPr>
            <w:webHidden/>
          </w:rPr>
          <w:instrText xml:space="preserve"> PAGEREF _Toc41680951 \h </w:instrText>
        </w:r>
        <w:r w:rsidR="007B3ADE">
          <w:rPr>
            <w:webHidden/>
          </w:rPr>
        </w:r>
        <w:r w:rsidR="007B3ADE">
          <w:rPr>
            <w:webHidden/>
          </w:rPr>
          <w:fldChar w:fldCharType="separate"/>
        </w:r>
        <w:r w:rsidR="00AA68F8">
          <w:rPr>
            <w:webHidden/>
          </w:rPr>
          <w:t>11-9</w:t>
        </w:r>
        <w:r w:rsidR="007B3ADE">
          <w:rPr>
            <w:webHidden/>
          </w:rPr>
          <w:fldChar w:fldCharType="end"/>
        </w:r>
      </w:hyperlink>
    </w:p>
    <w:p w14:paraId="58F16354" w14:textId="4D90E91F" w:rsidR="007B3ADE" w:rsidRDefault="00C723CB">
      <w:pPr>
        <w:pStyle w:val="TOC3"/>
        <w:tabs>
          <w:tab w:val="left" w:pos="1980"/>
        </w:tabs>
        <w:rPr>
          <w:rFonts w:asciiTheme="minorHAnsi" w:eastAsiaTheme="minorEastAsia" w:hAnsiTheme="minorHAnsi" w:cstheme="minorBidi"/>
          <w:iCs w:val="0"/>
        </w:rPr>
      </w:pPr>
      <w:hyperlink w:anchor="_Toc41680952" w:history="1">
        <w:r w:rsidR="007B3ADE" w:rsidRPr="00700A31">
          <w:rPr>
            <w:rStyle w:val="Hyperlink"/>
          </w:rPr>
          <w:t>11.5.2</w:t>
        </w:r>
        <w:r w:rsidR="007B3ADE">
          <w:rPr>
            <w:rFonts w:asciiTheme="minorHAnsi" w:eastAsiaTheme="minorEastAsia" w:hAnsiTheme="minorHAnsi" w:cstheme="minorBidi"/>
            <w:iCs w:val="0"/>
          </w:rPr>
          <w:tab/>
        </w:r>
        <w:r w:rsidR="007B3ADE" w:rsidRPr="00700A31">
          <w:rPr>
            <w:rStyle w:val="Hyperlink"/>
          </w:rPr>
          <w:t>Recommended Medium-Term Projects (6 to 10 Years)</w:t>
        </w:r>
        <w:r w:rsidR="007B3ADE">
          <w:rPr>
            <w:webHidden/>
          </w:rPr>
          <w:tab/>
        </w:r>
        <w:r w:rsidR="007B3ADE">
          <w:rPr>
            <w:webHidden/>
          </w:rPr>
          <w:fldChar w:fldCharType="begin"/>
        </w:r>
        <w:r w:rsidR="007B3ADE">
          <w:rPr>
            <w:webHidden/>
          </w:rPr>
          <w:instrText xml:space="preserve"> PAGEREF _Toc41680952 \h </w:instrText>
        </w:r>
        <w:r w:rsidR="007B3ADE">
          <w:rPr>
            <w:webHidden/>
          </w:rPr>
        </w:r>
        <w:r w:rsidR="007B3ADE">
          <w:rPr>
            <w:webHidden/>
          </w:rPr>
          <w:fldChar w:fldCharType="separate"/>
        </w:r>
        <w:r w:rsidR="00AA68F8">
          <w:rPr>
            <w:webHidden/>
          </w:rPr>
          <w:t>11-11</w:t>
        </w:r>
        <w:r w:rsidR="007B3ADE">
          <w:rPr>
            <w:webHidden/>
          </w:rPr>
          <w:fldChar w:fldCharType="end"/>
        </w:r>
      </w:hyperlink>
    </w:p>
    <w:p w14:paraId="3F7C66D5" w14:textId="42F7EC48" w:rsidR="007B3ADE" w:rsidRDefault="00C723CB">
      <w:pPr>
        <w:pStyle w:val="TOC3"/>
        <w:tabs>
          <w:tab w:val="left" w:pos="1980"/>
        </w:tabs>
        <w:rPr>
          <w:rFonts w:asciiTheme="minorHAnsi" w:eastAsiaTheme="minorEastAsia" w:hAnsiTheme="minorHAnsi" w:cstheme="minorBidi"/>
          <w:iCs w:val="0"/>
        </w:rPr>
      </w:pPr>
      <w:hyperlink w:anchor="_Toc41680953" w:history="1">
        <w:r w:rsidR="007B3ADE" w:rsidRPr="00700A31">
          <w:rPr>
            <w:rStyle w:val="Hyperlink"/>
          </w:rPr>
          <w:t>11.5.3</w:t>
        </w:r>
        <w:r w:rsidR="007B3ADE">
          <w:rPr>
            <w:rFonts w:asciiTheme="minorHAnsi" w:eastAsiaTheme="minorEastAsia" w:hAnsiTheme="minorHAnsi" w:cstheme="minorBidi"/>
            <w:iCs w:val="0"/>
          </w:rPr>
          <w:tab/>
        </w:r>
        <w:r w:rsidR="007B3ADE" w:rsidRPr="00700A31">
          <w:rPr>
            <w:rStyle w:val="Hyperlink"/>
          </w:rPr>
          <w:t>Recommended Long-Term Projects (11 to 20 Years)</w:t>
        </w:r>
        <w:r w:rsidR="007B3ADE">
          <w:rPr>
            <w:webHidden/>
          </w:rPr>
          <w:tab/>
        </w:r>
        <w:r w:rsidR="007B3ADE">
          <w:rPr>
            <w:webHidden/>
          </w:rPr>
          <w:fldChar w:fldCharType="begin"/>
        </w:r>
        <w:r w:rsidR="007B3ADE">
          <w:rPr>
            <w:webHidden/>
          </w:rPr>
          <w:instrText xml:space="preserve"> PAGEREF _Toc41680953 \h </w:instrText>
        </w:r>
        <w:r w:rsidR="007B3ADE">
          <w:rPr>
            <w:webHidden/>
          </w:rPr>
        </w:r>
        <w:r w:rsidR="007B3ADE">
          <w:rPr>
            <w:webHidden/>
          </w:rPr>
          <w:fldChar w:fldCharType="separate"/>
        </w:r>
        <w:r w:rsidR="00AA68F8">
          <w:rPr>
            <w:webHidden/>
          </w:rPr>
          <w:t>11-12</w:t>
        </w:r>
        <w:r w:rsidR="007B3ADE">
          <w:rPr>
            <w:webHidden/>
          </w:rPr>
          <w:fldChar w:fldCharType="end"/>
        </w:r>
      </w:hyperlink>
    </w:p>
    <w:p w14:paraId="2281C0A3" w14:textId="269D6E49" w:rsidR="007B3ADE" w:rsidRDefault="00C723CB">
      <w:pPr>
        <w:pStyle w:val="TOC2"/>
        <w:rPr>
          <w:rFonts w:asciiTheme="minorHAnsi" w:eastAsiaTheme="minorEastAsia" w:hAnsiTheme="minorHAnsi" w:cstheme="minorBidi"/>
          <w:noProof/>
        </w:rPr>
      </w:pPr>
      <w:hyperlink w:anchor="_Toc41680954" w:history="1">
        <w:r w:rsidR="007B3ADE" w:rsidRPr="00700A31">
          <w:rPr>
            <w:rStyle w:val="Hyperlink"/>
            <w:noProof/>
          </w:rPr>
          <w:t>11.6</w:t>
        </w:r>
        <w:r w:rsidR="007B3ADE">
          <w:rPr>
            <w:rFonts w:asciiTheme="minorHAnsi" w:eastAsiaTheme="minorEastAsia" w:hAnsiTheme="minorHAnsi" w:cstheme="minorBidi"/>
            <w:noProof/>
          </w:rPr>
          <w:tab/>
        </w:r>
        <w:r w:rsidR="007B3ADE" w:rsidRPr="00700A31">
          <w:rPr>
            <w:rStyle w:val="Hyperlink"/>
            <w:noProof/>
          </w:rPr>
          <w:t>CIP Summary</w:t>
        </w:r>
        <w:r w:rsidR="007B3ADE">
          <w:rPr>
            <w:noProof/>
            <w:webHidden/>
          </w:rPr>
          <w:tab/>
        </w:r>
        <w:r w:rsidR="007B3ADE">
          <w:rPr>
            <w:noProof/>
            <w:webHidden/>
          </w:rPr>
          <w:fldChar w:fldCharType="begin"/>
        </w:r>
        <w:r w:rsidR="007B3ADE">
          <w:rPr>
            <w:noProof/>
            <w:webHidden/>
          </w:rPr>
          <w:instrText xml:space="preserve"> PAGEREF _Toc41680954 \h </w:instrText>
        </w:r>
        <w:r w:rsidR="007B3ADE">
          <w:rPr>
            <w:noProof/>
            <w:webHidden/>
          </w:rPr>
        </w:r>
        <w:r w:rsidR="007B3ADE">
          <w:rPr>
            <w:noProof/>
            <w:webHidden/>
          </w:rPr>
          <w:fldChar w:fldCharType="separate"/>
        </w:r>
        <w:r w:rsidR="00AA68F8">
          <w:rPr>
            <w:noProof/>
            <w:webHidden/>
          </w:rPr>
          <w:t>11-13</w:t>
        </w:r>
        <w:r w:rsidR="007B3ADE">
          <w:rPr>
            <w:noProof/>
            <w:webHidden/>
          </w:rPr>
          <w:fldChar w:fldCharType="end"/>
        </w:r>
      </w:hyperlink>
    </w:p>
    <w:p w14:paraId="66C7FD16" w14:textId="15701EEB" w:rsidR="007B3ADE" w:rsidRDefault="00C723CB">
      <w:pPr>
        <w:pStyle w:val="TOC1"/>
        <w:rPr>
          <w:rFonts w:asciiTheme="minorHAnsi" w:eastAsiaTheme="minorEastAsia" w:hAnsiTheme="minorHAnsi" w:cstheme="minorBidi"/>
          <w:bCs w:val="0"/>
        </w:rPr>
      </w:pPr>
      <w:hyperlink w:anchor="_Toc41680955" w:history="1">
        <w:r w:rsidR="007B3ADE" w:rsidRPr="00700A31">
          <w:rPr>
            <w:rStyle w:val="Hyperlink"/>
          </w:rPr>
          <w:t>12.</w:t>
        </w:r>
        <w:r w:rsidR="007B3ADE">
          <w:rPr>
            <w:rFonts w:asciiTheme="minorHAnsi" w:eastAsiaTheme="minorEastAsia" w:hAnsiTheme="minorHAnsi" w:cstheme="minorBidi"/>
            <w:bCs w:val="0"/>
          </w:rPr>
          <w:tab/>
        </w:r>
        <w:r w:rsidR="007B3ADE" w:rsidRPr="00700A31">
          <w:rPr>
            <w:rStyle w:val="Hyperlink"/>
          </w:rPr>
          <w:t>References</w:t>
        </w:r>
        <w:r w:rsidR="007B3ADE">
          <w:rPr>
            <w:webHidden/>
          </w:rPr>
          <w:tab/>
        </w:r>
        <w:r w:rsidR="007B3ADE">
          <w:rPr>
            <w:webHidden/>
          </w:rPr>
          <w:fldChar w:fldCharType="begin"/>
        </w:r>
        <w:r w:rsidR="007B3ADE">
          <w:rPr>
            <w:webHidden/>
          </w:rPr>
          <w:instrText xml:space="preserve"> PAGEREF _Toc41680955 \h </w:instrText>
        </w:r>
        <w:r w:rsidR="007B3ADE">
          <w:rPr>
            <w:webHidden/>
          </w:rPr>
        </w:r>
        <w:r w:rsidR="007B3ADE">
          <w:rPr>
            <w:webHidden/>
          </w:rPr>
          <w:fldChar w:fldCharType="separate"/>
        </w:r>
        <w:r w:rsidR="00AA68F8">
          <w:rPr>
            <w:webHidden/>
          </w:rPr>
          <w:t>12-1</w:t>
        </w:r>
        <w:r w:rsidR="007B3ADE">
          <w:rPr>
            <w:webHidden/>
          </w:rPr>
          <w:fldChar w:fldCharType="end"/>
        </w:r>
      </w:hyperlink>
    </w:p>
    <w:p w14:paraId="00D7BE14" w14:textId="214526F6" w:rsidR="005920CD" w:rsidRPr="008A0812" w:rsidRDefault="005920CD" w:rsidP="005920CD">
      <w:r w:rsidRPr="008A0812">
        <w:rPr>
          <w:rFonts w:asciiTheme="minorHAnsi" w:eastAsiaTheme="minorEastAsia" w:hAnsiTheme="minorHAnsi" w:cstheme="minorBidi"/>
          <w:noProof/>
          <w:szCs w:val="24"/>
        </w:rPr>
        <w:fldChar w:fldCharType="end"/>
      </w:r>
    </w:p>
    <w:p w14:paraId="7635F10E" w14:textId="77777777" w:rsidR="00B25495" w:rsidRPr="008A0812" w:rsidRDefault="00B25495">
      <w:pPr>
        <w:overflowPunct/>
        <w:autoSpaceDE/>
        <w:autoSpaceDN/>
        <w:adjustRightInd/>
        <w:textAlignment w:val="auto"/>
        <w:rPr>
          <w:b/>
          <w:sz w:val="28"/>
          <w:szCs w:val="28"/>
        </w:rPr>
      </w:pPr>
      <w:r w:rsidRPr="008A0812">
        <w:rPr>
          <w:b/>
          <w:sz w:val="28"/>
          <w:szCs w:val="28"/>
        </w:rPr>
        <w:br w:type="page"/>
      </w:r>
    </w:p>
    <w:p w14:paraId="6FA3C1BB" w14:textId="25B04438" w:rsidR="005920CD" w:rsidRPr="008A0812" w:rsidRDefault="005920CD" w:rsidP="005920CD">
      <w:pPr>
        <w:spacing w:after="120"/>
        <w:jc w:val="center"/>
        <w:rPr>
          <w:b/>
          <w:sz w:val="28"/>
          <w:szCs w:val="28"/>
        </w:rPr>
      </w:pPr>
      <w:r w:rsidRPr="008A0812">
        <w:rPr>
          <w:b/>
          <w:sz w:val="28"/>
          <w:szCs w:val="28"/>
        </w:rPr>
        <w:t>TABLES</w:t>
      </w:r>
    </w:p>
    <w:p w14:paraId="717064CF" w14:textId="71A4D054" w:rsidR="00311F06" w:rsidRDefault="00AF40CB">
      <w:pPr>
        <w:pStyle w:val="TableofFigures"/>
        <w:rPr>
          <w:rFonts w:asciiTheme="minorHAnsi" w:eastAsiaTheme="minorEastAsia" w:hAnsiTheme="minorHAnsi" w:cstheme="minorBidi"/>
          <w:noProof/>
        </w:rPr>
      </w:pPr>
      <w:r w:rsidRPr="008A0812">
        <w:fldChar w:fldCharType="begin"/>
      </w:r>
      <w:r w:rsidRPr="008A0812">
        <w:instrText xml:space="preserve"> TOC \h \z \c "Table" </w:instrText>
      </w:r>
      <w:r w:rsidRPr="008A0812">
        <w:fldChar w:fldCharType="separate"/>
      </w:r>
      <w:hyperlink w:anchor="_Toc41684721" w:history="1">
        <w:r w:rsidR="00311F06" w:rsidRPr="00757EDB">
          <w:rPr>
            <w:rStyle w:val="Hyperlink"/>
            <w:noProof/>
          </w:rPr>
          <w:t>Table 1</w:t>
        </w:r>
        <w:r w:rsidR="00311F06" w:rsidRPr="00757EDB">
          <w:rPr>
            <w:rStyle w:val="Hyperlink"/>
            <w:noProof/>
          </w:rPr>
          <w:noBreakHyphen/>
          <w:t>1: Major Systems and Components</w:t>
        </w:r>
        <w:r w:rsidR="00311F06">
          <w:rPr>
            <w:noProof/>
            <w:webHidden/>
          </w:rPr>
          <w:tab/>
        </w:r>
        <w:r w:rsidR="00311F06">
          <w:rPr>
            <w:noProof/>
            <w:webHidden/>
          </w:rPr>
          <w:fldChar w:fldCharType="begin"/>
        </w:r>
        <w:r w:rsidR="00311F06">
          <w:rPr>
            <w:noProof/>
            <w:webHidden/>
          </w:rPr>
          <w:instrText xml:space="preserve"> PAGEREF _Toc41684721 \h </w:instrText>
        </w:r>
        <w:r w:rsidR="00311F06">
          <w:rPr>
            <w:noProof/>
            <w:webHidden/>
          </w:rPr>
        </w:r>
        <w:r w:rsidR="00311F06">
          <w:rPr>
            <w:noProof/>
            <w:webHidden/>
          </w:rPr>
          <w:fldChar w:fldCharType="separate"/>
        </w:r>
        <w:r w:rsidR="00AA68F8">
          <w:rPr>
            <w:noProof/>
            <w:webHidden/>
          </w:rPr>
          <w:t>1-4</w:t>
        </w:r>
        <w:r w:rsidR="00311F06">
          <w:rPr>
            <w:noProof/>
            <w:webHidden/>
          </w:rPr>
          <w:fldChar w:fldCharType="end"/>
        </w:r>
      </w:hyperlink>
    </w:p>
    <w:p w14:paraId="7FD84E29" w14:textId="539601DE" w:rsidR="00311F06" w:rsidRDefault="00C723CB">
      <w:pPr>
        <w:pStyle w:val="TableofFigures"/>
        <w:rPr>
          <w:rFonts w:asciiTheme="minorHAnsi" w:eastAsiaTheme="minorEastAsia" w:hAnsiTheme="minorHAnsi" w:cstheme="minorBidi"/>
          <w:noProof/>
        </w:rPr>
      </w:pPr>
      <w:hyperlink w:anchor="_Toc41684722" w:history="1">
        <w:r w:rsidR="00311F06" w:rsidRPr="00757EDB">
          <w:rPr>
            <w:rStyle w:val="Hyperlink"/>
            <w:noProof/>
          </w:rPr>
          <w:t>Table 1</w:t>
        </w:r>
        <w:r w:rsidR="00311F06" w:rsidRPr="00757EDB">
          <w:rPr>
            <w:rStyle w:val="Hyperlink"/>
            <w:noProof/>
          </w:rPr>
          <w:noBreakHyphen/>
          <w:t>2: Influent Lift Station Design Information</w:t>
        </w:r>
        <w:r w:rsidR="00311F06">
          <w:rPr>
            <w:noProof/>
            <w:webHidden/>
          </w:rPr>
          <w:tab/>
        </w:r>
        <w:r w:rsidR="00311F06">
          <w:rPr>
            <w:noProof/>
            <w:webHidden/>
          </w:rPr>
          <w:fldChar w:fldCharType="begin"/>
        </w:r>
        <w:r w:rsidR="00311F06">
          <w:rPr>
            <w:noProof/>
            <w:webHidden/>
          </w:rPr>
          <w:instrText xml:space="preserve"> PAGEREF _Toc41684722 \h </w:instrText>
        </w:r>
        <w:r w:rsidR="00311F06">
          <w:rPr>
            <w:noProof/>
            <w:webHidden/>
          </w:rPr>
        </w:r>
        <w:r w:rsidR="00311F06">
          <w:rPr>
            <w:noProof/>
            <w:webHidden/>
          </w:rPr>
          <w:fldChar w:fldCharType="separate"/>
        </w:r>
        <w:r w:rsidR="00AA68F8">
          <w:rPr>
            <w:noProof/>
            <w:webHidden/>
          </w:rPr>
          <w:t>1-6</w:t>
        </w:r>
        <w:r w:rsidR="00311F06">
          <w:rPr>
            <w:noProof/>
            <w:webHidden/>
          </w:rPr>
          <w:fldChar w:fldCharType="end"/>
        </w:r>
      </w:hyperlink>
    </w:p>
    <w:p w14:paraId="283B6991" w14:textId="751136F6" w:rsidR="00311F06" w:rsidRDefault="00C723CB">
      <w:pPr>
        <w:pStyle w:val="TableofFigures"/>
        <w:rPr>
          <w:rFonts w:asciiTheme="minorHAnsi" w:eastAsiaTheme="minorEastAsia" w:hAnsiTheme="minorHAnsi" w:cstheme="minorBidi"/>
          <w:noProof/>
        </w:rPr>
      </w:pPr>
      <w:hyperlink w:anchor="_Toc41684723" w:history="1">
        <w:r w:rsidR="00311F06" w:rsidRPr="00757EDB">
          <w:rPr>
            <w:rStyle w:val="Hyperlink"/>
            <w:noProof/>
          </w:rPr>
          <w:t>Table 1</w:t>
        </w:r>
        <w:r w:rsidR="00311F06" w:rsidRPr="00757EDB">
          <w:rPr>
            <w:rStyle w:val="Hyperlink"/>
            <w:noProof/>
          </w:rPr>
          <w:noBreakHyphen/>
          <w:t>3: Bar Screen Design Information</w:t>
        </w:r>
        <w:r w:rsidR="00311F06">
          <w:rPr>
            <w:noProof/>
            <w:webHidden/>
          </w:rPr>
          <w:tab/>
        </w:r>
        <w:r w:rsidR="00311F06">
          <w:rPr>
            <w:noProof/>
            <w:webHidden/>
          </w:rPr>
          <w:fldChar w:fldCharType="begin"/>
        </w:r>
        <w:r w:rsidR="00311F06">
          <w:rPr>
            <w:noProof/>
            <w:webHidden/>
          </w:rPr>
          <w:instrText xml:space="preserve"> PAGEREF _Toc41684723 \h </w:instrText>
        </w:r>
        <w:r w:rsidR="00311F06">
          <w:rPr>
            <w:noProof/>
            <w:webHidden/>
          </w:rPr>
        </w:r>
        <w:r w:rsidR="00311F06">
          <w:rPr>
            <w:noProof/>
            <w:webHidden/>
          </w:rPr>
          <w:fldChar w:fldCharType="separate"/>
        </w:r>
        <w:r w:rsidR="00AA68F8">
          <w:rPr>
            <w:noProof/>
            <w:webHidden/>
          </w:rPr>
          <w:t>1-7</w:t>
        </w:r>
        <w:r w:rsidR="00311F06">
          <w:rPr>
            <w:noProof/>
            <w:webHidden/>
          </w:rPr>
          <w:fldChar w:fldCharType="end"/>
        </w:r>
      </w:hyperlink>
    </w:p>
    <w:p w14:paraId="0A4D9E18" w14:textId="4D58373C" w:rsidR="00311F06" w:rsidRDefault="00C723CB">
      <w:pPr>
        <w:pStyle w:val="TableofFigures"/>
        <w:rPr>
          <w:rFonts w:asciiTheme="minorHAnsi" w:eastAsiaTheme="minorEastAsia" w:hAnsiTheme="minorHAnsi" w:cstheme="minorBidi"/>
          <w:noProof/>
        </w:rPr>
      </w:pPr>
      <w:hyperlink w:anchor="_Toc41684724" w:history="1">
        <w:r w:rsidR="00311F06" w:rsidRPr="00757EDB">
          <w:rPr>
            <w:rStyle w:val="Hyperlink"/>
            <w:noProof/>
          </w:rPr>
          <w:t>Table 1</w:t>
        </w:r>
        <w:r w:rsidR="00311F06" w:rsidRPr="00757EDB">
          <w:rPr>
            <w:rStyle w:val="Hyperlink"/>
            <w:noProof/>
          </w:rPr>
          <w:noBreakHyphen/>
          <w:t>4: Grit Removal Design Information</w:t>
        </w:r>
        <w:r w:rsidR="00311F06">
          <w:rPr>
            <w:noProof/>
            <w:webHidden/>
          </w:rPr>
          <w:tab/>
        </w:r>
        <w:r w:rsidR="00311F06">
          <w:rPr>
            <w:noProof/>
            <w:webHidden/>
          </w:rPr>
          <w:fldChar w:fldCharType="begin"/>
        </w:r>
        <w:r w:rsidR="00311F06">
          <w:rPr>
            <w:noProof/>
            <w:webHidden/>
          </w:rPr>
          <w:instrText xml:space="preserve"> PAGEREF _Toc41684724 \h </w:instrText>
        </w:r>
        <w:r w:rsidR="00311F06">
          <w:rPr>
            <w:noProof/>
            <w:webHidden/>
          </w:rPr>
        </w:r>
        <w:r w:rsidR="00311F06">
          <w:rPr>
            <w:noProof/>
            <w:webHidden/>
          </w:rPr>
          <w:fldChar w:fldCharType="separate"/>
        </w:r>
        <w:r w:rsidR="00AA68F8">
          <w:rPr>
            <w:noProof/>
            <w:webHidden/>
          </w:rPr>
          <w:t>1-7</w:t>
        </w:r>
        <w:r w:rsidR="00311F06">
          <w:rPr>
            <w:noProof/>
            <w:webHidden/>
          </w:rPr>
          <w:fldChar w:fldCharType="end"/>
        </w:r>
      </w:hyperlink>
    </w:p>
    <w:p w14:paraId="5EB6BDF5" w14:textId="158315E1" w:rsidR="00311F06" w:rsidRDefault="00C723CB">
      <w:pPr>
        <w:pStyle w:val="TableofFigures"/>
        <w:rPr>
          <w:rFonts w:asciiTheme="minorHAnsi" w:eastAsiaTheme="minorEastAsia" w:hAnsiTheme="minorHAnsi" w:cstheme="minorBidi"/>
          <w:noProof/>
        </w:rPr>
      </w:pPr>
      <w:hyperlink w:anchor="_Toc41684725" w:history="1">
        <w:r w:rsidR="00311F06" w:rsidRPr="00757EDB">
          <w:rPr>
            <w:rStyle w:val="Hyperlink"/>
            <w:noProof/>
          </w:rPr>
          <w:t>Table 1</w:t>
        </w:r>
        <w:r w:rsidR="00311F06" w:rsidRPr="00757EDB">
          <w:rPr>
            <w:rStyle w:val="Hyperlink"/>
            <w:noProof/>
          </w:rPr>
          <w:noBreakHyphen/>
          <w:t>5: Primary Clarifier Design Information</w:t>
        </w:r>
        <w:r w:rsidR="00311F06">
          <w:rPr>
            <w:noProof/>
            <w:webHidden/>
          </w:rPr>
          <w:tab/>
        </w:r>
        <w:r w:rsidR="00311F06">
          <w:rPr>
            <w:noProof/>
            <w:webHidden/>
          </w:rPr>
          <w:fldChar w:fldCharType="begin"/>
        </w:r>
        <w:r w:rsidR="00311F06">
          <w:rPr>
            <w:noProof/>
            <w:webHidden/>
          </w:rPr>
          <w:instrText xml:space="preserve"> PAGEREF _Toc41684725 \h </w:instrText>
        </w:r>
        <w:r w:rsidR="00311F06">
          <w:rPr>
            <w:noProof/>
            <w:webHidden/>
          </w:rPr>
        </w:r>
        <w:r w:rsidR="00311F06">
          <w:rPr>
            <w:noProof/>
            <w:webHidden/>
          </w:rPr>
          <w:fldChar w:fldCharType="separate"/>
        </w:r>
        <w:r w:rsidR="00AA68F8">
          <w:rPr>
            <w:noProof/>
            <w:webHidden/>
          </w:rPr>
          <w:t>1-9</w:t>
        </w:r>
        <w:r w:rsidR="00311F06">
          <w:rPr>
            <w:noProof/>
            <w:webHidden/>
          </w:rPr>
          <w:fldChar w:fldCharType="end"/>
        </w:r>
      </w:hyperlink>
    </w:p>
    <w:p w14:paraId="23A24589" w14:textId="3562BE97" w:rsidR="00311F06" w:rsidRDefault="00C723CB">
      <w:pPr>
        <w:pStyle w:val="TableofFigures"/>
        <w:rPr>
          <w:rFonts w:asciiTheme="minorHAnsi" w:eastAsiaTheme="minorEastAsia" w:hAnsiTheme="minorHAnsi" w:cstheme="minorBidi"/>
          <w:noProof/>
        </w:rPr>
      </w:pPr>
      <w:hyperlink w:anchor="_Toc41684726" w:history="1">
        <w:r w:rsidR="00311F06" w:rsidRPr="00757EDB">
          <w:rPr>
            <w:rStyle w:val="Hyperlink"/>
            <w:noProof/>
          </w:rPr>
          <w:t>Table 1</w:t>
        </w:r>
        <w:r w:rsidR="00311F06" w:rsidRPr="00757EDB">
          <w:rPr>
            <w:rStyle w:val="Hyperlink"/>
            <w:noProof/>
          </w:rPr>
          <w:noBreakHyphen/>
          <w:t>6: Primary Sludge and Scum Pumping Design Information</w:t>
        </w:r>
        <w:r w:rsidR="00311F06">
          <w:rPr>
            <w:noProof/>
            <w:webHidden/>
          </w:rPr>
          <w:tab/>
        </w:r>
        <w:r w:rsidR="00311F06">
          <w:rPr>
            <w:noProof/>
            <w:webHidden/>
          </w:rPr>
          <w:fldChar w:fldCharType="begin"/>
        </w:r>
        <w:r w:rsidR="00311F06">
          <w:rPr>
            <w:noProof/>
            <w:webHidden/>
          </w:rPr>
          <w:instrText xml:space="preserve"> PAGEREF _Toc41684726 \h </w:instrText>
        </w:r>
        <w:r w:rsidR="00311F06">
          <w:rPr>
            <w:noProof/>
            <w:webHidden/>
          </w:rPr>
        </w:r>
        <w:r w:rsidR="00311F06">
          <w:rPr>
            <w:noProof/>
            <w:webHidden/>
          </w:rPr>
          <w:fldChar w:fldCharType="separate"/>
        </w:r>
        <w:r w:rsidR="00AA68F8">
          <w:rPr>
            <w:noProof/>
            <w:webHidden/>
          </w:rPr>
          <w:t>1-10</w:t>
        </w:r>
        <w:r w:rsidR="00311F06">
          <w:rPr>
            <w:noProof/>
            <w:webHidden/>
          </w:rPr>
          <w:fldChar w:fldCharType="end"/>
        </w:r>
      </w:hyperlink>
    </w:p>
    <w:p w14:paraId="235250F8" w14:textId="4EC01527" w:rsidR="00311F06" w:rsidRDefault="00C723CB">
      <w:pPr>
        <w:pStyle w:val="TableofFigures"/>
        <w:rPr>
          <w:rFonts w:asciiTheme="minorHAnsi" w:eastAsiaTheme="minorEastAsia" w:hAnsiTheme="minorHAnsi" w:cstheme="minorBidi"/>
          <w:noProof/>
        </w:rPr>
      </w:pPr>
      <w:hyperlink w:anchor="_Toc41684727" w:history="1">
        <w:r w:rsidR="00311F06" w:rsidRPr="00757EDB">
          <w:rPr>
            <w:rStyle w:val="Hyperlink"/>
            <w:noProof/>
          </w:rPr>
          <w:t>Table 1</w:t>
        </w:r>
        <w:r w:rsidR="00311F06" w:rsidRPr="00757EDB">
          <w:rPr>
            <w:rStyle w:val="Hyperlink"/>
            <w:noProof/>
          </w:rPr>
          <w:noBreakHyphen/>
          <w:t>7: Aeration Basin Design Information</w:t>
        </w:r>
        <w:r w:rsidR="00311F06">
          <w:rPr>
            <w:noProof/>
            <w:webHidden/>
          </w:rPr>
          <w:tab/>
        </w:r>
        <w:r w:rsidR="00311F06">
          <w:rPr>
            <w:noProof/>
            <w:webHidden/>
          </w:rPr>
          <w:fldChar w:fldCharType="begin"/>
        </w:r>
        <w:r w:rsidR="00311F06">
          <w:rPr>
            <w:noProof/>
            <w:webHidden/>
          </w:rPr>
          <w:instrText xml:space="preserve"> PAGEREF _Toc41684727 \h </w:instrText>
        </w:r>
        <w:r w:rsidR="00311F06">
          <w:rPr>
            <w:noProof/>
            <w:webHidden/>
          </w:rPr>
        </w:r>
        <w:r w:rsidR="00311F06">
          <w:rPr>
            <w:noProof/>
            <w:webHidden/>
          </w:rPr>
          <w:fldChar w:fldCharType="separate"/>
        </w:r>
        <w:r w:rsidR="00AA68F8">
          <w:rPr>
            <w:noProof/>
            <w:webHidden/>
          </w:rPr>
          <w:t>1-11</w:t>
        </w:r>
        <w:r w:rsidR="00311F06">
          <w:rPr>
            <w:noProof/>
            <w:webHidden/>
          </w:rPr>
          <w:fldChar w:fldCharType="end"/>
        </w:r>
      </w:hyperlink>
    </w:p>
    <w:p w14:paraId="27F8F66A" w14:textId="08A90D7A" w:rsidR="00311F06" w:rsidRDefault="00C723CB">
      <w:pPr>
        <w:pStyle w:val="TableofFigures"/>
        <w:rPr>
          <w:rFonts w:asciiTheme="minorHAnsi" w:eastAsiaTheme="minorEastAsia" w:hAnsiTheme="minorHAnsi" w:cstheme="minorBidi"/>
          <w:noProof/>
        </w:rPr>
      </w:pPr>
      <w:hyperlink w:anchor="_Toc41684728" w:history="1">
        <w:r w:rsidR="00311F06" w:rsidRPr="00757EDB">
          <w:rPr>
            <w:rStyle w:val="Hyperlink"/>
            <w:noProof/>
          </w:rPr>
          <w:t>Table 1</w:t>
        </w:r>
        <w:r w:rsidR="00311F06" w:rsidRPr="00757EDB">
          <w:rPr>
            <w:rStyle w:val="Hyperlink"/>
            <w:noProof/>
          </w:rPr>
          <w:noBreakHyphen/>
          <w:t>8: Secondary Clarifier Design Information</w:t>
        </w:r>
        <w:r w:rsidR="00311F06">
          <w:rPr>
            <w:noProof/>
            <w:webHidden/>
          </w:rPr>
          <w:tab/>
        </w:r>
        <w:r w:rsidR="00311F06">
          <w:rPr>
            <w:noProof/>
            <w:webHidden/>
          </w:rPr>
          <w:fldChar w:fldCharType="begin"/>
        </w:r>
        <w:r w:rsidR="00311F06">
          <w:rPr>
            <w:noProof/>
            <w:webHidden/>
          </w:rPr>
          <w:instrText xml:space="preserve"> PAGEREF _Toc41684728 \h </w:instrText>
        </w:r>
        <w:r w:rsidR="00311F06">
          <w:rPr>
            <w:noProof/>
            <w:webHidden/>
          </w:rPr>
        </w:r>
        <w:r w:rsidR="00311F06">
          <w:rPr>
            <w:noProof/>
            <w:webHidden/>
          </w:rPr>
          <w:fldChar w:fldCharType="separate"/>
        </w:r>
        <w:r w:rsidR="00AA68F8">
          <w:rPr>
            <w:noProof/>
            <w:webHidden/>
          </w:rPr>
          <w:t>1-11</w:t>
        </w:r>
        <w:r w:rsidR="00311F06">
          <w:rPr>
            <w:noProof/>
            <w:webHidden/>
          </w:rPr>
          <w:fldChar w:fldCharType="end"/>
        </w:r>
      </w:hyperlink>
    </w:p>
    <w:p w14:paraId="1511FC74" w14:textId="5DAC6026" w:rsidR="00311F06" w:rsidRDefault="00C723CB">
      <w:pPr>
        <w:pStyle w:val="TableofFigures"/>
        <w:rPr>
          <w:rFonts w:asciiTheme="minorHAnsi" w:eastAsiaTheme="minorEastAsia" w:hAnsiTheme="minorHAnsi" w:cstheme="minorBidi"/>
          <w:noProof/>
        </w:rPr>
      </w:pPr>
      <w:hyperlink w:anchor="_Toc41684729" w:history="1">
        <w:r w:rsidR="00311F06" w:rsidRPr="00757EDB">
          <w:rPr>
            <w:rStyle w:val="Hyperlink"/>
            <w:noProof/>
          </w:rPr>
          <w:t>Table 1</w:t>
        </w:r>
        <w:r w:rsidR="00311F06" w:rsidRPr="00757EDB">
          <w:rPr>
            <w:rStyle w:val="Hyperlink"/>
            <w:noProof/>
          </w:rPr>
          <w:noBreakHyphen/>
          <w:t>9: Secondary Aeration System Design Information</w:t>
        </w:r>
        <w:r w:rsidR="00311F06">
          <w:rPr>
            <w:noProof/>
            <w:webHidden/>
          </w:rPr>
          <w:tab/>
        </w:r>
        <w:r w:rsidR="00311F06">
          <w:rPr>
            <w:noProof/>
            <w:webHidden/>
          </w:rPr>
          <w:fldChar w:fldCharType="begin"/>
        </w:r>
        <w:r w:rsidR="00311F06">
          <w:rPr>
            <w:noProof/>
            <w:webHidden/>
          </w:rPr>
          <w:instrText xml:space="preserve"> PAGEREF _Toc41684729 \h </w:instrText>
        </w:r>
        <w:r w:rsidR="00311F06">
          <w:rPr>
            <w:noProof/>
            <w:webHidden/>
          </w:rPr>
        </w:r>
        <w:r w:rsidR="00311F06">
          <w:rPr>
            <w:noProof/>
            <w:webHidden/>
          </w:rPr>
          <w:fldChar w:fldCharType="separate"/>
        </w:r>
        <w:r w:rsidR="00AA68F8">
          <w:rPr>
            <w:noProof/>
            <w:webHidden/>
          </w:rPr>
          <w:t>1-12</w:t>
        </w:r>
        <w:r w:rsidR="00311F06">
          <w:rPr>
            <w:noProof/>
            <w:webHidden/>
          </w:rPr>
          <w:fldChar w:fldCharType="end"/>
        </w:r>
      </w:hyperlink>
    </w:p>
    <w:p w14:paraId="6E0EAD9A" w14:textId="24789F8D" w:rsidR="00311F06" w:rsidRDefault="00C723CB">
      <w:pPr>
        <w:pStyle w:val="TableofFigures"/>
        <w:rPr>
          <w:rFonts w:asciiTheme="minorHAnsi" w:eastAsiaTheme="minorEastAsia" w:hAnsiTheme="minorHAnsi" w:cstheme="minorBidi"/>
          <w:noProof/>
        </w:rPr>
      </w:pPr>
      <w:hyperlink w:anchor="_Toc41684730" w:history="1">
        <w:r w:rsidR="00311F06" w:rsidRPr="00757EDB">
          <w:rPr>
            <w:rStyle w:val="Hyperlink"/>
            <w:noProof/>
          </w:rPr>
          <w:t>Table 1</w:t>
        </w:r>
        <w:r w:rsidR="00311F06" w:rsidRPr="00757EDB">
          <w:rPr>
            <w:rStyle w:val="Hyperlink"/>
            <w:noProof/>
          </w:rPr>
          <w:noBreakHyphen/>
          <w:t>10: RAS Pumping Design Information</w:t>
        </w:r>
        <w:r w:rsidR="00311F06">
          <w:rPr>
            <w:noProof/>
            <w:webHidden/>
          </w:rPr>
          <w:tab/>
        </w:r>
        <w:r w:rsidR="00311F06">
          <w:rPr>
            <w:noProof/>
            <w:webHidden/>
          </w:rPr>
          <w:fldChar w:fldCharType="begin"/>
        </w:r>
        <w:r w:rsidR="00311F06">
          <w:rPr>
            <w:noProof/>
            <w:webHidden/>
          </w:rPr>
          <w:instrText xml:space="preserve"> PAGEREF _Toc41684730 \h </w:instrText>
        </w:r>
        <w:r w:rsidR="00311F06">
          <w:rPr>
            <w:noProof/>
            <w:webHidden/>
          </w:rPr>
        </w:r>
        <w:r w:rsidR="00311F06">
          <w:rPr>
            <w:noProof/>
            <w:webHidden/>
          </w:rPr>
          <w:fldChar w:fldCharType="separate"/>
        </w:r>
        <w:r w:rsidR="00AA68F8">
          <w:rPr>
            <w:noProof/>
            <w:webHidden/>
          </w:rPr>
          <w:t>1-13</w:t>
        </w:r>
        <w:r w:rsidR="00311F06">
          <w:rPr>
            <w:noProof/>
            <w:webHidden/>
          </w:rPr>
          <w:fldChar w:fldCharType="end"/>
        </w:r>
      </w:hyperlink>
    </w:p>
    <w:p w14:paraId="4426E761" w14:textId="4E409158" w:rsidR="00311F06" w:rsidRDefault="00C723CB">
      <w:pPr>
        <w:pStyle w:val="TableofFigures"/>
        <w:rPr>
          <w:rFonts w:asciiTheme="minorHAnsi" w:eastAsiaTheme="minorEastAsia" w:hAnsiTheme="minorHAnsi" w:cstheme="minorBidi"/>
          <w:noProof/>
        </w:rPr>
      </w:pPr>
      <w:hyperlink w:anchor="_Toc41684731" w:history="1">
        <w:r w:rsidR="00311F06" w:rsidRPr="00757EDB">
          <w:rPr>
            <w:rStyle w:val="Hyperlink"/>
            <w:noProof/>
          </w:rPr>
          <w:t>Table 1</w:t>
        </w:r>
        <w:r w:rsidR="00311F06" w:rsidRPr="00757EDB">
          <w:rPr>
            <w:rStyle w:val="Hyperlink"/>
            <w:noProof/>
          </w:rPr>
          <w:noBreakHyphen/>
          <w:t>11: WAS Pumping Design Information</w:t>
        </w:r>
        <w:r w:rsidR="00311F06">
          <w:rPr>
            <w:noProof/>
            <w:webHidden/>
          </w:rPr>
          <w:tab/>
        </w:r>
        <w:r w:rsidR="00311F06">
          <w:rPr>
            <w:noProof/>
            <w:webHidden/>
          </w:rPr>
          <w:fldChar w:fldCharType="begin"/>
        </w:r>
        <w:r w:rsidR="00311F06">
          <w:rPr>
            <w:noProof/>
            <w:webHidden/>
          </w:rPr>
          <w:instrText xml:space="preserve"> PAGEREF _Toc41684731 \h </w:instrText>
        </w:r>
        <w:r w:rsidR="00311F06">
          <w:rPr>
            <w:noProof/>
            <w:webHidden/>
          </w:rPr>
        </w:r>
        <w:r w:rsidR="00311F06">
          <w:rPr>
            <w:noProof/>
            <w:webHidden/>
          </w:rPr>
          <w:fldChar w:fldCharType="separate"/>
        </w:r>
        <w:r w:rsidR="00AA68F8">
          <w:rPr>
            <w:noProof/>
            <w:webHidden/>
          </w:rPr>
          <w:t>1-14</w:t>
        </w:r>
        <w:r w:rsidR="00311F06">
          <w:rPr>
            <w:noProof/>
            <w:webHidden/>
          </w:rPr>
          <w:fldChar w:fldCharType="end"/>
        </w:r>
      </w:hyperlink>
    </w:p>
    <w:p w14:paraId="23874696" w14:textId="1C14D09B" w:rsidR="00311F06" w:rsidRDefault="00C723CB">
      <w:pPr>
        <w:pStyle w:val="TableofFigures"/>
        <w:rPr>
          <w:rFonts w:asciiTheme="minorHAnsi" w:eastAsiaTheme="minorEastAsia" w:hAnsiTheme="minorHAnsi" w:cstheme="minorBidi"/>
          <w:noProof/>
        </w:rPr>
      </w:pPr>
      <w:hyperlink w:anchor="_Toc41684732" w:history="1">
        <w:r w:rsidR="00311F06" w:rsidRPr="00757EDB">
          <w:rPr>
            <w:rStyle w:val="Hyperlink"/>
            <w:noProof/>
          </w:rPr>
          <w:t>Table 1</w:t>
        </w:r>
        <w:r w:rsidR="00311F06" w:rsidRPr="00757EDB">
          <w:rPr>
            <w:rStyle w:val="Hyperlink"/>
            <w:noProof/>
          </w:rPr>
          <w:noBreakHyphen/>
          <w:t>12: NRC Design Information</w:t>
        </w:r>
        <w:r w:rsidR="00311F06">
          <w:rPr>
            <w:noProof/>
            <w:webHidden/>
          </w:rPr>
          <w:tab/>
        </w:r>
        <w:r w:rsidR="00311F06">
          <w:rPr>
            <w:noProof/>
            <w:webHidden/>
          </w:rPr>
          <w:fldChar w:fldCharType="begin"/>
        </w:r>
        <w:r w:rsidR="00311F06">
          <w:rPr>
            <w:noProof/>
            <w:webHidden/>
          </w:rPr>
          <w:instrText xml:space="preserve"> PAGEREF _Toc41684732 \h </w:instrText>
        </w:r>
        <w:r w:rsidR="00311F06">
          <w:rPr>
            <w:noProof/>
            <w:webHidden/>
          </w:rPr>
        </w:r>
        <w:r w:rsidR="00311F06">
          <w:rPr>
            <w:noProof/>
            <w:webHidden/>
          </w:rPr>
          <w:fldChar w:fldCharType="separate"/>
        </w:r>
        <w:r w:rsidR="00AA68F8">
          <w:rPr>
            <w:noProof/>
            <w:webHidden/>
          </w:rPr>
          <w:t>1-14</w:t>
        </w:r>
        <w:r w:rsidR="00311F06">
          <w:rPr>
            <w:noProof/>
            <w:webHidden/>
          </w:rPr>
          <w:fldChar w:fldCharType="end"/>
        </w:r>
      </w:hyperlink>
    </w:p>
    <w:p w14:paraId="17ABB3DF" w14:textId="68D9DC55" w:rsidR="00311F06" w:rsidRDefault="00C723CB">
      <w:pPr>
        <w:pStyle w:val="TableofFigures"/>
        <w:rPr>
          <w:rFonts w:asciiTheme="minorHAnsi" w:eastAsiaTheme="minorEastAsia" w:hAnsiTheme="minorHAnsi" w:cstheme="minorBidi"/>
          <w:noProof/>
        </w:rPr>
      </w:pPr>
      <w:hyperlink w:anchor="_Toc41684733" w:history="1">
        <w:r w:rsidR="00311F06" w:rsidRPr="00757EDB">
          <w:rPr>
            <w:rStyle w:val="Hyperlink"/>
            <w:noProof/>
          </w:rPr>
          <w:t>Table 1</w:t>
        </w:r>
        <w:r w:rsidR="00311F06" w:rsidRPr="00757EDB">
          <w:rPr>
            <w:rStyle w:val="Hyperlink"/>
            <w:noProof/>
          </w:rPr>
          <w:noBreakHyphen/>
          <w:t>13: Solids Thickening Design Information</w:t>
        </w:r>
        <w:r w:rsidR="00311F06">
          <w:rPr>
            <w:noProof/>
            <w:webHidden/>
          </w:rPr>
          <w:tab/>
        </w:r>
        <w:r w:rsidR="00311F06">
          <w:rPr>
            <w:noProof/>
            <w:webHidden/>
          </w:rPr>
          <w:fldChar w:fldCharType="begin"/>
        </w:r>
        <w:r w:rsidR="00311F06">
          <w:rPr>
            <w:noProof/>
            <w:webHidden/>
          </w:rPr>
          <w:instrText xml:space="preserve"> PAGEREF _Toc41684733 \h </w:instrText>
        </w:r>
        <w:r w:rsidR="00311F06">
          <w:rPr>
            <w:noProof/>
            <w:webHidden/>
          </w:rPr>
        </w:r>
        <w:r w:rsidR="00311F06">
          <w:rPr>
            <w:noProof/>
            <w:webHidden/>
          </w:rPr>
          <w:fldChar w:fldCharType="separate"/>
        </w:r>
        <w:r w:rsidR="00AA68F8">
          <w:rPr>
            <w:noProof/>
            <w:webHidden/>
          </w:rPr>
          <w:t>1-15</w:t>
        </w:r>
        <w:r w:rsidR="00311F06">
          <w:rPr>
            <w:noProof/>
            <w:webHidden/>
          </w:rPr>
          <w:fldChar w:fldCharType="end"/>
        </w:r>
      </w:hyperlink>
    </w:p>
    <w:p w14:paraId="31204183" w14:textId="11A9D68F" w:rsidR="00311F06" w:rsidRDefault="00C723CB">
      <w:pPr>
        <w:pStyle w:val="TableofFigures"/>
        <w:rPr>
          <w:rFonts w:asciiTheme="minorHAnsi" w:eastAsiaTheme="minorEastAsia" w:hAnsiTheme="minorHAnsi" w:cstheme="minorBidi"/>
          <w:noProof/>
        </w:rPr>
      </w:pPr>
      <w:hyperlink w:anchor="_Toc41684734" w:history="1">
        <w:r w:rsidR="00311F06" w:rsidRPr="00757EDB">
          <w:rPr>
            <w:rStyle w:val="Hyperlink"/>
            <w:noProof/>
          </w:rPr>
          <w:t>Table 1</w:t>
        </w:r>
        <w:r w:rsidR="00311F06" w:rsidRPr="00757EDB">
          <w:rPr>
            <w:rStyle w:val="Hyperlink"/>
            <w:noProof/>
          </w:rPr>
          <w:noBreakHyphen/>
          <w:t>14: Anaerobic Digestion Design Information</w:t>
        </w:r>
        <w:r w:rsidR="00311F06">
          <w:rPr>
            <w:noProof/>
            <w:webHidden/>
          </w:rPr>
          <w:tab/>
        </w:r>
        <w:r w:rsidR="00311F06">
          <w:rPr>
            <w:noProof/>
            <w:webHidden/>
          </w:rPr>
          <w:fldChar w:fldCharType="begin"/>
        </w:r>
        <w:r w:rsidR="00311F06">
          <w:rPr>
            <w:noProof/>
            <w:webHidden/>
          </w:rPr>
          <w:instrText xml:space="preserve"> PAGEREF _Toc41684734 \h </w:instrText>
        </w:r>
        <w:r w:rsidR="00311F06">
          <w:rPr>
            <w:noProof/>
            <w:webHidden/>
          </w:rPr>
        </w:r>
        <w:r w:rsidR="00311F06">
          <w:rPr>
            <w:noProof/>
            <w:webHidden/>
          </w:rPr>
          <w:fldChar w:fldCharType="separate"/>
        </w:r>
        <w:r w:rsidR="00AA68F8">
          <w:rPr>
            <w:noProof/>
            <w:webHidden/>
          </w:rPr>
          <w:t>1-16</w:t>
        </w:r>
        <w:r w:rsidR="00311F06">
          <w:rPr>
            <w:noProof/>
            <w:webHidden/>
          </w:rPr>
          <w:fldChar w:fldCharType="end"/>
        </w:r>
      </w:hyperlink>
    </w:p>
    <w:p w14:paraId="3D7E0DB7" w14:textId="719257D9" w:rsidR="00311F06" w:rsidRDefault="00C723CB">
      <w:pPr>
        <w:pStyle w:val="TableofFigures"/>
        <w:rPr>
          <w:rFonts w:asciiTheme="minorHAnsi" w:eastAsiaTheme="minorEastAsia" w:hAnsiTheme="minorHAnsi" w:cstheme="minorBidi"/>
          <w:noProof/>
        </w:rPr>
      </w:pPr>
      <w:hyperlink w:anchor="_Toc41684735" w:history="1">
        <w:r w:rsidR="00311F06" w:rsidRPr="00757EDB">
          <w:rPr>
            <w:rStyle w:val="Hyperlink"/>
            <w:noProof/>
          </w:rPr>
          <w:t>Table 1</w:t>
        </w:r>
        <w:r w:rsidR="00311F06" w:rsidRPr="00757EDB">
          <w:rPr>
            <w:rStyle w:val="Hyperlink"/>
            <w:noProof/>
          </w:rPr>
          <w:noBreakHyphen/>
          <w:t>15: Dewatering Design Information</w:t>
        </w:r>
        <w:r w:rsidR="00311F06">
          <w:rPr>
            <w:noProof/>
            <w:webHidden/>
          </w:rPr>
          <w:tab/>
        </w:r>
        <w:r w:rsidR="00311F06">
          <w:rPr>
            <w:noProof/>
            <w:webHidden/>
          </w:rPr>
          <w:fldChar w:fldCharType="begin"/>
        </w:r>
        <w:r w:rsidR="00311F06">
          <w:rPr>
            <w:noProof/>
            <w:webHidden/>
          </w:rPr>
          <w:instrText xml:space="preserve"> PAGEREF _Toc41684735 \h </w:instrText>
        </w:r>
        <w:r w:rsidR="00311F06">
          <w:rPr>
            <w:noProof/>
            <w:webHidden/>
          </w:rPr>
        </w:r>
        <w:r w:rsidR="00311F06">
          <w:rPr>
            <w:noProof/>
            <w:webHidden/>
          </w:rPr>
          <w:fldChar w:fldCharType="separate"/>
        </w:r>
        <w:r w:rsidR="00AA68F8">
          <w:rPr>
            <w:noProof/>
            <w:webHidden/>
          </w:rPr>
          <w:t>1-17</w:t>
        </w:r>
        <w:r w:rsidR="00311F06">
          <w:rPr>
            <w:noProof/>
            <w:webHidden/>
          </w:rPr>
          <w:fldChar w:fldCharType="end"/>
        </w:r>
      </w:hyperlink>
    </w:p>
    <w:p w14:paraId="27E0F821" w14:textId="5740DB70" w:rsidR="00311F06" w:rsidRDefault="00C723CB">
      <w:pPr>
        <w:pStyle w:val="TableofFigures"/>
        <w:rPr>
          <w:rFonts w:asciiTheme="minorHAnsi" w:eastAsiaTheme="minorEastAsia" w:hAnsiTheme="minorHAnsi" w:cstheme="minorBidi"/>
          <w:noProof/>
        </w:rPr>
      </w:pPr>
      <w:hyperlink w:anchor="_Toc41684736" w:history="1">
        <w:r w:rsidR="00311F06" w:rsidRPr="00757EDB">
          <w:rPr>
            <w:rStyle w:val="Hyperlink"/>
            <w:noProof/>
          </w:rPr>
          <w:t>Table 1</w:t>
        </w:r>
        <w:r w:rsidR="00311F06" w:rsidRPr="00757EDB">
          <w:rPr>
            <w:rStyle w:val="Hyperlink"/>
            <w:noProof/>
          </w:rPr>
          <w:noBreakHyphen/>
          <w:t>16: Solids Storage Design Information</w:t>
        </w:r>
        <w:r w:rsidR="00311F06">
          <w:rPr>
            <w:noProof/>
            <w:webHidden/>
          </w:rPr>
          <w:tab/>
        </w:r>
        <w:r w:rsidR="00311F06">
          <w:rPr>
            <w:noProof/>
            <w:webHidden/>
          </w:rPr>
          <w:fldChar w:fldCharType="begin"/>
        </w:r>
        <w:r w:rsidR="00311F06">
          <w:rPr>
            <w:noProof/>
            <w:webHidden/>
          </w:rPr>
          <w:instrText xml:space="preserve"> PAGEREF _Toc41684736 \h </w:instrText>
        </w:r>
        <w:r w:rsidR="00311F06">
          <w:rPr>
            <w:noProof/>
            <w:webHidden/>
          </w:rPr>
        </w:r>
        <w:r w:rsidR="00311F06">
          <w:rPr>
            <w:noProof/>
            <w:webHidden/>
          </w:rPr>
          <w:fldChar w:fldCharType="separate"/>
        </w:r>
        <w:r w:rsidR="00AA68F8">
          <w:rPr>
            <w:noProof/>
            <w:webHidden/>
          </w:rPr>
          <w:t>1-17</w:t>
        </w:r>
        <w:r w:rsidR="00311F06">
          <w:rPr>
            <w:noProof/>
            <w:webHidden/>
          </w:rPr>
          <w:fldChar w:fldCharType="end"/>
        </w:r>
      </w:hyperlink>
    </w:p>
    <w:p w14:paraId="7C9BCADF" w14:textId="251B67BE" w:rsidR="00311F06" w:rsidRDefault="00C723CB">
      <w:pPr>
        <w:pStyle w:val="TableofFigures"/>
        <w:rPr>
          <w:rFonts w:asciiTheme="minorHAnsi" w:eastAsiaTheme="minorEastAsia" w:hAnsiTheme="minorHAnsi" w:cstheme="minorBidi"/>
          <w:noProof/>
        </w:rPr>
      </w:pPr>
      <w:hyperlink w:anchor="_Toc41684737" w:history="1">
        <w:r w:rsidR="00311F06" w:rsidRPr="00757EDB">
          <w:rPr>
            <w:rStyle w:val="Hyperlink"/>
            <w:noProof/>
          </w:rPr>
          <w:t>Table 1</w:t>
        </w:r>
        <w:r w:rsidR="00311F06" w:rsidRPr="00757EDB">
          <w:rPr>
            <w:rStyle w:val="Hyperlink"/>
            <w:noProof/>
          </w:rPr>
          <w:noBreakHyphen/>
          <w:t>17: Chlorine Disinfection Design Information</w:t>
        </w:r>
        <w:r w:rsidR="00311F06">
          <w:rPr>
            <w:noProof/>
            <w:webHidden/>
          </w:rPr>
          <w:tab/>
        </w:r>
        <w:r w:rsidR="00311F06">
          <w:rPr>
            <w:noProof/>
            <w:webHidden/>
          </w:rPr>
          <w:fldChar w:fldCharType="begin"/>
        </w:r>
        <w:r w:rsidR="00311F06">
          <w:rPr>
            <w:noProof/>
            <w:webHidden/>
          </w:rPr>
          <w:instrText xml:space="preserve"> PAGEREF _Toc41684737 \h </w:instrText>
        </w:r>
        <w:r w:rsidR="00311F06">
          <w:rPr>
            <w:noProof/>
            <w:webHidden/>
          </w:rPr>
        </w:r>
        <w:r w:rsidR="00311F06">
          <w:rPr>
            <w:noProof/>
            <w:webHidden/>
          </w:rPr>
          <w:fldChar w:fldCharType="separate"/>
        </w:r>
        <w:r w:rsidR="00AA68F8">
          <w:rPr>
            <w:noProof/>
            <w:webHidden/>
          </w:rPr>
          <w:t>1-18</w:t>
        </w:r>
        <w:r w:rsidR="00311F06">
          <w:rPr>
            <w:noProof/>
            <w:webHidden/>
          </w:rPr>
          <w:fldChar w:fldCharType="end"/>
        </w:r>
      </w:hyperlink>
    </w:p>
    <w:p w14:paraId="7FC2D8C0" w14:textId="4C82174B" w:rsidR="00311F06" w:rsidRDefault="00C723CB">
      <w:pPr>
        <w:pStyle w:val="TableofFigures"/>
        <w:rPr>
          <w:rFonts w:asciiTheme="minorHAnsi" w:eastAsiaTheme="minorEastAsia" w:hAnsiTheme="minorHAnsi" w:cstheme="minorBidi"/>
          <w:noProof/>
        </w:rPr>
      </w:pPr>
      <w:hyperlink w:anchor="_Toc41684738" w:history="1">
        <w:r w:rsidR="00311F06" w:rsidRPr="00757EDB">
          <w:rPr>
            <w:rStyle w:val="Hyperlink"/>
            <w:noProof/>
          </w:rPr>
          <w:t>Table 2</w:t>
        </w:r>
        <w:r w:rsidR="00311F06" w:rsidRPr="00757EDB">
          <w:rPr>
            <w:rStyle w:val="Hyperlink"/>
            <w:noProof/>
          </w:rPr>
          <w:noBreakHyphen/>
          <w:t>1: Sources of Information</w:t>
        </w:r>
        <w:r w:rsidR="00311F06">
          <w:rPr>
            <w:noProof/>
            <w:webHidden/>
          </w:rPr>
          <w:tab/>
        </w:r>
        <w:r w:rsidR="00311F06">
          <w:rPr>
            <w:noProof/>
            <w:webHidden/>
          </w:rPr>
          <w:fldChar w:fldCharType="begin"/>
        </w:r>
        <w:r w:rsidR="00311F06">
          <w:rPr>
            <w:noProof/>
            <w:webHidden/>
          </w:rPr>
          <w:instrText xml:space="preserve"> PAGEREF _Toc41684738 \h </w:instrText>
        </w:r>
        <w:r w:rsidR="00311F06">
          <w:rPr>
            <w:noProof/>
            <w:webHidden/>
          </w:rPr>
        </w:r>
        <w:r w:rsidR="00311F06">
          <w:rPr>
            <w:noProof/>
            <w:webHidden/>
          </w:rPr>
          <w:fldChar w:fldCharType="separate"/>
        </w:r>
        <w:r w:rsidR="00AA68F8">
          <w:rPr>
            <w:noProof/>
            <w:webHidden/>
          </w:rPr>
          <w:t>2-2</w:t>
        </w:r>
        <w:r w:rsidR="00311F06">
          <w:rPr>
            <w:noProof/>
            <w:webHidden/>
          </w:rPr>
          <w:fldChar w:fldCharType="end"/>
        </w:r>
      </w:hyperlink>
    </w:p>
    <w:p w14:paraId="710234CF" w14:textId="4B00972F" w:rsidR="00311F06" w:rsidRDefault="00C723CB">
      <w:pPr>
        <w:pStyle w:val="TableofFigures"/>
        <w:rPr>
          <w:rFonts w:asciiTheme="minorHAnsi" w:eastAsiaTheme="minorEastAsia" w:hAnsiTheme="minorHAnsi" w:cstheme="minorBidi"/>
          <w:noProof/>
        </w:rPr>
      </w:pPr>
      <w:hyperlink w:anchor="_Toc41684739" w:history="1">
        <w:r w:rsidR="00311F06" w:rsidRPr="00757EDB">
          <w:rPr>
            <w:rStyle w:val="Hyperlink"/>
            <w:noProof/>
          </w:rPr>
          <w:t>Table 2</w:t>
        </w:r>
        <w:r w:rsidR="00311F06" w:rsidRPr="00757EDB">
          <w:rPr>
            <w:rStyle w:val="Hyperlink"/>
            <w:noProof/>
          </w:rPr>
          <w:noBreakHyphen/>
          <w:t>2: Typical Asset Attributes for Water and Wastewater Treatment Facilities</w:t>
        </w:r>
        <w:r w:rsidR="00311F06">
          <w:rPr>
            <w:noProof/>
            <w:webHidden/>
          </w:rPr>
          <w:tab/>
        </w:r>
        <w:r w:rsidR="00311F06">
          <w:rPr>
            <w:noProof/>
            <w:webHidden/>
          </w:rPr>
          <w:fldChar w:fldCharType="begin"/>
        </w:r>
        <w:r w:rsidR="00311F06">
          <w:rPr>
            <w:noProof/>
            <w:webHidden/>
          </w:rPr>
          <w:instrText xml:space="preserve"> PAGEREF _Toc41684739 \h </w:instrText>
        </w:r>
        <w:r w:rsidR="00311F06">
          <w:rPr>
            <w:noProof/>
            <w:webHidden/>
          </w:rPr>
        </w:r>
        <w:r w:rsidR="00311F06">
          <w:rPr>
            <w:noProof/>
            <w:webHidden/>
          </w:rPr>
          <w:fldChar w:fldCharType="separate"/>
        </w:r>
        <w:r w:rsidR="00AA68F8">
          <w:rPr>
            <w:noProof/>
            <w:webHidden/>
          </w:rPr>
          <w:t>2-5</w:t>
        </w:r>
        <w:r w:rsidR="00311F06">
          <w:rPr>
            <w:noProof/>
            <w:webHidden/>
          </w:rPr>
          <w:fldChar w:fldCharType="end"/>
        </w:r>
      </w:hyperlink>
    </w:p>
    <w:p w14:paraId="7CB0DB29" w14:textId="60810DB2" w:rsidR="00311F06" w:rsidRDefault="00C723CB">
      <w:pPr>
        <w:pStyle w:val="TableofFigures"/>
        <w:rPr>
          <w:rFonts w:asciiTheme="minorHAnsi" w:eastAsiaTheme="minorEastAsia" w:hAnsiTheme="minorHAnsi" w:cstheme="minorBidi"/>
          <w:noProof/>
        </w:rPr>
      </w:pPr>
      <w:hyperlink w:anchor="_Toc41684740" w:history="1">
        <w:r w:rsidR="00311F06" w:rsidRPr="00757EDB">
          <w:rPr>
            <w:rStyle w:val="Hyperlink"/>
            <w:noProof/>
          </w:rPr>
          <w:t>Table 2</w:t>
        </w:r>
        <w:r w:rsidR="00311F06" w:rsidRPr="00757EDB">
          <w:rPr>
            <w:rStyle w:val="Hyperlink"/>
            <w:noProof/>
          </w:rPr>
          <w:noBreakHyphen/>
          <w:t>3: Typical Asset Attributes for Water and Wastewater Treatment Facilities</w:t>
        </w:r>
        <w:r w:rsidR="00311F06">
          <w:rPr>
            <w:noProof/>
            <w:webHidden/>
          </w:rPr>
          <w:tab/>
        </w:r>
        <w:r w:rsidR="00311F06">
          <w:rPr>
            <w:noProof/>
            <w:webHidden/>
          </w:rPr>
          <w:fldChar w:fldCharType="begin"/>
        </w:r>
        <w:r w:rsidR="00311F06">
          <w:rPr>
            <w:noProof/>
            <w:webHidden/>
          </w:rPr>
          <w:instrText xml:space="preserve"> PAGEREF _Toc41684740 \h </w:instrText>
        </w:r>
        <w:r w:rsidR="00311F06">
          <w:rPr>
            <w:noProof/>
            <w:webHidden/>
          </w:rPr>
        </w:r>
        <w:r w:rsidR="00311F06">
          <w:rPr>
            <w:noProof/>
            <w:webHidden/>
          </w:rPr>
          <w:fldChar w:fldCharType="separate"/>
        </w:r>
        <w:r w:rsidR="00AA68F8">
          <w:rPr>
            <w:noProof/>
            <w:webHidden/>
          </w:rPr>
          <w:t>2-8</w:t>
        </w:r>
        <w:r w:rsidR="00311F06">
          <w:rPr>
            <w:noProof/>
            <w:webHidden/>
          </w:rPr>
          <w:fldChar w:fldCharType="end"/>
        </w:r>
      </w:hyperlink>
    </w:p>
    <w:p w14:paraId="27D4BEBD" w14:textId="19065E9A" w:rsidR="00311F06" w:rsidRDefault="00C723CB">
      <w:pPr>
        <w:pStyle w:val="TableofFigures"/>
        <w:rPr>
          <w:rFonts w:asciiTheme="minorHAnsi" w:eastAsiaTheme="minorEastAsia" w:hAnsiTheme="minorHAnsi" w:cstheme="minorBidi"/>
          <w:noProof/>
        </w:rPr>
      </w:pPr>
      <w:hyperlink w:anchor="_Toc41684741" w:history="1">
        <w:r w:rsidR="00311F06" w:rsidRPr="00757EDB">
          <w:rPr>
            <w:rStyle w:val="Hyperlink"/>
            <w:noProof/>
          </w:rPr>
          <w:t>Table 3</w:t>
        </w:r>
        <w:r w:rsidR="00311F06" w:rsidRPr="00757EDB">
          <w:rPr>
            <w:rStyle w:val="Hyperlink"/>
            <w:noProof/>
          </w:rPr>
          <w:noBreakHyphen/>
          <w:t>1: CoF Description and Related Score</w:t>
        </w:r>
        <w:r w:rsidR="00311F06">
          <w:rPr>
            <w:noProof/>
            <w:webHidden/>
          </w:rPr>
          <w:tab/>
        </w:r>
        <w:r w:rsidR="00311F06">
          <w:rPr>
            <w:noProof/>
            <w:webHidden/>
          </w:rPr>
          <w:fldChar w:fldCharType="begin"/>
        </w:r>
        <w:r w:rsidR="00311F06">
          <w:rPr>
            <w:noProof/>
            <w:webHidden/>
          </w:rPr>
          <w:instrText xml:space="preserve"> PAGEREF _Toc41684741 \h </w:instrText>
        </w:r>
        <w:r w:rsidR="00311F06">
          <w:rPr>
            <w:noProof/>
            <w:webHidden/>
          </w:rPr>
        </w:r>
        <w:r w:rsidR="00311F06">
          <w:rPr>
            <w:noProof/>
            <w:webHidden/>
          </w:rPr>
          <w:fldChar w:fldCharType="separate"/>
        </w:r>
        <w:r w:rsidR="00AA68F8">
          <w:rPr>
            <w:noProof/>
            <w:webHidden/>
          </w:rPr>
          <w:t>3-4</w:t>
        </w:r>
        <w:r w:rsidR="00311F06">
          <w:rPr>
            <w:noProof/>
            <w:webHidden/>
          </w:rPr>
          <w:fldChar w:fldCharType="end"/>
        </w:r>
      </w:hyperlink>
    </w:p>
    <w:p w14:paraId="27A62277" w14:textId="43E94470" w:rsidR="00311F06" w:rsidRDefault="00C723CB">
      <w:pPr>
        <w:pStyle w:val="TableofFigures"/>
        <w:rPr>
          <w:rFonts w:asciiTheme="minorHAnsi" w:eastAsiaTheme="minorEastAsia" w:hAnsiTheme="minorHAnsi" w:cstheme="minorBidi"/>
          <w:noProof/>
        </w:rPr>
      </w:pPr>
      <w:hyperlink w:anchor="_Toc41684742" w:history="1">
        <w:r w:rsidR="00311F06" w:rsidRPr="00757EDB">
          <w:rPr>
            <w:rStyle w:val="Hyperlink"/>
            <w:noProof/>
          </w:rPr>
          <w:t>Table 3</w:t>
        </w:r>
        <w:r w:rsidR="00311F06" w:rsidRPr="00757EDB">
          <w:rPr>
            <w:rStyle w:val="Hyperlink"/>
            <w:noProof/>
          </w:rPr>
          <w:noBreakHyphen/>
          <w:t>2: Location of Assets with Condition Score 4</w:t>
        </w:r>
        <w:r w:rsidR="00311F06">
          <w:rPr>
            <w:noProof/>
            <w:webHidden/>
          </w:rPr>
          <w:tab/>
        </w:r>
        <w:r w:rsidR="00311F06">
          <w:rPr>
            <w:noProof/>
            <w:webHidden/>
          </w:rPr>
          <w:fldChar w:fldCharType="begin"/>
        </w:r>
        <w:r w:rsidR="00311F06">
          <w:rPr>
            <w:noProof/>
            <w:webHidden/>
          </w:rPr>
          <w:instrText xml:space="preserve"> PAGEREF _Toc41684742 \h </w:instrText>
        </w:r>
        <w:r w:rsidR="00311F06">
          <w:rPr>
            <w:noProof/>
            <w:webHidden/>
          </w:rPr>
        </w:r>
        <w:r w:rsidR="00311F06">
          <w:rPr>
            <w:noProof/>
            <w:webHidden/>
          </w:rPr>
          <w:fldChar w:fldCharType="separate"/>
        </w:r>
        <w:r w:rsidR="00AA68F8">
          <w:rPr>
            <w:noProof/>
            <w:webHidden/>
          </w:rPr>
          <w:t>3-9</w:t>
        </w:r>
        <w:r w:rsidR="00311F06">
          <w:rPr>
            <w:noProof/>
            <w:webHidden/>
          </w:rPr>
          <w:fldChar w:fldCharType="end"/>
        </w:r>
      </w:hyperlink>
    </w:p>
    <w:p w14:paraId="2B8505D9" w14:textId="2131405F" w:rsidR="00311F06" w:rsidRDefault="00C723CB">
      <w:pPr>
        <w:pStyle w:val="TableofFigures"/>
        <w:rPr>
          <w:rFonts w:asciiTheme="minorHAnsi" w:eastAsiaTheme="minorEastAsia" w:hAnsiTheme="minorHAnsi" w:cstheme="minorBidi"/>
          <w:noProof/>
        </w:rPr>
      </w:pPr>
      <w:hyperlink w:anchor="_Toc41684743" w:history="1">
        <w:r w:rsidR="00311F06" w:rsidRPr="00757EDB">
          <w:rPr>
            <w:rStyle w:val="Hyperlink"/>
            <w:noProof/>
          </w:rPr>
          <w:t>Table 3</w:t>
        </w:r>
        <w:r w:rsidR="00311F06" w:rsidRPr="00757EDB">
          <w:rPr>
            <w:rStyle w:val="Hyperlink"/>
            <w:noProof/>
          </w:rPr>
          <w:noBreakHyphen/>
          <w:t>3: Location of Assets with Condition Score 5</w:t>
        </w:r>
        <w:r w:rsidR="00311F06">
          <w:rPr>
            <w:noProof/>
            <w:webHidden/>
          </w:rPr>
          <w:tab/>
        </w:r>
        <w:r w:rsidR="00311F06">
          <w:rPr>
            <w:noProof/>
            <w:webHidden/>
          </w:rPr>
          <w:fldChar w:fldCharType="begin"/>
        </w:r>
        <w:r w:rsidR="00311F06">
          <w:rPr>
            <w:noProof/>
            <w:webHidden/>
          </w:rPr>
          <w:instrText xml:space="preserve"> PAGEREF _Toc41684743 \h </w:instrText>
        </w:r>
        <w:r w:rsidR="00311F06">
          <w:rPr>
            <w:noProof/>
            <w:webHidden/>
          </w:rPr>
        </w:r>
        <w:r w:rsidR="00311F06">
          <w:rPr>
            <w:noProof/>
            <w:webHidden/>
          </w:rPr>
          <w:fldChar w:fldCharType="separate"/>
        </w:r>
        <w:r w:rsidR="00AA68F8">
          <w:rPr>
            <w:noProof/>
            <w:webHidden/>
          </w:rPr>
          <w:t>3-10</w:t>
        </w:r>
        <w:r w:rsidR="00311F06">
          <w:rPr>
            <w:noProof/>
            <w:webHidden/>
          </w:rPr>
          <w:fldChar w:fldCharType="end"/>
        </w:r>
      </w:hyperlink>
    </w:p>
    <w:p w14:paraId="293E2EC6" w14:textId="21A57476" w:rsidR="00311F06" w:rsidRDefault="00C723CB">
      <w:pPr>
        <w:pStyle w:val="TableofFigures"/>
        <w:rPr>
          <w:rFonts w:asciiTheme="minorHAnsi" w:eastAsiaTheme="minorEastAsia" w:hAnsiTheme="minorHAnsi" w:cstheme="minorBidi"/>
          <w:noProof/>
        </w:rPr>
      </w:pPr>
      <w:hyperlink w:anchor="_Toc41684744" w:history="1">
        <w:r w:rsidR="00311F06" w:rsidRPr="00757EDB">
          <w:rPr>
            <w:rStyle w:val="Hyperlink"/>
            <w:noProof/>
          </w:rPr>
          <w:t>Table 4</w:t>
        </w:r>
        <w:r w:rsidR="00311F06" w:rsidRPr="00757EDB">
          <w:rPr>
            <w:rStyle w:val="Hyperlink"/>
            <w:noProof/>
          </w:rPr>
          <w:noBreakHyphen/>
          <w:t>1: Asset Condition Rating Guidelines</w:t>
        </w:r>
        <w:r w:rsidR="00311F06">
          <w:rPr>
            <w:noProof/>
            <w:webHidden/>
          </w:rPr>
          <w:tab/>
        </w:r>
        <w:r w:rsidR="00311F06">
          <w:rPr>
            <w:noProof/>
            <w:webHidden/>
          </w:rPr>
          <w:fldChar w:fldCharType="begin"/>
        </w:r>
        <w:r w:rsidR="00311F06">
          <w:rPr>
            <w:noProof/>
            <w:webHidden/>
          </w:rPr>
          <w:instrText xml:space="preserve"> PAGEREF _Toc41684744 \h </w:instrText>
        </w:r>
        <w:r w:rsidR="00311F06">
          <w:rPr>
            <w:noProof/>
            <w:webHidden/>
          </w:rPr>
        </w:r>
        <w:r w:rsidR="00311F06">
          <w:rPr>
            <w:noProof/>
            <w:webHidden/>
          </w:rPr>
          <w:fldChar w:fldCharType="separate"/>
        </w:r>
        <w:r w:rsidR="00AA68F8">
          <w:rPr>
            <w:noProof/>
            <w:webHidden/>
          </w:rPr>
          <w:t>4-2</w:t>
        </w:r>
        <w:r w:rsidR="00311F06">
          <w:rPr>
            <w:noProof/>
            <w:webHidden/>
          </w:rPr>
          <w:fldChar w:fldCharType="end"/>
        </w:r>
      </w:hyperlink>
    </w:p>
    <w:p w14:paraId="51952CB5" w14:textId="16E51C81" w:rsidR="00311F06" w:rsidRDefault="00C723CB">
      <w:pPr>
        <w:pStyle w:val="TableofFigures"/>
        <w:rPr>
          <w:rFonts w:asciiTheme="minorHAnsi" w:eastAsiaTheme="minorEastAsia" w:hAnsiTheme="minorHAnsi" w:cstheme="minorBidi"/>
          <w:noProof/>
        </w:rPr>
      </w:pPr>
      <w:hyperlink w:anchor="_Toc41684745" w:history="1">
        <w:r w:rsidR="00311F06" w:rsidRPr="00757EDB">
          <w:rPr>
            <w:rStyle w:val="Hyperlink"/>
            <w:noProof/>
          </w:rPr>
          <w:t>Table 4</w:t>
        </w:r>
        <w:r w:rsidR="00311F06" w:rsidRPr="00757EDB">
          <w:rPr>
            <w:rStyle w:val="Hyperlink"/>
            <w:noProof/>
          </w:rPr>
          <w:noBreakHyphen/>
          <w:t>2: Process/Location-Level Scoring Guide</w:t>
        </w:r>
        <w:r w:rsidR="00311F06">
          <w:rPr>
            <w:noProof/>
            <w:webHidden/>
          </w:rPr>
          <w:tab/>
        </w:r>
        <w:r w:rsidR="00311F06">
          <w:rPr>
            <w:noProof/>
            <w:webHidden/>
          </w:rPr>
          <w:fldChar w:fldCharType="begin"/>
        </w:r>
        <w:r w:rsidR="00311F06">
          <w:rPr>
            <w:noProof/>
            <w:webHidden/>
          </w:rPr>
          <w:instrText xml:space="preserve"> PAGEREF _Toc41684745 \h </w:instrText>
        </w:r>
        <w:r w:rsidR="00311F06">
          <w:rPr>
            <w:noProof/>
            <w:webHidden/>
          </w:rPr>
        </w:r>
        <w:r w:rsidR="00311F06">
          <w:rPr>
            <w:noProof/>
            <w:webHidden/>
          </w:rPr>
          <w:fldChar w:fldCharType="separate"/>
        </w:r>
        <w:r w:rsidR="00AA68F8">
          <w:rPr>
            <w:noProof/>
            <w:webHidden/>
          </w:rPr>
          <w:t>4-3</w:t>
        </w:r>
        <w:r w:rsidR="00311F06">
          <w:rPr>
            <w:noProof/>
            <w:webHidden/>
          </w:rPr>
          <w:fldChar w:fldCharType="end"/>
        </w:r>
      </w:hyperlink>
    </w:p>
    <w:p w14:paraId="62E1003B" w14:textId="3AFFF954" w:rsidR="00311F06" w:rsidRDefault="00C723CB">
      <w:pPr>
        <w:pStyle w:val="TableofFigures"/>
        <w:rPr>
          <w:rFonts w:asciiTheme="minorHAnsi" w:eastAsiaTheme="minorEastAsia" w:hAnsiTheme="minorHAnsi" w:cstheme="minorBidi"/>
          <w:noProof/>
        </w:rPr>
      </w:pPr>
      <w:hyperlink w:anchor="_Toc41684746" w:history="1">
        <w:r w:rsidR="00311F06" w:rsidRPr="00757EDB">
          <w:rPr>
            <w:rStyle w:val="Hyperlink"/>
            <w:noProof/>
          </w:rPr>
          <w:t>Table 4</w:t>
        </w:r>
        <w:r w:rsidR="00311F06" w:rsidRPr="00757EDB">
          <w:rPr>
            <w:rStyle w:val="Hyperlink"/>
            <w:noProof/>
          </w:rPr>
          <w:noBreakHyphen/>
          <w:t>3: Process/Location Level Weighting Factors</w:t>
        </w:r>
        <w:r w:rsidR="00311F06">
          <w:rPr>
            <w:noProof/>
            <w:webHidden/>
          </w:rPr>
          <w:tab/>
        </w:r>
        <w:r w:rsidR="00311F06">
          <w:rPr>
            <w:noProof/>
            <w:webHidden/>
          </w:rPr>
          <w:fldChar w:fldCharType="begin"/>
        </w:r>
        <w:r w:rsidR="00311F06">
          <w:rPr>
            <w:noProof/>
            <w:webHidden/>
          </w:rPr>
          <w:instrText xml:space="preserve"> PAGEREF _Toc41684746 \h </w:instrText>
        </w:r>
        <w:r w:rsidR="00311F06">
          <w:rPr>
            <w:noProof/>
            <w:webHidden/>
          </w:rPr>
        </w:r>
        <w:r w:rsidR="00311F06">
          <w:rPr>
            <w:noProof/>
            <w:webHidden/>
          </w:rPr>
          <w:fldChar w:fldCharType="separate"/>
        </w:r>
        <w:r w:rsidR="00AA68F8">
          <w:rPr>
            <w:noProof/>
            <w:webHidden/>
          </w:rPr>
          <w:t>4-4</w:t>
        </w:r>
        <w:r w:rsidR="00311F06">
          <w:rPr>
            <w:noProof/>
            <w:webHidden/>
          </w:rPr>
          <w:fldChar w:fldCharType="end"/>
        </w:r>
      </w:hyperlink>
    </w:p>
    <w:p w14:paraId="6CD2C786" w14:textId="4F0CA2A0" w:rsidR="00311F06" w:rsidRDefault="00C723CB">
      <w:pPr>
        <w:pStyle w:val="TableofFigures"/>
        <w:rPr>
          <w:rFonts w:asciiTheme="minorHAnsi" w:eastAsiaTheme="minorEastAsia" w:hAnsiTheme="minorHAnsi" w:cstheme="minorBidi"/>
          <w:noProof/>
        </w:rPr>
      </w:pPr>
      <w:hyperlink w:anchor="_Toc41684747" w:history="1">
        <w:r w:rsidR="00311F06" w:rsidRPr="00757EDB">
          <w:rPr>
            <w:rStyle w:val="Hyperlink"/>
            <w:noProof/>
          </w:rPr>
          <w:t>Table 4</w:t>
        </w:r>
        <w:r w:rsidR="00311F06" w:rsidRPr="00757EDB">
          <w:rPr>
            <w:rStyle w:val="Hyperlink"/>
            <w:noProof/>
          </w:rPr>
          <w:noBreakHyphen/>
          <w:t>4: Asset Level CoF Scoring Guide</w:t>
        </w:r>
        <w:r w:rsidR="00311F06">
          <w:rPr>
            <w:noProof/>
            <w:webHidden/>
          </w:rPr>
          <w:tab/>
        </w:r>
        <w:r w:rsidR="00311F06">
          <w:rPr>
            <w:noProof/>
            <w:webHidden/>
          </w:rPr>
          <w:fldChar w:fldCharType="begin"/>
        </w:r>
        <w:r w:rsidR="00311F06">
          <w:rPr>
            <w:noProof/>
            <w:webHidden/>
          </w:rPr>
          <w:instrText xml:space="preserve"> PAGEREF _Toc41684747 \h </w:instrText>
        </w:r>
        <w:r w:rsidR="00311F06">
          <w:rPr>
            <w:noProof/>
            <w:webHidden/>
          </w:rPr>
        </w:r>
        <w:r w:rsidR="00311F06">
          <w:rPr>
            <w:noProof/>
            <w:webHidden/>
          </w:rPr>
          <w:fldChar w:fldCharType="separate"/>
        </w:r>
        <w:r w:rsidR="00AA68F8">
          <w:rPr>
            <w:noProof/>
            <w:webHidden/>
          </w:rPr>
          <w:t>4-4</w:t>
        </w:r>
        <w:r w:rsidR="00311F06">
          <w:rPr>
            <w:noProof/>
            <w:webHidden/>
          </w:rPr>
          <w:fldChar w:fldCharType="end"/>
        </w:r>
      </w:hyperlink>
    </w:p>
    <w:p w14:paraId="6D3D55B0" w14:textId="33C5533F" w:rsidR="00311F06" w:rsidRDefault="00C723CB">
      <w:pPr>
        <w:pStyle w:val="TableofFigures"/>
        <w:rPr>
          <w:rFonts w:asciiTheme="minorHAnsi" w:eastAsiaTheme="minorEastAsia" w:hAnsiTheme="minorHAnsi" w:cstheme="minorBidi"/>
          <w:noProof/>
        </w:rPr>
      </w:pPr>
      <w:hyperlink w:anchor="_Toc41684748" w:history="1">
        <w:r w:rsidR="00311F06" w:rsidRPr="00757EDB">
          <w:rPr>
            <w:rStyle w:val="Hyperlink"/>
            <w:noProof/>
          </w:rPr>
          <w:t>Table 4</w:t>
        </w:r>
        <w:r w:rsidR="00311F06" w:rsidRPr="00757EDB">
          <w:rPr>
            <w:rStyle w:val="Hyperlink"/>
            <w:noProof/>
          </w:rPr>
          <w:noBreakHyphen/>
          <w:t>5: Calculation of PoF Example</w:t>
        </w:r>
        <w:r w:rsidR="00311F06">
          <w:rPr>
            <w:noProof/>
            <w:webHidden/>
          </w:rPr>
          <w:tab/>
        </w:r>
        <w:r w:rsidR="00311F06">
          <w:rPr>
            <w:noProof/>
            <w:webHidden/>
          </w:rPr>
          <w:fldChar w:fldCharType="begin"/>
        </w:r>
        <w:r w:rsidR="00311F06">
          <w:rPr>
            <w:noProof/>
            <w:webHidden/>
          </w:rPr>
          <w:instrText xml:space="preserve"> PAGEREF _Toc41684748 \h </w:instrText>
        </w:r>
        <w:r w:rsidR="00311F06">
          <w:rPr>
            <w:noProof/>
            <w:webHidden/>
          </w:rPr>
        </w:r>
        <w:r w:rsidR="00311F06">
          <w:rPr>
            <w:noProof/>
            <w:webHidden/>
          </w:rPr>
          <w:fldChar w:fldCharType="separate"/>
        </w:r>
        <w:r w:rsidR="00AA68F8">
          <w:rPr>
            <w:noProof/>
            <w:webHidden/>
          </w:rPr>
          <w:t>4-5</w:t>
        </w:r>
        <w:r w:rsidR="00311F06">
          <w:rPr>
            <w:noProof/>
            <w:webHidden/>
          </w:rPr>
          <w:fldChar w:fldCharType="end"/>
        </w:r>
      </w:hyperlink>
    </w:p>
    <w:p w14:paraId="650D446F" w14:textId="7F2B6400" w:rsidR="00311F06" w:rsidRDefault="00C723CB">
      <w:pPr>
        <w:pStyle w:val="TableofFigures"/>
        <w:rPr>
          <w:rFonts w:asciiTheme="minorHAnsi" w:eastAsiaTheme="minorEastAsia" w:hAnsiTheme="minorHAnsi" w:cstheme="minorBidi"/>
          <w:noProof/>
        </w:rPr>
      </w:pPr>
      <w:hyperlink w:anchor="_Toc41684749" w:history="1">
        <w:r w:rsidR="00311F06" w:rsidRPr="00757EDB">
          <w:rPr>
            <w:rStyle w:val="Hyperlink"/>
            <w:noProof/>
          </w:rPr>
          <w:t>Table 4</w:t>
        </w:r>
        <w:r w:rsidR="00311F06" w:rsidRPr="00757EDB">
          <w:rPr>
            <w:rStyle w:val="Hyperlink"/>
            <w:noProof/>
          </w:rPr>
          <w:noBreakHyphen/>
          <w:t xml:space="preserve">6: </w:t>
        </w:r>
        <w:r w:rsidR="00311F06" w:rsidRPr="00757EDB">
          <w:rPr>
            <w:rStyle w:val="Hyperlink"/>
            <w:bCs/>
            <w:noProof/>
          </w:rPr>
          <w:t>PoF Thresholds</w:t>
        </w:r>
        <w:r w:rsidR="00311F06">
          <w:rPr>
            <w:noProof/>
            <w:webHidden/>
          </w:rPr>
          <w:tab/>
        </w:r>
        <w:r w:rsidR="00311F06">
          <w:rPr>
            <w:noProof/>
            <w:webHidden/>
          </w:rPr>
          <w:fldChar w:fldCharType="begin"/>
        </w:r>
        <w:r w:rsidR="00311F06">
          <w:rPr>
            <w:noProof/>
            <w:webHidden/>
          </w:rPr>
          <w:instrText xml:space="preserve"> PAGEREF _Toc41684749 \h </w:instrText>
        </w:r>
        <w:r w:rsidR="00311F06">
          <w:rPr>
            <w:noProof/>
            <w:webHidden/>
          </w:rPr>
        </w:r>
        <w:r w:rsidR="00311F06">
          <w:rPr>
            <w:noProof/>
            <w:webHidden/>
          </w:rPr>
          <w:fldChar w:fldCharType="separate"/>
        </w:r>
        <w:r w:rsidR="00AA68F8">
          <w:rPr>
            <w:noProof/>
            <w:webHidden/>
          </w:rPr>
          <w:t>4-5</w:t>
        </w:r>
        <w:r w:rsidR="00311F06">
          <w:rPr>
            <w:noProof/>
            <w:webHidden/>
          </w:rPr>
          <w:fldChar w:fldCharType="end"/>
        </w:r>
      </w:hyperlink>
    </w:p>
    <w:p w14:paraId="49074E22" w14:textId="5CBE4919" w:rsidR="00311F06" w:rsidRDefault="00C723CB">
      <w:pPr>
        <w:pStyle w:val="TableofFigures"/>
        <w:rPr>
          <w:rFonts w:asciiTheme="minorHAnsi" w:eastAsiaTheme="minorEastAsia" w:hAnsiTheme="minorHAnsi" w:cstheme="minorBidi"/>
          <w:noProof/>
        </w:rPr>
      </w:pPr>
      <w:hyperlink w:anchor="_Toc41684750" w:history="1">
        <w:r w:rsidR="00311F06" w:rsidRPr="00757EDB">
          <w:rPr>
            <w:rStyle w:val="Hyperlink"/>
            <w:noProof/>
          </w:rPr>
          <w:t>Table 4</w:t>
        </w:r>
        <w:r w:rsidR="00311F06" w:rsidRPr="00757EDB">
          <w:rPr>
            <w:rStyle w:val="Hyperlink"/>
            <w:noProof/>
          </w:rPr>
          <w:noBreakHyphen/>
          <w:t>7: High PoF Assets per Process</w:t>
        </w:r>
        <w:r w:rsidR="00311F06">
          <w:rPr>
            <w:noProof/>
            <w:webHidden/>
          </w:rPr>
          <w:tab/>
        </w:r>
        <w:r w:rsidR="00311F06">
          <w:rPr>
            <w:noProof/>
            <w:webHidden/>
          </w:rPr>
          <w:fldChar w:fldCharType="begin"/>
        </w:r>
        <w:r w:rsidR="00311F06">
          <w:rPr>
            <w:noProof/>
            <w:webHidden/>
          </w:rPr>
          <w:instrText xml:space="preserve"> PAGEREF _Toc41684750 \h </w:instrText>
        </w:r>
        <w:r w:rsidR="00311F06">
          <w:rPr>
            <w:noProof/>
            <w:webHidden/>
          </w:rPr>
        </w:r>
        <w:r w:rsidR="00311F06">
          <w:rPr>
            <w:noProof/>
            <w:webHidden/>
          </w:rPr>
          <w:fldChar w:fldCharType="separate"/>
        </w:r>
        <w:r w:rsidR="00AA68F8">
          <w:rPr>
            <w:noProof/>
            <w:webHidden/>
          </w:rPr>
          <w:t>4-7</w:t>
        </w:r>
        <w:r w:rsidR="00311F06">
          <w:rPr>
            <w:noProof/>
            <w:webHidden/>
          </w:rPr>
          <w:fldChar w:fldCharType="end"/>
        </w:r>
      </w:hyperlink>
    </w:p>
    <w:p w14:paraId="384D5933" w14:textId="2EA2EF69" w:rsidR="00311F06" w:rsidRDefault="00C723CB">
      <w:pPr>
        <w:pStyle w:val="TableofFigures"/>
        <w:rPr>
          <w:rFonts w:asciiTheme="minorHAnsi" w:eastAsiaTheme="minorEastAsia" w:hAnsiTheme="minorHAnsi" w:cstheme="minorBidi"/>
          <w:noProof/>
        </w:rPr>
      </w:pPr>
      <w:hyperlink w:anchor="_Toc41684751" w:history="1">
        <w:r w:rsidR="00311F06" w:rsidRPr="00757EDB">
          <w:rPr>
            <w:rStyle w:val="Hyperlink"/>
            <w:noProof/>
          </w:rPr>
          <w:t>Table 4</w:t>
        </w:r>
        <w:r w:rsidR="00311F06" w:rsidRPr="00757EDB">
          <w:rPr>
            <w:rStyle w:val="Hyperlink"/>
            <w:noProof/>
          </w:rPr>
          <w:noBreakHyphen/>
          <w:t>8: Process/Location Level CoF</w:t>
        </w:r>
        <w:r w:rsidR="00311F06">
          <w:rPr>
            <w:noProof/>
            <w:webHidden/>
          </w:rPr>
          <w:tab/>
        </w:r>
        <w:r w:rsidR="00311F06">
          <w:rPr>
            <w:noProof/>
            <w:webHidden/>
          </w:rPr>
          <w:fldChar w:fldCharType="begin"/>
        </w:r>
        <w:r w:rsidR="00311F06">
          <w:rPr>
            <w:noProof/>
            <w:webHidden/>
          </w:rPr>
          <w:instrText xml:space="preserve"> PAGEREF _Toc41684751 \h </w:instrText>
        </w:r>
        <w:r w:rsidR="00311F06">
          <w:rPr>
            <w:noProof/>
            <w:webHidden/>
          </w:rPr>
        </w:r>
        <w:r w:rsidR="00311F06">
          <w:rPr>
            <w:noProof/>
            <w:webHidden/>
          </w:rPr>
          <w:fldChar w:fldCharType="separate"/>
        </w:r>
        <w:r w:rsidR="00AA68F8">
          <w:rPr>
            <w:noProof/>
            <w:webHidden/>
          </w:rPr>
          <w:t>4-8</w:t>
        </w:r>
        <w:r w:rsidR="00311F06">
          <w:rPr>
            <w:noProof/>
            <w:webHidden/>
          </w:rPr>
          <w:fldChar w:fldCharType="end"/>
        </w:r>
      </w:hyperlink>
    </w:p>
    <w:p w14:paraId="0A63D41F" w14:textId="6BB4817C" w:rsidR="00311F06" w:rsidRDefault="00C723CB">
      <w:pPr>
        <w:pStyle w:val="TableofFigures"/>
        <w:rPr>
          <w:rFonts w:asciiTheme="minorHAnsi" w:eastAsiaTheme="minorEastAsia" w:hAnsiTheme="minorHAnsi" w:cstheme="minorBidi"/>
          <w:noProof/>
        </w:rPr>
      </w:pPr>
      <w:hyperlink w:anchor="_Toc41684752" w:history="1">
        <w:r w:rsidR="00311F06" w:rsidRPr="00757EDB">
          <w:rPr>
            <w:rStyle w:val="Hyperlink"/>
            <w:noProof/>
          </w:rPr>
          <w:t>Table 4</w:t>
        </w:r>
        <w:r w:rsidR="00311F06" w:rsidRPr="00757EDB">
          <w:rPr>
            <w:rStyle w:val="Hyperlink"/>
            <w:noProof/>
          </w:rPr>
          <w:noBreakHyphen/>
          <w:t>9: High CoF Assets</w:t>
        </w:r>
        <w:r w:rsidR="00311F06">
          <w:rPr>
            <w:noProof/>
            <w:webHidden/>
          </w:rPr>
          <w:tab/>
        </w:r>
        <w:r w:rsidR="00311F06">
          <w:rPr>
            <w:noProof/>
            <w:webHidden/>
          </w:rPr>
          <w:fldChar w:fldCharType="begin"/>
        </w:r>
        <w:r w:rsidR="00311F06">
          <w:rPr>
            <w:noProof/>
            <w:webHidden/>
          </w:rPr>
          <w:instrText xml:space="preserve"> PAGEREF _Toc41684752 \h </w:instrText>
        </w:r>
        <w:r w:rsidR="00311F06">
          <w:rPr>
            <w:noProof/>
            <w:webHidden/>
          </w:rPr>
        </w:r>
        <w:r w:rsidR="00311F06">
          <w:rPr>
            <w:noProof/>
            <w:webHidden/>
          </w:rPr>
          <w:fldChar w:fldCharType="separate"/>
        </w:r>
        <w:r w:rsidR="00AA68F8">
          <w:rPr>
            <w:noProof/>
            <w:webHidden/>
          </w:rPr>
          <w:t>4-13</w:t>
        </w:r>
        <w:r w:rsidR="00311F06">
          <w:rPr>
            <w:noProof/>
            <w:webHidden/>
          </w:rPr>
          <w:fldChar w:fldCharType="end"/>
        </w:r>
      </w:hyperlink>
    </w:p>
    <w:p w14:paraId="32CD4D87" w14:textId="35F4D1D5" w:rsidR="00311F06" w:rsidRDefault="00C723CB">
      <w:pPr>
        <w:pStyle w:val="TableofFigures"/>
        <w:rPr>
          <w:rFonts w:asciiTheme="minorHAnsi" w:eastAsiaTheme="minorEastAsia" w:hAnsiTheme="minorHAnsi" w:cstheme="minorBidi"/>
          <w:noProof/>
        </w:rPr>
      </w:pPr>
      <w:hyperlink w:anchor="_Toc41684753" w:history="1">
        <w:r w:rsidR="00311F06" w:rsidRPr="00757EDB">
          <w:rPr>
            <w:rStyle w:val="Hyperlink"/>
            <w:noProof/>
          </w:rPr>
          <w:t>Table 4</w:t>
        </w:r>
        <w:r w:rsidR="00311F06" w:rsidRPr="00757EDB">
          <w:rPr>
            <w:rStyle w:val="Hyperlink"/>
            <w:noProof/>
          </w:rPr>
          <w:noBreakHyphen/>
          <w:t>10: High Risk Assets</w:t>
        </w:r>
        <w:r w:rsidR="00311F06">
          <w:rPr>
            <w:noProof/>
            <w:webHidden/>
          </w:rPr>
          <w:tab/>
        </w:r>
        <w:r w:rsidR="00311F06">
          <w:rPr>
            <w:noProof/>
            <w:webHidden/>
          </w:rPr>
          <w:fldChar w:fldCharType="begin"/>
        </w:r>
        <w:r w:rsidR="00311F06">
          <w:rPr>
            <w:noProof/>
            <w:webHidden/>
          </w:rPr>
          <w:instrText xml:space="preserve"> PAGEREF _Toc41684753 \h </w:instrText>
        </w:r>
        <w:r w:rsidR="00311F06">
          <w:rPr>
            <w:noProof/>
            <w:webHidden/>
          </w:rPr>
        </w:r>
        <w:r w:rsidR="00311F06">
          <w:rPr>
            <w:noProof/>
            <w:webHidden/>
          </w:rPr>
          <w:fldChar w:fldCharType="separate"/>
        </w:r>
        <w:r w:rsidR="00AA68F8">
          <w:rPr>
            <w:noProof/>
            <w:webHidden/>
          </w:rPr>
          <w:t>4-16</w:t>
        </w:r>
        <w:r w:rsidR="00311F06">
          <w:rPr>
            <w:noProof/>
            <w:webHidden/>
          </w:rPr>
          <w:fldChar w:fldCharType="end"/>
        </w:r>
      </w:hyperlink>
    </w:p>
    <w:p w14:paraId="09240A97" w14:textId="282A9664" w:rsidR="00311F06" w:rsidRDefault="00C723CB">
      <w:pPr>
        <w:pStyle w:val="TableofFigures"/>
        <w:rPr>
          <w:rFonts w:asciiTheme="minorHAnsi" w:eastAsiaTheme="minorEastAsia" w:hAnsiTheme="minorHAnsi" w:cstheme="minorBidi"/>
          <w:noProof/>
        </w:rPr>
      </w:pPr>
      <w:hyperlink w:anchor="_Toc41684754" w:history="1">
        <w:r w:rsidR="00311F06" w:rsidRPr="00757EDB">
          <w:rPr>
            <w:rStyle w:val="Hyperlink"/>
            <w:noProof/>
          </w:rPr>
          <w:t>Table 5</w:t>
        </w:r>
        <w:r w:rsidR="00311F06" w:rsidRPr="00757EDB">
          <w:rPr>
            <w:rStyle w:val="Hyperlink"/>
            <w:noProof/>
          </w:rPr>
          <w:noBreakHyphen/>
          <w:t>1: RIX Flows August 2018 – July 2019</w:t>
        </w:r>
        <w:r w:rsidR="00311F06">
          <w:rPr>
            <w:noProof/>
            <w:webHidden/>
          </w:rPr>
          <w:tab/>
        </w:r>
        <w:r w:rsidR="00311F06">
          <w:rPr>
            <w:noProof/>
            <w:webHidden/>
          </w:rPr>
          <w:fldChar w:fldCharType="begin"/>
        </w:r>
        <w:r w:rsidR="00311F06">
          <w:rPr>
            <w:noProof/>
            <w:webHidden/>
          </w:rPr>
          <w:instrText xml:space="preserve"> PAGEREF _Toc41684754 \h </w:instrText>
        </w:r>
        <w:r w:rsidR="00311F06">
          <w:rPr>
            <w:noProof/>
            <w:webHidden/>
          </w:rPr>
        </w:r>
        <w:r w:rsidR="00311F06">
          <w:rPr>
            <w:noProof/>
            <w:webHidden/>
          </w:rPr>
          <w:fldChar w:fldCharType="separate"/>
        </w:r>
        <w:r w:rsidR="00AA68F8">
          <w:rPr>
            <w:noProof/>
            <w:webHidden/>
          </w:rPr>
          <w:t>5-5</w:t>
        </w:r>
        <w:r w:rsidR="00311F06">
          <w:rPr>
            <w:noProof/>
            <w:webHidden/>
          </w:rPr>
          <w:fldChar w:fldCharType="end"/>
        </w:r>
      </w:hyperlink>
    </w:p>
    <w:p w14:paraId="46B6EE77" w14:textId="77AC439D" w:rsidR="00311F06" w:rsidRDefault="00C723CB">
      <w:pPr>
        <w:pStyle w:val="TableofFigures"/>
        <w:rPr>
          <w:rFonts w:asciiTheme="minorHAnsi" w:eastAsiaTheme="minorEastAsia" w:hAnsiTheme="minorHAnsi" w:cstheme="minorBidi"/>
          <w:noProof/>
        </w:rPr>
      </w:pPr>
      <w:hyperlink w:anchor="_Toc41684755" w:history="1">
        <w:r w:rsidR="00311F06" w:rsidRPr="00757EDB">
          <w:rPr>
            <w:rStyle w:val="Hyperlink"/>
            <w:noProof/>
          </w:rPr>
          <w:t>Table 5</w:t>
        </w:r>
        <w:r w:rsidR="00311F06" w:rsidRPr="00757EDB">
          <w:rPr>
            <w:rStyle w:val="Hyperlink"/>
            <w:noProof/>
          </w:rPr>
          <w:noBreakHyphen/>
          <w:t>2: Projected RIX Flows to the Santa Ana River 2040</w:t>
        </w:r>
        <w:r w:rsidR="00311F06">
          <w:rPr>
            <w:noProof/>
            <w:webHidden/>
          </w:rPr>
          <w:tab/>
        </w:r>
        <w:r w:rsidR="00311F06">
          <w:rPr>
            <w:noProof/>
            <w:webHidden/>
          </w:rPr>
          <w:fldChar w:fldCharType="begin"/>
        </w:r>
        <w:r w:rsidR="00311F06">
          <w:rPr>
            <w:noProof/>
            <w:webHidden/>
          </w:rPr>
          <w:instrText xml:space="preserve"> PAGEREF _Toc41684755 \h </w:instrText>
        </w:r>
        <w:r w:rsidR="00311F06">
          <w:rPr>
            <w:noProof/>
            <w:webHidden/>
          </w:rPr>
        </w:r>
        <w:r w:rsidR="00311F06">
          <w:rPr>
            <w:noProof/>
            <w:webHidden/>
          </w:rPr>
          <w:fldChar w:fldCharType="separate"/>
        </w:r>
        <w:r w:rsidR="00AA68F8">
          <w:rPr>
            <w:noProof/>
            <w:webHidden/>
          </w:rPr>
          <w:t>5-7</w:t>
        </w:r>
        <w:r w:rsidR="00311F06">
          <w:rPr>
            <w:noProof/>
            <w:webHidden/>
          </w:rPr>
          <w:fldChar w:fldCharType="end"/>
        </w:r>
      </w:hyperlink>
    </w:p>
    <w:p w14:paraId="72E71A21" w14:textId="0150DC30" w:rsidR="00311F06" w:rsidRDefault="00C723CB">
      <w:pPr>
        <w:pStyle w:val="TableofFigures"/>
        <w:rPr>
          <w:rFonts w:asciiTheme="minorHAnsi" w:eastAsiaTheme="minorEastAsia" w:hAnsiTheme="minorHAnsi" w:cstheme="minorBidi"/>
          <w:noProof/>
        </w:rPr>
      </w:pPr>
      <w:hyperlink w:anchor="_Toc41684756" w:history="1">
        <w:r w:rsidR="00311F06" w:rsidRPr="00757EDB">
          <w:rPr>
            <w:rStyle w:val="Hyperlink"/>
            <w:noProof/>
          </w:rPr>
          <w:t>Table 5</w:t>
        </w:r>
        <w:r w:rsidR="00311F06" w:rsidRPr="00757EDB">
          <w:rPr>
            <w:rStyle w:val="Hyperlink"/>
            <w:noProof/>
          </w:rPr>
          <w:noBreakHyphen/>
          <w:t>3: Observed Groundwater Levels</w:t>
        </w:r>
        <w:r w:rsidR="00311F06">
          <w:rPr>
            <w:noProof/>
            <w:webHidden/>
          </w:rPr>
          <w:tab/>
        </w:r>
        <w:r w:rsidR="00311F06">
          <w:rPr>
            <w:noProof/>
            <w:webHidden/>
          </w:rPr>
          <w:fldChar w:fldCharType="begin"/>
        </w:r>
        <w:r w:rsidR="00311F06">
          <w:rPr>
            <w:noProof/>
            <w:webHidden/>
          </w:rPr>
          <w:instrText xml:space="preserve"> PAGEREF _Toc41684756 \h </w:instrText>
        </w:r>
        <w:r w:rsidR="00311F06">
          <w:rPr>
            <w:noProof/>
            <w:webHidden/>
          </w:rPr>
        </w:r>
        <w:r w:rsidR="00311F06">
          <w:rPr>
            <w:noProof/>
            <w:webHidden/>
          </w:rPr>
          <w:fldChar w:fldCharType="separate"/>
        </w:r>
        <w:r w:rsidR="00AA68F8">
          <w:rPr>
            <w:noProof/>
            <w:webHidden/>
          </w:rPr>
          <w:t>5-11</w:t>
        </w:r>
        <w:r w:rsidR="00311F06">
          <w:rPr>
            <w:noProof/>
            <w:webHidden/>
          </w:rPr>
          <w:fldChar w:fldCharType="end"/>
        </w:r>
      </w:hyperlink>
    </w:p>
    <w:p w14:paraId="26E24818" w14:textId="44BD0C16" w:rsidR="00311F06" w:rsidRDefault="00C723CB">
      <w:pPr>
        <w:pStyle w:val="TableofFigures"/>
        <w:rPr>
          <w:rFonts w:asciiTheme="minorHAnsi" w:eastAsiaTheme="minorEastAsia" w:hAnsiTheme="minorHAnsi" w:cstheme="minorBidi"/>
          <w:noProof/>
        </w:rPr>
      </w:pPr>
      <w:hyperlink w:anchor="_Toc41684757" w:history="1">
        <w:r w:rsidR="00311F06" w:rsidRPr="00757EDB">
          <w:rPr>
            <w:rStyle w:val="Hyperlink"/>
            <w:noProof/>
          </w:rPr>
          <w:t>Table 6</w:t>
        </w:r>
        <w:r w:rsidR="00311F06" w:rsidRPr="00757EDB">
          <w:rPr>
            <w:rStyle w:val="Hyperlink"/>
            <w:noProof/>
          </w:rPr>
          <w:noBreakHyphen/>
          <w:t>1: Projected Population Growth for SBMWD, Loma Linda and EVWD</w:t>
        </w:r>
        <w:r w:rsidR="00311F06">
          <w:rPr>
            <w:noProof/>
            <w:webHidden/>
          </w:rPr>
          <w:tab/>
        </w:r>
        <w:r w:rsidR="00311F06">
          <w:rPr>
            <w:noProof/>
            <w:webHidden/>
          </w:rPr>
          <w:fldChar w:fldCharType="begin"/>
        </w:r>
        <w:r w:rsidR="00311F06">
          <w:rPr>
            <w:noProof/>
            <w:webHidden/>
          </w:rPr>
          <w:instrText xml:space="preserve"> PAGEREF _Toc41684757 \h </w:instrText>
        </w:r>
        <w:r w:rsidR="00311F06">
          <w:rPr>
            <w:noProof/>
            <w:webHidden/>
          </w:rPr>
        </w:r>
        <w:r w:rsidR="00311F06">
          <w:rPr>
            <w:noProof/>
            <w:webHidden/>
          </w:rPr>
          <w:fldChar w:fldCharType="separate"/>
        </w:r>
        <w:r w:rsidR="00AA68F8">
          <w:rPr>
            <w:noProof/>
            <w:webHidden/>
          </w:rPr>
          <w:t>6-1</w:t>
        </w:r>
        <w:r w:rsidR="00311F06">
          <w:rPr>
            <w:noProof/>
            <w:webHidden/>
          </w:rPr>
          <w:fldChar w:fldCharType="end"/>
        </w:r>
      </w:hyperlink>
    </w:p>
    <w:p w14:paraId="51F48DF8" w14:textId="52BA569F" w:rsidR="00311F06" w:rsidRDefault="00C723CB">
      <w:pPr>
        <w:pStyle w:val="TableofFigures"/>
        <w:rPr>
          <w:rFonts w:asciiTheme="minorHAnsi" w:eastAsiaTheme="minorEastAsia" w:hAnsiTheme="minorHAnsi" w:cstheme="minorBidi"/>
          <w:noProof/>
        </w:rPr>
      </w:pPr>
      <w:hyperlink w:anchor="_Toc41684758" w:history="1">
        <w:r w:rsidR="00311F06" w:rsidRPr="00757EDB">
          <w:rPr>
            <w:rStyle w:val="Hyperlink"/>
            <w:noProof/>
          </w:rPr>
          <w:t>Table 6</w:t>
        </w:r>
        <w:r w:rsidR="00311F06" w:rsidRPr="00757EDB">
          <w:rPr>
            <w:rStyle w:val="Hyperlink"/>
            <w:noProof/>
          </w:rPr>
          <w:noBreakHyphen/>
          <w:t>2: Current and Projected Population of SBWRP Service Area</w:t>
        </w:r>
        <w:r w:rsidR="00311F06">
          <w:rPr>
            <w:noProof/>
            <w:webHidden/>
          </w:rPr>
          <w:tab/>
        </w:r>
        <w:r w:rsidR="00311F06">
          <w:rPr>
            <w:noProof/>
            <w:webHidden/>
          </w:rPr>
          <w:fldChar w:fldCharType="begin"/>
        </w:r>
        <w:r w:rsidR="00311F06">
          <w:rPr>
            <w:noProof/>
            <w:webHidden/>
          </w:rPr>
          <w:instrText xml:space="preserve"> PAGEREF _Toc41684758 \h </w:instrText>
        </w:r>
        <w:r w:rsidR="00311F06">
          <w:rPr>
            <w:noProof/>
            <w:webHidden/>
          </w:rPr>
        </w:r>
        <w:r w:rsidR="00311F06">
          <w:rPr>
            <w:noProof/>
            <w:webHidden/>
          </w:rPr>
          <w:fldChar w:fldCharType="separate"/>
        </w:r>
        <w:r w:rsidR="00AA68F8">
          <w:rPr>
            <w:noProof/>
            <w:webHidden/>
          </w:rPr>
          <w:t>6-2</w:t>
        </w:r>
        <w:r w:rsidR="00311F06">
          <w:rPr>
            <w:noProof/>
            <w:webHidden/>
          </w:rPr>
          <w:fldChar w:fldCharType="end"/>
        </w:r>
      </w:hyperlink>
    </w:p>
    <w:p w14:paraId="2DF74759" w14:textId="1B126C0C" w:rsidR="00311F06" w:rsidRDefault="00C723CB">
      <w:pPr>
        <w:pStyle w:val="TableofFigures"/>
        <w:rPr>
          <w:rFonts w:asciiTheme="minorHAnsi" w:eastAsiaTheme="minorEastAsia" w:hAnsiTheme="minorHAnsi" w:cstheme="minorBidi"/>
          <w:noProof/>
        </w:rPr>
      </w:pPr>
      <w:hyperlink w:anchor="_Toc41684759" w:history="1">
        <w:r w:rsidR="00311F06" w:rsidRPr="00757EDB">
          <w:rPr>
            <w:rStyle w:val="Hyperlink"/>
            <w:noProof/>
          </w:rPr>
          <w:t>Table 6</w:t>
        </w:r>
        <w:r w:rsidR="00311F06" w:rsidRPr="00757EDB">
          <w:rPr>
            <w:rStyle w:val="Hyperlink"/>
            <w:noProof/>
          </w:rPr>
          <w:noBreakHyphen/>
          <w:t>3: SBWRP Historic Influent Flow Peaking Factors and Flow</w:t>
        </w:r>
        <w:r w:rsidR="00311F06">
          <w:rPr>
            <w:noProof/>
            <w:webHidden/>
          </w:rPr>
          <w:tab/>
        </w:r>
        <w:r w:rsidR="00311F06">
          <w:rPr>
            <w:noProof/>
            <w:webHidden/>
          </w:rPr>
          <w:fldChar w:fldCharType="begin"/>
        </w:r>
        <w:r w:rsidR="00311F06">
          <w:rPr>
            <w:noProof/>
            <w:webHidden/>
          </w:rPr>
          <w:instrText xml:space="preserve"> PAGEREF _Toc41684759 \h </w:instrText>
        </w:r>
        <w:r w:rsidR="00311F06">
          <w:rPr>
            <w:noProof/>
            <w:webHidden/>
          </w:rPr>
        </w:r>
        <w:r w:rsidR="00311F06">
          <w:rPr>
            <w:noProof/>
            <w:webHidden/>
          </w:rPr>
          <w:fldChar w:fldCharType="separate"/>
        </w:r>
        <w:r w:rsidR="00AA68F8">
          <w:rPr>
            <w:noProof/>
            <w:webHidden/>
          </w:rPr>
          <w:t>6-4</w:t>
        </w:r>
        <w:r w:rsidR="00311F06">
          <w:rPr>
            <w:noProof/>
            <w:webHidden/>
          </w:rPr>
          <w:fldChar w:fldCharType="end"/>
        </w:r>
      </w:hyperlink>
    </w:p>
    <w:p w14:paraId="0278FC86" w14:textId="08D0AC23" w:rsidR="00311F06" w:rsidRDefault="00C723CB">
      <w:pPr>
        <w:pStyle w:val="TableofFigures"/>
        <w:rPr>
          <w:rFonts w:asciiTheme="minorHAnsi" w:eastAsiaTheme="minorEastAsia" w:hAnsiTheme="minorHAnsi" w:cstheme="minorBidi"/>
          <w:noProof/>
        </w:rPr>
      </w:pPr>
      <w:hyperlink w:anchor="_Toc41684760" w:history="1">
        <w:r w:rsidR="00311F06" w:rsidRPr="00757EDB">
          <w:rPr>
            <w:rStyle w:val="Hyperlink"/>
            <w:noProof/>
          </w:rPr>
          <w:t>Table 6</w:t>
        </w:r>
        <w:r w:rsidR="00311F06" w:rsidRPr="00757EDB">
          <w:rPr>
            <w:rStyle w:val="Hyperlink"/>
            <w:noProof/>
          </w:rPr>
          <w:noBreakHyphen/>
          <w:t>4: Current Influent Flow and Per Capita Usage</w:t>
        </w:r>
        <w:r w:rsidR="00311F06">
          <w:rPr>
            <w:noProof/>
            <w:webHidden/>
          </w:rPr>
          <w:tab/>
        </w:r>
        <w:r w:rsidR="00311F06">
          <w:rPr>
            <w:noProof/>
            <w:webHidden/>
          </w:rPr>
          <w:fldChar w:fldCharType="begin"/>
        </w:r>
        <w:r w:rsidR="00311F06">
          <w:rPr>
            <w:noProof/>
            <w:webHidden/>
          </w:rPr>
          <w:instrText xml:space="preserve"> PAGEREF _Toc41684760 \h </w:instrText>
        </w:r>
        <w:r w:rsidR="00311F06">
          <w:rPr>
            <w:noProof/>
            <w:webHidden/>
          </w:rPr>
        </w:r>
        <w:r w:rsidR="00311F06">
          <w:rPr>
            <w:noProof/>
            <w:webHidden/>
          </w:rPr>
          <w:fldChar w:fldCharType="separate"/>
        </w:r>
        <w:r w:rsidR="00AA68F8">
          <w:rPr>
            <w:noProof/>
            <w:webHidden/>
          </w:rPr>
          <w:t>6-4</w:t>
        </w:r>
        <w:r w:rsidR="00311F06">
          <w:rPr>
            <w:noProof/>
            <w:webHidden/>
          </w:rPr>
          <w:fldChar w:fldCharType="end"/>
        </w:r>
      </w:hyperlink>
    </w:p>
    <w:p w14:paraId="767C5653" w14:textId="6A71D2CC" w:rsidR="00311F06" w:rsidRDefault="00C723CB">
      <w:pPr>
        <w:pStyle w:val="TableofFigures"/>
        <w:rPr>
          <w:rFonts w:asciiTheme="minorHAnsi" w:eastAsiaTheme="minorEastAsia" w:hAnsiTheme="minorHAnsi" w:cstheme="minorBidi"/>
          <w:noProof/>
        </w:rPr>
      </w:pPr>
      <w:hyperlink w:anchor="_Toc41684761" w:history="1">
        <w:r w:rsidR="00311F06" w:rsidRPr="00757EDB">
          <w:rPr>
            <w:rStyle w:val="Hyperlink"/>
            <w:noProof/>
          </w:rPr>
          <w:t>Table 6</w:t>
        </w:r>
        <w:r w:rsidR="00311F06" w:rsidRPr="00757EDB">
          <w:rPr>
            <w:rStyle w:val="Hyperlink"/>
            <w:noProof/>
          </w:rPr>
          <w:noBreakHyphen/>
          <w:t>5: Current and Projected Average Dry Weather Flow (mgd)</w:t>
        </w:r>
        <w:r w:rsidR="00311F06">
          <w:rPr>
            <w:noProof/>
            <w:webHidden/>
          </w:rPr>
          <w:tab/>
        </w:r>
        <w:r w:rsidR="00311F06">
          <w:rPr>
            <w:noProof/>
            <w:webHidden/>
          </w:rPr>
          <w:fldChar w:fldCharType="begin"/>
        </w:r>
        <w:r w:rsidR="00311F06">
          <w:rPr>
            <w:noProof/>
            <w:webHidden/>
          </w:rPr>
          <w:instrText xml:space="preserve"> PAGEREF _Toc41684761 \h </w:instrText>
        </w:r>
        <w:r w:rsidR="00311F06">
          <w:rPr>
            <w:noProof/>
            <w:webHidden/>
          </w:rPr>
        </w:r>
        <w:r w:rsidR="00311F06">
          <w:rPr>
            <w:noProof/>
            <w:webHidden/>
          </w:rPr>
          <w:fldChar w:fldCharType="separate"/>
        </w:r>
        <w:r w:rsidR="00AA68F8">
          <w:rPr>
            <w:noProof/>
            <w:webHidden/>
          </w:rPr>
          <w:t>6-4</w:t>
        </w:r>
        <w:r w:rsidR="00311F06">
          <w:rPr>
            <w:noProof/>
            <w:webHidden/>
          </w:rPr>
          <w:fldChar w:fldCharType="end"/>
        </w:r>
      </w:hyperlink>
    </w:p>
    <w:p w14:paraId="1B08B075" w14:textId="37E75E6E" w:rsidR="00311F06" w:rsidRDefault="00C723CB">
      <w:pPr>
        <w:pStyle w:val="TableofFigures"/>
        <w:rPr>
          <w:rFonts w:asciiTheme="minorHAnsi" w:eastAsiaTheme="minorEastAsia" w:hAnsiTheme="minorHAnsi" w:cstheme="minorBidi"/>
          <w:noProof/>
        </w:rPr>
      </w:pPr>
      <w:hyperlink w:anchor="_Toc41684762" w:history="1">
        <w:r w:rsidR="00311F06" w:rsidRPr="00757EDB">
          <w:rPr>
            <w:rStyle w:val="Hyperlink"/>
            <w:noProof/>
          </w:rPr>
          <w:t>Table 6</w:t>
        </w:r>
        <w:r w:rsidR="00311F06" w:rsidRPr="00757EDB">
          <w:rPr>
            <w:rStyle w:val="Hyperlink"/>
            <w:noProof/>
          </w:rPr>
          <w:noBreakHyphen/>
          <w:t>6: SBWRP Influent Wastewater Concentrations</w:t>
        </w:r>
        <w:r w:rsidR="00311F06">
          <w:rPr>
            <w:noProof/>
            <w:webHidden/>
          </w:rPr>
          <w:tab/>
        </w:r>
        <w:r w:rsidR="00311F06">
          <w:rPr>
            <w:noProof/>
            <w:webHidden/>
          </w:rPr>
          <w:fldChar w:fldCharType="begin"/>
        </w:r>
        <w:r w:rsidR="00311F06">
          <w:rPr>
            <w:noProof/>
            <w:webHidden/>
          </w:rPr>
          <w:instrText xml:space="preserve"> PAGEREF _Toc41684762 \h </w:instrText>
        </w:r>
        <w:r w:rsidR="00311F06">
          <w:rPr>
            <w:noProof/>
            <w:webHidden/>
          </w:rPr>
        </w:r>
        <w:r w:rsidR="00311F06">
          <w:rPr>
            <w:noProof/>
            <w:webHidden/>
          </w:rPr>
          <w:fldChar w:fldCharType="separate"/>
        </w:r>
        <w:r w:rsidR="00AA68F8">
          <w:rPr>
            <w:noProof/>
            <w:webHidden/>
          </w:rPr>
          <w:t>6-7</w:t>
        </w:r>
        <w:r w:rsidR="00311F06">
          <w:rPr>
            <w:noProof/>
            <w:webHidden/>
          </w:rPr>
          <w:fldChar w:fldCharType="end"/>
        </w:r>
      </w:hyperlink>
    </w:p>
    <w:p w14:paraId="37663E1D" w14:textId="24699133" w:rsidR="00311F06" w:rsidRDefault="00C723CB">
      <w:pPr>
        <w:pStyle w:val="TableofFigures"/>
        <w:rPr>
          <w:rFonts w:asciiTheme="minorHAnsi" w:eastAsiaTheme="minorEastAsia" w:hAnsiTheme="minorHAnsi" w:cstheme="minorBidi"/>
          <w:noProof/>
        </w:rPr>
      </w:pPr>
      <w:hyperlink w:anchor="_Toc41684763" w:history="1">
        <w:r w:rsidR="00311F06" w:rsidRPr="00757EDB">
          <w:rPr>
            <w:rStyle w:val="Hyperlink"/>
            <w:noProof/>
          </w:rPr>
          <w:t>Table 6</w:t>
        </w:r>
        <w:r w:rsidR="00311F06" w:rsidRPr="00757EDB">
          <w:rPr>
            <w:rStyle w:val="Hyperlink"/>
            <w:noProof/>
          </w:rPr>
          <w:noBreakHyphen/>
          <w:t>7: SBWRP Current Influent Loading and Peaking Factors</w:t>
        </w:r>
        <w:r w:rsidR="00311F06">
          <w:rPr>
            <w:noProof/>
            <w:webHidden/>
          </w:rPr>
          <w:tab/>
        </w:r>
        <w:r w:rsidR="00311F06">
          <w:rPr>
            <w:noProof/>
            <w:webHidden/>
          </w:rPr>
          <w:fldChar w:fldCharType="begin"/>
        </w:r>
        <w:r w:rsidR="00311F06">
          <w:rPr>
            <w:noProof/>
            <w:webHidden/>
          </w:rPr>
          <w:instrText xml:space="preserve"> PAGEREF _Toc41684763 \h </w:instrText>
        </w:r>
        <w:r w:rsidR="00311F06">
          <w:rPr>
            <w:noProof/>
            <w:webHidden/>
          </w:rPr>
        </w:r>
        <w:r w:rsidR="00311F06">
          <w:rPr>
            <w:noProof/>
            <w:webHidden/>
          </w:rPr>
          <w:fldChar w:fldCharType="separate"/>
        </w:r>
        <w:r w:rsidR="00AA68F8">
          <w:rPr>
            <w:noProof/>
            <w:webHidden/>
          </w:rPr>
          <w:t>6-8</w:t>
        </w:r>
        <w:r w:rsidR="00311F06">
          <w:rPr>
            <w:noProof/>
            <w:webHidden/>
          </w:rPr>
          <w:fldChar w:fldCharType="end"/>
        </w:r>
      </w:hyperlink>
    </w:p>
    <w:p w14:paraId="6869AE8E" w14:textId="320288E4" w:rsidR="00311F06" w:rsidRDefault="00C723CB">
      <w:pPr>
        <w:pStyle w:val="TableofFigures"/>
        <w:rPr>
          <w:rFonts w:asciiTheme="minorHAnsi" w:eastAsiaTheme="minorEastAsia" w:hAnsiTheme="minorHAnsi" w:cstheme="minorBidi"/>
          <w:noProof/>
        </w:rPr>
      </w:pPr>
      <w:hyperlink w:anchor="_Toc41684764" w:history="1">
        <w:r w:rsidR="00311F06" w:rsidRPr="00757EDB">
          <w:rPr>
            <w:rStyle w:val="Hyperlink"/>
            <w:noProof/>
          </w:rPr>
          <w:t>Table 6</w:t>
        </w:r>
        <w:r w:rsidR="00311F06" w:rsidRPr="00757EDB">
          <w:rPr>
            <w:rStyle w:val="Hyperlink"/>
            <w:noProof/>
          </w:rPr>
          <w:noBreakHyphen/>
          <w:t>8: SBWRP Projected Influent Loading</w:t>
        </w:r>
        <w:r w:rsidR="00311F06">
          <w:rPr>
            <w:noProof/>
            <w:webHidden/>
          </w:rPr>
          <w:tab/>
        </w:r>
        <w:r w:rsidR="00311F06">
          <w:rPr>
            <w:noProof/>
            <w:webHidden/>
          </w:rPr>
          <w:fldChar w:fldCharType="begin"/>
        </w:r>
        <w:r w:rsidR="00311F06">
          <w:rPr>
            <w:noProof/>
            <w:webHidden/>
          </w:rPr>
          <w:instrText xml:space="preserve"> PAGEREF _Toc41684764 \h </w:instrText>
        </w:r>
        <w:r w:rsidR="00311F06">
          <w:rPr>
            <w:noProof/>
            <w:webHidden/>
          </w:rPr>
        </w:r>
        <w:r w:rsidR="00311F06">
          <w:rPr>
            <w:noProof/>
            <w:webHidden/>
          </w:rPr>
          <w:fldChar w:fldCharType="separate"/>
        </w:r>
        <w:r w:rsidR="00AA68F8">
          <w:rPr>
            <w:noProof/>
            <w:webHidden/>
          </w:rPr>
          <w:t>6-8</w:t>
        </w:r>
        <w:r w:rsidR="00311F06">
          <w:rPr>
            <w:noProof/>
            <w:webHidden/>
          </w:rPr>
          <w:fldChar w:fldCharType="end"/>
        </w:r>
      </w:hyperlink>
    </w:p>
    <w:p w14:paraId="395A7D7D" w14:textId="0E888CB2" w:rsidR="00311F06" w:rsidRDefault="00C723CB">
      <w:pPr>
        <w:pStyle w:val="TableofFigures"/>
        <w:rPr>
          <w:rFonts w:asciiTheme="minorHAnsi" w:eastAsiaTheme="minorEastAsia" w:hAnsiTheme="minorHAnsi" w:cstheme="minorBidi"/>
          <w:noProof/>
        </w:rPr>
      </w:pPr>
      <w:hyperlink w:anchor="_Toc41684765" w:history="1">
        <w:r w:rsidR="00311F06" w:rsidRPr="00757EDB">
          <w:rPr>
            <w:rStyle w:val="Hyperlink"/>
            <w:noProof/>
          </w:rPr>
          <w:t>Table 6</w:t>
        </w:r>
        <w:r w:rsidR="00311F06" w:rsidRPr="00757EDB">
          <w:rPr>
            <w:rStyle w:val="Hyperlink"/>
            <w:noProof/>
          </w:rPr>
          <w:noBreakHyphen/>
          <w:t>9: 2025 Projected SBWRP Flows and Loads</w:t>
        </w:r>
        <w:r w:rsidR="00311F06">
          <w:rPr>
            <w:noProof/>
            <w:webHidden/>
          </w:rPr>
          <w:tab/>
        </w:r>
        <w:r w:rsidR="00311F06">
          <w:rPr>
            <w:noProof/>
            <w:webHidden/>
          </w:rPr>
          <w:fldChar w:fldCharType="begin"/>
        </w:r>
        <w:r w:rsidR="00311F06">
          <w:rPr>
            <w:noProof/>
            <w:webHidden/>
          </w:rPr>
          <w:instrText xml:space="preserve"> PAGEREF _Toc41684765 \h </w:instrText>
        </w:r>
        <w:r w:rsidR="00311F06">
          <w:rPr>
            <w:noProof/>
            <w:webHidden/>
          </w:rPr>
        </w:r>
        <w:r w:rsidR="00311F06">
          <w:rPr>
            <w:noProof/>
            <w:webHidden/>
          </w:rPr>
          <w:fldChar w:fldCharType="separate"/>
        </w:r>
        <w:r w:rsidR="00AA68F8">
          <w:rPr>
            <w:noProof/>
            <w:webHidden/>
          </w:rPr>
          <w:t>6-9</w:t>
        </w:r>
        <w:r w:rsidR="00311F06">
          <w:rPr>
            <w:noProof/>
            <w:webHidden/>
          </w:rPr>
          <w:fldChar w:fldCharType="end"/>
        </w:r>
      </w:hyperlink>
    </w:p>
    <w:p w14:paraId="5F8D0092" w14:textId="7FF972BD" w:rsidR="00311F06" w:rsidRDefault="00C723CB">
      <w:pPr>
        <w:pStyle w:val="TableofFigures"/>
        <w:rPr>
          <w:rFonts w:asciiTheme="minorHAnsi" w:eastAsiaTheme="minorEastAsia" w:hAnsiTheme="minorHAnsi" w:cstheme="minorBidi"/>
          <w:noProof/>
        </w:rPr>
      </w:pPr>
      <w:hyperlink w:anchor="_Toc41684766" w:history="1">
        <w:r w:rsidR="00311F06" w:rsidRPr="00757EDB">
          <w:rPr>
            <w:rStyle w:val="Hyperlink"/>
            <w:noProof/>
          </w:rPr>
          <w:t>Table 6</w:t>
        </w:r>
        <w:r w:rsidR="00311F06" w:rsidRPr="00757EDB">
          <w:rPr>
            <w:rStyle w:val="Hyperlink"/>
            <w:noProof/>
          </w:rPr>
          <w:noBreakHyphen/>
          <w:t>10: 2040 Projected SBWRP Flows and Loads</w:t>
        </w:r>
        <w:r w:rsidR="00311F06">
          <w:rPr>
            <w:noProof/>
            <w:webHidden/>
          </w:rPr>
          <w:tab/>
        </w:r>
        <w:r w:rsidR="00311F06">
          <w:rPr>
            <w:noProof/>
            <w:webHidden/>
          </w:rPr>
          <w:fldChar w:fldCharType="begin"/>
        </w:r>
        <w:r w:rsidR="00311F06">
          <w:rPr>
            <w:noProof/>
            <w:webHidden/>
          </w:rPr>
          <w:instrText xml:space="preserve"> PAGEREF _Toc41684766 \h </w:instrText>
        </w:r>
        <w:r w:rsidR="00311F06">
          <w:rPr>
            <w:noProof/>
            <w:webHidden/>
          </w:rPr>
        </w:r>
        <w:r w:rsidR="00311F06">
          <w:rPr>
            <w:noProof/>
            <w:webHidden/>
          </w:rPr>
          <w:fldChar w:fldCharType="separate"/>
        </w:r>
        <w:r w:rsidR="00AA68F8">
          <w:rPr>
            <w:noProof/>
            <w:webHidden/>
          </w:rPr>
          <w:t>6-9</w:t>
        </w:r>
        <w:r w:rsidR="00311F06">
          <w:rPr>
            <w:noProof/>
            <w:webHidden/>
          </w:rPr>
          <w:fldChar w:fldCharType="end"/>
        </w:r>
      </w:hyperlink>
    </w:p>
    <w:p w14:paraId="3F5BCAEA" w14:textId="4CD0129A" w:rsidR="00311F06" w:rsidRDefault="00C723CB">
      <w:pPr>
        <w:pStyle w:val="TableofFigures"/>
        <w:rPr>
          <w:rFonts w:asciiTheme="minorHAnsi" w:eastAsiaTheme="minorEastAsia" w:hAnsiTheme="minorHAnsi" w:cstheme="minorBidi"/>
          <w:noProof/>
        </w:rPr>
      </w:pPr>
      <w:hyperlink w:anchor="_Toc41684767" w:history="1">
        <w:r w:rsidR="00311F06" w:rsidRPr="00757EDB">
          <w:rPr>
            <w:rStyle w:val="Hyperlink"/>
            <w:noProof/>
          </w:rPr>
          <w:t>Table 7</w:t>
        </w:r>
        <w:r w:rsidR="00311F06" w:rsidRPr="00757EDB">
          <w:rPr>
            <w:rStyle w:val="Hyperlink"/>
            <w:noProof/>
          </w:rPr>
          <w:noBreakHyphen/>
          <w:t>1: Summary of RIX Discharge Requirements Below 20:1 Dilution</w:t>
        </w:r>
        <w:r w:rsidR="00311F06">
          <w:rPr>
            <w:noProof/>
            <w:webHidden/>
          </w:rPr>
          <w:tab/>
        </w:r>
        <w:r w:rsidR="00311F06">
          <w:rPr>
            <w:noProof/>
            <w:webHidden/>
          </w:rPr>
          <w:fldChar w:fldCharType="begin"/>
        </w:r>
        <w:r w:rsidR="00311F06">
          <w:rPr>
            <w:noProof/>
            <w:webHidden/>
          </w:rPr>
          <w:instrText xml:space="preserve"> PAGEREF _Toc41684767 \h </w:instrText>
        </w:r>
        <w:r w:rsidR="00311F06">
          <w:rPr>
            <w:noProof/>
            <w:webHidden/>
          </w:rPr>
        </w:r>
        <w:r w:rsidR="00311F06">
          <w:rPr>
            <w:noProof/>
            <w:webHidden/>
          </w:rPr>
          <w:fldChar w:fldCharType="separate"/>
        </w:r>
        <w:r w:rsidR="00AA68F8">
          <w:rPr>
            <w:noProof/>
            <w:webHidden/>
          </w:rPr>
          <w:t>7-2</w:t>
        </w:r>
        <w:r w:rsidR="00311F06">
          <w:rPr>
            <w:noProof/>
            <w:webHidden/>
          </w:rPr>
          <w:fldChar w:fldCharType="end"/>
        </w:r>
      </w:hyperlink>
    </w:p>
    <w:p w14:paraId="3F843FBC" w14:textId="253F6084" w:rsidR="00311F06" w:rsidRDefault="00C723CB">
      <w:pPr>
        <w:pStyle w:val="TableofFigures"/>
        <w:rPr>
          <w:rFonts w:asciiTheme="minorHAnsi" w:eastAsiaTheme="minorEastAsia" w:hAnsiTheme="minorHAnsi" w:cstheme="minorBidi"/>
          <w:noProof/>
        </w:rPr>
      </w:pPr>
      <w:hyperlink w:anchor="_Toc41684768" w:history="1">
        <w:r w:rsidR="00311F06" w:rsidRPr="00757EDB">
          <w:rPr>
            <w:rStyle w:val="Hyperlink"/>
            <w:noProof/>
          </w:rPr>
          <w:t>Table 7</w:t>
        </w:r>
        <w:r w:rsidR="00311F06" w:rsidRPr="00757EDB">
          <w:rPr>
            <w:rStyle w:val="Hyperlink"/>
            <w:noProof/>
          </w:rPr>
          <w:noBreakHyphen/>
          <w:t>2: Summary of RIX Discharge Requirements at 20:1 Dilution or More</w:t>
        </w:r>
        <w:r w:rsidR="00311F06">
          <w:rPr>
            <w:noProof/>
            <w:webHidden/>
          </w:rPr>
          <w:tab/>
        </w:r>
        <w:r w:rsidR="00311F06">
          <w:rPr>
            <w:noProof/>
            <w:webHidden/>
          </w:rPr>
          <w:fldChar w:fldCharType="begin"/>
        </w:r>
        <w:r w:rsidR="00311F06">
          <w:rPr>
            <w:noProof/>
            <w:webHidden/>
          </w:rPr>
          <w:instrText xml:space="preserve"> PAGEREF _Toc41684768 \h </w:instrText>
        </w:r>
        <w:r w:rsidR="00311F06">
          <w:rPr>
            <w:noProof/>
            <w:webHidden/>
          </w:rPr>
        </w:r>
        <w:r w:rsidR="00311F06">
          <w:rPr>
            <w:noProof/>
            <w:webHidden/>
          </w:rPr>
          <w:fldChar w:fldCharType="separate"/>
        </w:r>
        <w:r w:rsidR="00AA68F8">
          <w:rPr>
            <w:noProof/>
            <w:webHidden/>
          </w:rPr>
          <w:t>7-2</w:t>
        </w:r>
        <w:r w:rsidR="00311F06">
          <w:rPr>
            <w:noProof/>
            <w:webHidden/>
          </w:rPr>
          <w:fldChar w:fldCharType="end"/>
        </w:r>
      </w:hyperlink>
    </w:p>
    <w:p w14:paraId="4F8DE923" w14:textId="726F29E1" w:rsidR="00311F06" w:rsidRDefault="00C723CB">
      <w:pPr>
        <w:pStyle w:val="TableofFigures"/>
        <w:rPr>
          <w:rFonts w:asciiTheme="minorHAnsi" w:eastAsiaTheme="minorEastAsia" w:hAnsiTheme="minorHAnsi" w:cstheme="minorBidi"/>
          <w:noProof/>
        </w:rPr>
      </w:pPr>
      <w:hyperlink w:anchor="_Toc41684769" w:history="1">
        <w:r w:rsidR="00311F06" w:rsidRPr="00757EDB">
          <w:rPr>
            <w:rStyle w:val="Hyperlink"/>
            <w:noProof/>
          </w:rPr>
          <w:t>Table 7</w:t>
        </w:r>
        <w:r w:rsidR="00311F06" w:rsidRPr="00757EDB">
          <w:rPr>
            <w:rStyle w:val="Hyperlink"/>
            <w:noProof/>
          </w:rPr>
          <w:noBreakHyphen/>
          <w:t>3: Summary of SBWRP Discharge Requirements with 20:1 Dilution</w:t>
        </w:r>
        <w:r w:rsidR="00311F06">
          <w:rPr>
            <w:noProof/>
            <w:webHidden/>
          </w:rPr>
          <w:tab/>
        </w:r>
        <w:r w:rsidR="00311F06">
          <w:rPr>
            <w:noProof/>
            <w:webHidden/>
          </w:rPr>
          <w:fldChar w:fldCharType="begin"/>
        </w:r>
        <w:r w:rsidR="00311F06">
          <w:rPr>
            <w:noProof/>
            <w:webHidden/>
          </w:rPr>
          <w:instrText xml:space="preserve"> PAGEREF _Toc41684769 \h </w:instrText>
        </w:r>
        <w:r w:rsidR="00311F06">
          <w:rPr>
            <w:noProof/>
            <w:webHidden/>
          </w:rPr>
        </w:r>
        <w:r w:rsidR="00311F06">
          <w:rPr>
            <w:noProof/>
            <w:webHidden/>
          </w:rPr>
          <w:fldChar w:fldCharType="separate"/>
        </w:r>
        <w:r w:rsidR="00AA68F8">
          <w:rPr>
            <w:noProof/>
            <w:webHidden/>
          </w:rPr>
          <w:t>7-2</w:t>
        </w:r>
        <w:r w:rsidR="00311F06">
          <w:rPr>
            <w:noProof/>
            <w:webHidden/>
          </w:rPr>
          <w:fldChar w:fldCharType="end"/>
        </w:r>
      </w:hyperlink>
    </w:p>
    <w:p w14:paraId="1235B564" w14:textId="687E624C" w:rsidR="00311F06" w:rsidRDefault="00C723CB">
      <w:pPr>
        <w:pStyle w:val="TableofFigures"/>
        <w:rPr>
          <w:rFonts w:asciiTheme="minorHAnsi" w:eastAsiaTheme="minorEastAsia" w:hAnsiTheme="minorHAnsi" w:cstheme="minorBidi"/>
          <w:noProof/>
        </w:rPr>
      </w:pPr>
      <w:hyperlink w:anchor="_Toc41684770" w:history="1">
        <w:r w:rsidR="00311F06" w:rsidRPr="00757EDB">
          <w:rPr>
            <w:rStyle w:val="Hyperlink"/>
            <w:noProof/>
          </w:rPr>
          <w:t>Table 7</w:t>
        </w:r>
        <w:r w:rsidR="00311F06" w:rsidRPr="00757EDB">
          <w:rPr>
            <w:rStyle w:val="Hyperlink"/>
            <w:noProof/>
          </w:rPr>
          <w:noBreakHyphen/>
          <w:t>4: Part 503 Pollutant Limits for Biosolids Applied to Land</w:t>
        </w:r>
        <w:r w:rsidR="00311F06">
          <w:rPr>
            <w:noProof/>
            <w:webHidden/>
          </w:rPr>
          <w:tab/>
        </w:r>
        <w:r w:rsidR="00311F06">
          <w:rPr>
            <w:noProof/>
            <w:webHidden/>
          </w:rPr>
          <w:fldChar w:fldCharType="begin"/>
        </w:r>
        <w:r w:rsidR="00311F06">
          <w:rPr>
            <w:noProof/>
            <w:webHidden/>
          </w:rPr>
          <w:instrText xml:space="preserve"> PAGEREF _Toc41684770 \h </w:instrText>
        </w:r>
        <w:r w:rsidR="00311F06">
          <w:rPr>
            <w:noProof/>
            <w:webHidden/>
          </w:rPr>
        </w:r>
        <w:r w:rsidR="00311F06">
          <w:rPr>
            <w:noProof/>
            <w:webHidden/>
          </w:rPr>
          <w:fldChar w:fldCharType="separate"/>
        </w:r>
        <w:r w:rsidR="00AA68F8">
          <w:rPr>
            <w:noProof/>
            <w:webHidden/>
          </w:rPr>
          <w:t>7-6</w:t>
        </w:r>
        <w:r w:rsidR="00311F06">
          <w:rPr>
            <w:noProof/>
            <w:webHidden/>
          </w:rPr>
          <w:fldChar w:fldCharType="end"/>
        </w:r>
      </w:hyperlink>
    </w:p>
    <w:p w14:paraId="317C705B" w14:textId="07801B0F" w:rsidR="00311F06" w:rsidRDefault="00C723CB">
      <w:pPr>
        <w:pStyle w:val="TableofFigures"/>
        <w:rPr>
          <w:rFonts w:asciiTheme="minorHAnsi" w:eastAsiaTheme="minorEastAsia" w:hAnsiTheme="minorHAnsi" w:cstheme="minorBidi"/>
          <w:noProof/>
        </w:rPr>
      </w:pPr>
      <w:hyperlink w:anchor="_Toc41684771" w:history="1">
        <w:r w:rsidR="00311F06" w:rsidRPr="00757EDB">
          <w:rPr>
            <w:rStyle w:val="Hyperlink"/>
            <w:noProof/>
          </w:rPr>
          <w:t>Table 7</w:t>
        </w:r>
        <w:r w:rsidR="00311F06" w:rsidRPr="00757EDB">
          <w:rPr>
            <w:rStyle w:val="Hyperlink"/>
            <w:noProof/>
          </w:rPr>
          <w:noBreakHyphen/>
          <w:t>5: Alternatives for Pathogen Reduction</w:t>
        </w:r>
        <w:r w:rsidR="00311F06">
          <w:rPr>
            <w:noProof/>
            <w:webHidden/>
          </w:rPr>
          <w:tab/>
        </w:r>
        <w:r w:rsidR="00311F06">
          <w:rPr>
            <w:noProof/>
            <w:webHidden/>
          </w:rPr>
          <w:fldChar w:fldCharType="begin"/>
        </w:r>
        <w:r w:rsidR="00311F06">
          <w:rPr>
            <w:noProof/>
            <w:webHidden/>
          </w:rPr>
          <w:instrText xml:space="preserve"> PAGEREF _Toc41684771 \h </w:instrText>
        </w:r>
        <w:r w:rsidR="00311F06">
          <w:rPr>
            <w:noProof/>
            <w:webHidden/>
          </w:rPr>
        </w:r>
        <w:r w:rsidR="00311F06">
          <w:rPr>
            <w:noProof/>
            <w:webHidden/>
          </w:rPr>
          <w:fldChar w:fldCharType="separate"/>
        </w:r>
        <w:r w:rsidR="00AA68F8">
          <w:rPr>
            <w:noProof/>
            <w:webHidden/>
          </w:rPr>
          <w:t>7-7</w:t>
        </w:r>
        <w:r w:rsidR="00311F06">
          <w:rPr>
            <w:noProof/>
            <w:webHidden/>
          </w:rPr>
          <w:fldChar w:fldCharType="end"/>
        </w:r>
      </w:hyperlink>
    </w:p>
    <w:p w14:paraId="0DEF214A" w14:textId="45AF4004" w:rsidR="00311F06" w:rsidRDefault="00C723CB">
      <w:pPr>
        <w:pStyle w:val="TableofFigures"/>
        <w:rPr>
          <w:rFonts w:asciiTheme="minorHAnsi" w:eastAsiaTheme="minorEastAsia" w:hAnsiTheme="minorHAnsi" w:cstheme="minorBidi"/>
          <w:noProof/>
        </w:rPr>
      </w:pPr>
      <w:hyperlink w:anchor="_Toc41684772" w:history="1">
        <w:r w:rsidR="00311F06" w:rsidRPr="00757EDB">
          <w:rPr>
            <w:rStyle w:val="Hyperlink"/>
            <w:noProof/>
          </w:rPr>
          <w:t>Table 7</w:t>
        </w:r>
        <w:r w:rsidR="00311F06" w:rsidRPr="00757EDB">
          <w:rPr>
            <w:rStyle w:val="Hyperlink"/>
            <w:noProof/>
          </w:rPr>
          <w:noBreakHyphen/>
          <w:t>6: Vector Attraction Reduction Options for Class A Biosolids</w:t>
        </w:r>
        <w:r w:rsidR="00311F06">
          <w:rPr>
            <w:noProof/>
            <w:webHidden/>
          </w:rPr>
          <w:tab/>
        </w:r>
        <w:r w:rsidR="00311F06">
          <w:rPr>
            <w:noProof/>
            <w:webHidden/>
          </w:rPr>
          <w:fldChar w:fldCharType="begin"/>
        </w:r>
        <w:r w:rsidR="00311F06">
          <w:rPr>
            <w:noProof/>
            <w:webHidden/>
          </w:rPr>
          <w:instrText xml:space="preserve"> PAGEREF _Toc41684772 \h </w:instrText>
        </w:r>
        <w:r w:rsidR="00311F06">
          <w:rPr>
            <w:noProof/>
            <w:webHidden/>
          </w:rPr>
        </w:r>
        <w:r w:rsidR="00311F06">
          <w:rPr>
            <w:noProof/>
            <w:webHidden/>
          </w:rPr>
          <w:fldChar w:fldCharType="separate"/>
        </w:r>
        <w:r w:rsidR="00AA68F8">
          <w:rPr>
            <w:noProof/>
            <w:webHidden/>
          </w:rPr>
          <w:t>7-7</w:t>
        </w:r>
        <w:r w:rsidR="00311F06">
          <w:rPr>
            <w:noProof/>
            <w:webHidden/>
          </w:rPr>
          <w:fldChar w:fldCharType="end"/>
        </w:r>
      </w:hyperlink>
    </w:p>
    <w:p w14:paraId="29DCB946" w14:textId="49449AA1" w:rsidR="00311F06" w:rsidRDefault="00C723CB">
      <w:pPr>
        <w:pStyle w:val="TableofFigures"/>
        <w:rPr>
          <w:rFonts w:asciiTheme="minorHAnsi" w:eastAsiaTheme="minorEastAsia" w:hAnsiTheme="minorHAnsi" w:cstheme="minorBidi"/>
          <w:noProof/>
        </w:rPr>
      </w:pPr>
      <w:hyperlink w:anchor="_Toc41684773" w:history="1">
        <w:r w:rsidR="00311F06" w:rsidRPr="00757EDB">
          <w:rPr>
            <w:rStyle w:val="Hyperlink"/>
            <w:noProof/>
          </w:rPr>
          <w:t>Table 7</w:t>
        </w:r>
        <w:r w:rsidR="00311F06" w:rsidRPr="00757EDB">
          <w:rPr>
            <w:rStyle w:val="Hyperlink"/>
            <w:noProof/>
          </w:rPr>
          <w:noBreakHyphen/>
          <w:t>7: Rule 1110.2 Emission Limits for Digester Gas-fired Engines</w:t>
        </w:r>
        <w:r w:rsidR="00311F06">
          <w:rPr>
            <w:noProof/>
            <w:webHidden/>
          </w:rPr>
          <w:tab/>
        </w:r>
        <w:r w:rsidR="00311F06">
          <w:rPr>
            <w:noProof/>
            <w:webHidden/>
          </w:rPr>
          <w:fldChar w:fldCharType="begin"/>
        </w:r>
        <w:r w:rsidR="00311F06">
          <w:rPr>
            <w:noProof/>
            <w:webHidden/>
          </w:rPr>
          <w:instrText xml:space="preserve"> PAGEREF _Toc41684773 \h </w:instrText>
        </w:r>
        <w:r w:rsidR="00311F06">
          <w:rPr>
            <w:noProof/>
            <w:webHidden/>
          </w:rPr>
        </w:r>
        <w:r w:rsidR="00311F06">
          <w:rPr>
            <w:noProof/>
            <w:webHidden/>
          </w:rPr>
          <w:fldChar w:fldCharType="separate"/>
        </w:r>
        <w:r w:rsidR="00AA68F8">
          <w:rPr>
            <w:noProof/>
            <w:webHidden/>
          </w:rPr>
          <w:t>7-9</w:t>
        </w:r>
        <w:r w:rsidR="00311F06">
          <w:rPr>
            <w:noProof/>
            <w:webHidden/>
          </w:rPr>
          <w:fldChar w:fldCharType="end"/>
        </w:r>
      </w:hyperlink>
    </w:p>
    <w:p w14:paraId="13BC7E69" w14:textId="09104EB9" w:rsidR="00311F06" w:rsidRDefault="00C723CB">
      <w:pPr>
        <w:pStyle w:val="TableofFigures"/>
        <w:rPr>
          <w:rFonts w:asciiTheme="minorHAnsi" w:eastAsiaTheme="minorEastAsia" w:hAnsiTheme="minorHAnsi" w:cstheme="minorBidi"/>
          <w:noProof/>
        </w:rPr>
      </w:pPr>
      <w:hyperlink w:anchor="_Toc41684774" w:history="1">
        <w:r w:rsidR="00311F06" w:rsidRPr="00757EDB">
          <w:rPr>
            <w:rStyle w:val="Hyperlink"/>
            <w:noProof/>
          </w:rPr>
          <w:t>Table 7</w:t>
        </w:r>
        <w:r w:rsidR="00311F06" w:rsidRPr="00757EDB">
          <w:rPr>
            <w:rStyle w:val="Hyperlink"/>
            <w:noProof/>
          </w:rPr>
          <w:noBreakHyphen/>
          <w:t>8: Emission Limits</w:t>
        </w:r>
        <w:r w:rsidR="00311F06">
          <w:rPr>
            <w:noProof/>
            <w:webHidden/>
          </w:rPr>
          <w:tab/>
        </w:r>
        <w:r w:rsidR="00311F06">
          <w:rPr>
            <w:noProof/>
            <w:webHidden/>
          </w:rPr>
          <w:fldChar w:fldCharType="begin"/>
        </w:r>
        <w:r w:rsidR="00311F06">
          <w:rPr>
            <w:noProof/>
            <w:webHidden/>
          </w:rPr>
          <w:instrText xml:space="preserve"> PAGEREF _Toc41684774 \h </w:instrText>
        </w:r>
        <w:r w:rsidR="00311F06">
          <w:rPr>
            <w:noProof/>
            <w:webHidden/>
          </w:rPr>
        </w:r>
        <w:r w:rsidR="00311F06">
          <w:rPr>
            <w:noProof/>
            <w:webHidden/>
          </w:rPr>
          <w:fldChar w:fldCharType="separate"/>
        </w:r>
        <w:r w:rsidR="00AA68F8">
          <w:rPr>
            <w:noProof/>
            <w:webHidden/>
          </w:rPr>
          <w:t>7-10</w:t>
        </w:r>
        <w:r w:rsidR="00311F06">
          <w:rPr>
            <w:noProof/>
            <w:webHidden/>
          </w:rPr>
          <w:fldChar w:fldCharType="end"/>
        </w:r>
      </w:hyperlink>
    </w:p>
    <w:p w14:paraId="414A3CAA" w14:textId="53277AE6" w:rsidR="00311F06" w:rsidRDefault="00C723CB">
      <w:pPr>
        <w:pStyle w:val="TableofFigures"/>
        <w:rPr>
          <w:rFonts w:asciiTheme="minorHAnsi" w:eastAsiaTheme="minorEastAsia" w:hAnsiTheme="minorHAnsi" w:cstheme="minorBidi"/>
          <w:noProof/>
        </w:rPr>
      </w:pPr>
      <w:hyperlink w:anchor="_Toc41684775" w:history="1">
        <w:r w:rsidR="00311F06" w:rsidRPr="00757EDB">
          <w:rPr>
            <w:rStyle w:val="Hyperlink"/>
            <w:noProof/>
          </w:rPr>
          <w:t>Table 7</w:t>
        </w:r>
        <w:r w:rsidR="00311F06" w:rsidRPr="00757EDB">
          <w:rPr>
            <w:rStyle w:val="Hyperlink"/>
            <w:noProof/>
          </w:rPr>
          <w:noBreakHyphen/>
          <w:t>9: SCAQMD Permits to Operate</w:t>
        </w:r>
        <w:r w:rsidR="00311F06">
          <w:rPr>
            <w:noProof/>
            <w:webHidden/>
          </w:rPr>
          <w:tab/>
        </w:r>
        <w:r w:rsidR="00311F06">
          <w:rPr>
            <w:noProof/>
            <w:webHidden/>
          </w:rPr>
          <w:fldChar w:fldCharType="begin"/>
        </w:r>
        <w:r w:rsidR="00311F06">
          <w:rPr>
            <w:noProof/>
            <w:webHidden/>
          </w:rPr>
          <w:instrText xml:space="preserve"> PAGEREF _Toc41684775 \h </w:instrText>
        </w:r>
        <w:r w:rsidR="00311F06">
          <w:rPr>
            <w:noProof/>
            <w:webHidden/>
          </w:rPr>
        </w:r>
        <w:r w:rsidR="00311F06">
          <w:rPr>
            <w:noProof/>
            <w:webHidden/>
          </w:rPr>
          <w:fldChar w:fldCharType="separate"/>
        </w:r>
        <w:r w:rsidR="00AA68F8">
          <w:rPr>
            <w:noProof/>
            <w:webHidden/>
          </w:rPr>
          <w:t>7-11</w:t>
        </w:r>
        <w:r w:rsidR="00311F06">
          <w:rPr>
            <w:noProof/>
            <w:webHidden/>
          </w:rPr>
          <w:fldChar w:fldCharType="end"/>
        </w:r>
      </w:hyperlink>
    </w:p>
    <w:p w14:paraId="58061A47" w14:textId="78A7D13C" w:rsidR="00311F06" w:rsidRDefault="00C723CB">
      <w:pPr>
        <w:pStyle w:val="TableofFigures"/>
        <w:rPr>
          <w:rFonts w:asciiTheme="minorHAnsi" w:eastAsiaTheme="minorEastAsia" w:hAnsiTheme="minorHAnsi" w:cstheme="minorBidi"/>
          <w:noProof/>
        </w:rPr>
      </w:pPr>
      <w:hyperlink w:anchor="_Toc41684776" w:history="1">
        <w:r w:rsidR="00311F06" w:rsidRPr="00757EDB">
          <w:rPr>
            <w:rStyle w:val="Hyperlink"/>
            <w:noProof/>
          </w:rPr>
          <w:t>Table 7</w:t>
        </w:r>
        <w:r w:rsidR="00311F06" w:rsidRPr="00757EDB">
          <w:rPr>
            <w:rStyle w:val="Hyperlink"/>
            <w:noProof/>
          </w:rPr>
          <w:noBreakHyphen/>
          <w:t>10: Senate Bill 1383 Implementation Dates</w:t>
        </w:r>
        <w:r w:rsidR="00311F06">
          <w:rPr>
            <w:noProof/>
            <w:webHidden/>
          </w:rPr>
          <w:tab/>
        </w:r>
        <w:r w:rsidR="00311F06">
          <w:rPr>
            <w:noProof/>
            <w:webHidden/>
          </w:rPr>
          <w:fldChar w:fldCharType="begin"/>
        </w:r>
        <w:r w:rsidR="00311F06">
          <w:rPr>
            <w:noProof/>
            <w:webHidden/>
          </w:rPr>
          <w:instrText xml:space="preserve"> PAGEREF _Toc41684776 \h </w:instrText>
        </w:r>
        <w:r w:rsidR="00311F06">
          <w:rPr>
            <w:noProof/>
            <w:webHidden/>
          </w:rPr>
        </w:r>
        <w:r w:rsidR="00311F06">
          <w:rPr>
            <w:noProof/>
            <w:webHidden/>
          </w:rPr>
          <w:fldChar w:fldCharType="separate"/>
        </w:r>
        <w:r w:rsidR="00AA68F8">
          <w:rPr>
            <w:noProof/>
            <w:webHidden/>
          </w:rPr>
          <w:t>7-12</w:t>
        </w:r>
        <w:r w:rsidR="00311F06">
          <w:rPr>
            <w:noProof/>
            <w:webHidden/>
          </w:rPr>
          <w:fldChar w:fldCharType="end"/>
        </w:r>
      </w:hyperlink>
    </w:p>
    <w:p w14:paraId="7D2AEB6F" w14:textId="47779D9B" w:rsidR="00311F06" w:rsidRDefault="00C723CB">
      <w:pPr>
        <w:pStyle w:val="TableofFigures"/>
        <w:rPr>
          <w:rFonts w:asciiTheme="minorHAnsi" w:eastAsiaTheme="minorEastAsia" w:hAnsiTheme="minorHAnsi" w:cstheme="minorBidi"/>
          <w:noProof/>
        </w:rPr>
      </w:pPr>
      <w:hyperlink w:anchor="_Toc41684777" w:history="1">
        <w:r w:rsidR="00311F06" w:rsidRPr="00757EDB">
          <w:rPr>
            <w:rStyle w:val="Hyperlink"/>
            <w:noProof/>
          </w:rPr>
          <w:t>Table 7</w:t>
        </w:r>
        <w:r w:rsidR="00311F06" w:rsidRPr="00757EDB">
          <w:rPr>
            <w:rStyle w:val="Hyperlink"/>
            <w:noProof/>
          </w:rPr>
          <w:noBreakHyphen/>
          <w:t>11: Most Hazardous Wildlife Species to Aircraft</w:t>
        </w:r>
        <w:r w:rsidR="00311F06">
          <w:rPr>
            <w:noProof/>
            <w:webHidden/>
          </w:rPr>
          <w:tab/>
        </w:r>
        <w:r w:rsidR="00311F06">
          <w:rPr>
            <w:noProof/>
            <w:webHidden/>
          </w:rPr>
          <w:fldChar w:fldCharType="begin"/>
        </w:r>
        <w:r w:rsidR="00311F06">
          <w:rPr>
            <w:noProof/>
            <w:webHidden/>
          </w:rPr>
          <w:instrText xml:space="preserve"> PAGEREF _Toc41684777 \h </w:instrText>
        </w:r>
        <w:r w:rsidR="00311F06">
          <w:rPr>
            <w:noProof/>
            <w:webHidden/>
          </w:rPr>
        </w:r>
        <w:r w:rsidR="00311F06">
          <w:rPr>
            <w:noProof/>
            <w:webHidden/>
          </w:rPr>
          <w:fldChar w:fldCharType="separate"/>
        </w:r>
        <w:r w:rsidR="00AA68F8">
          <w:rPr>
            <w:noProof/>
            <w:webHidden/>
          </w:rPr>
          <w:t>7-15</w:t>
        </w:r>
        <w:r w:rsidR="00311F06">
          <w:rPr>
            <w:noProof/>
            <w:webHidden/>
          </w:rPr>
          <w:fldChar w:fldCharType="end"/>
        </w:r>
      </w:hyperlink>
    </w:p>
    <w:p w14:paraId="7296F2C3" w14:textId="62889A80" w:rsidR="00311F06" w:rsidRDefault="00C723CB">
      <w:pPr>
        <w:pStyle w:val="TableofFigures"/>
        <w:rPr>
          <w:rFonts w:asciiTheme="minorHAnsi" w:eastAsiaTheme="minorEastAsia" w:hAnsiTheme="minorHAnsi" w:cstheme="minorBidi"/>
          <w:noProof/>
        </w:rPr>
      </w:pPr>
      <w:hyperlink w:anchor="_Toc41684778" w:history="1">
        <w:r w:rsidR="00311F06" w:rsidRPr="00757EDB">
          <w:rPr>
            <w:rStyle w:val="Hyperlink"/>
            <w:noProof/>
          </w:rPr>
          <w:t>Table 8</w:t>
        </w:r>
        <w:r w:rsidR="00311F06" w:rsidRPr="00757EDB">
          <w:rPr>
            <w:rStyle w:val="Hyperlink"/>
            <w:noProof/>
          </w:rPr>
          <w:noBreakHyphen/>
          <w:t>1: Peak Hydraulic Capacity of Treatment Units</w:t>
        </w:r>
        <w:r w:rsidR="00311F06">
          <w:rPr>
            <w:noProof/>
            <w:webHidden/>
          </w:rPr>
          <w:tab/>
        </w:r>
        <w:r w:rsidR="00311F06">
          <w:rPr>
            <w:noProof/>
            <w:webHidden/>
          </w:rPr>
          <w:fldChar w:fldCharType="begin"/>
        </w:r>
        <w:r w:rsidR="00311F06">
          <w:rPr>
            <w:noProof/>
            <w:webHidden/>
          </w:rPr>
          <w:instrText xml:space="preserve"> PAGEREF _Toc41684778 \h </w:instrText>
        </w:r>
        <w:r w:rsidR="00311F06">
          <w:rPr>
            <w:noProof/>
            <w:webHidden/>
          </w:rPr>
        </w:r>
        <w:r w:rsidR="00311F06">
          <w:rPr>
            <w:noProof/>
            <w:webHidden/>
          </w:rPr>
          <w:fldChar w:fldCharType="separate"/>
        </w:r>
        <w:r w:rsidR="00AA68F8">
          <w:rPr>
            <w:noProof/>
            <w:webHidden/>
          </w:rPr>
          <w:t>8-1</w:t>
        </w:r>
        <w:r w:rsidR="00311F06">
          <w:rPr>
            <w:noProof/>
            <w:webHidden/>
          </w:rPr>
          <w:fldChar w:fldCharType="end"/>
        </w:r>
      </w:hyperlink>
    </w:p>
    <w:p w14:paraId="23EC2358" w14:textId="54330987" w:rsidR="00311F06" w:rsidRDefault="00C723CB">
      <w:pPr>
        <w:pStyle w:val="TableofFigures"/>
        <w:rPr>
          <w:rFonts w:asciiTheme="minorHAnsi" w:eastAsiaTheme="minorEastAsia" w:hAnsiTheme="minorHAnsi" w:cstheme="minorBidi"/>
          <w:noProof/>
        </w:rPr>
      </w:pPr>
      <w:hyperlink w:anchor="_Toc41684779" w:history="1">
        <w:r w:rsidR="00311F06" w:rsidRPr="00757EDB">
          <w:rPr>
            <w:rStyle w:val="Hyperlink"/>
            <w:noProof/>
          </w:rPr>
          <w:t>Table 8</w:t>
        </w:r>
        <w:r w:rsidR="00311F06" w:rsidRPr="00757EDB">
          <w:rPr>
            <w:rStyle w:val="Hyperlink"/>
            <w:noProof/>
          </w:rPr>
          <w:noBreakHyphen/>
          <w:t>2: WRP Flow Distribution</w:t>
        </w:r>
        <w:r w:rsidR="00311F06">
          <w:rPr>
            <w:noProof/>
            <w:webHidden/>
          </w:rPr>
          <w:tab/>
        </w:r>
        <w:r w:rsidR="00311F06">
          <w:rPr>
            <w:noProof/>
            <w:webHidden/>
          </w:rPr>
          <w:fldChar w:fldCharType="begin"/>
        </w:r>
        <w:r w:rsidR="00311F06">
          <w:rPr>
            <w:noProof/>
            <w:webHidden/>
          </w:rPr>
          <w:instrText xml:space="preserve"> PAGEREF _Toc41684779 \h </w:instrText>
        </w:r>
        <w:r w:rsidR="00311F06">
          <w:rPr>
            <w:noProof/>
            <w:webHidden/>
          </w:rPr>
        </w:r>
        <w:r w:rsidR="00311F06">
          <w:rPr>
            <w:noProof/>
            <w:webHidden/>
          </w:rPr>
          <w:fldChar w:fldCharType="separate"/>
        </w:r>
        <w:r w:rsidR="00AA68F8">
          <w:rPr>
            <w:noProof/>
            <w:webHidden/>
          </w:rPr>
          <w:t>8-2</w:t>
        </w:r>
        <w:r w:rsidR="00311F06">
          <w:rPr>
            <w:noProof/>
            <w:webHidden/>
          </w:rPr>
          <w:fldChar w:fldCharType="end"/>
        </w:r>
      </w:hyperlink>
    </w:p>
    <w:p w14:paraId="3514AE3A" w14:textId="5F272D2E" w:rsidR="00311F06" w:rsidRDefault="00C723CB">
      <w:pPr>
        <w:pStyle w:val="TableofFigures"/>
        <w:rPr>
          <w:rFonts w:asciiTheme="minorHAnsi" w:eastAsiaTheme="minorEastAsia" w:hAnsiTheme="minorHAnsi" w:cstheme="minorBidi"/>
          <w:noProof/>
        </w:rPr>
      </w:pPr>
      <w:hyperlink w:anchor="_Toc41684780" w:history="1">
        <w:r w:rsidR="00311F06" w:rsidRPr="00757EDB">
          <w:rPr>
            <w:rStyle w:val="Hyperlink"/>
            <w:noProof/>
          </w:rPr>
          <w:t>Table 8</w:t>
        </w:r>
        <w:r w:rsidR="00311F06" w:rsidRPr="00757EDB">
          <w:rPr>
            <w:rStyle w:val="Hyperlink"/>
            <w:noProof/>
          </w:rPr>
          <w:noBreakHyphen/>
          <w:t>3: Primary Treatment Average Performance</w:t>
        </w:r>
        <w:r w:rsidR="00311F06">
          <w:rPr>
            <w:noProof/>
            <w:webHidden/>
          </w:rPr>
          <w:tab/>
        </w:r>
        <w:r w:rsidR="00311F06">
          <w:rPr>
            <w:noProof/>
            <w:webHidden/>
          </w:rPr>
          <w:fldChar w:fldCharType="begin"/>
        </w:r>
        <w:r w:rsidR="00311F06">
          <w:rPr>
            <w:noProof/>
            <w:webHidden/>
          </w:rPr>
          <w:instrText xml:space="preserve"> PAGEREF _Toc41684780 \h </w:instrText>
        </w:r>
        <w:r w:rsidR="00311F06">
          <w:rPr>
            <w:noProof/>
            <w:webHidden/>
          </w:rPr>
        </w:r>
        <w:r w:rsidR="00311F06">
          <w:rPr>
            <w:noProof/>
            <w:webHidden/>
          </w:rPr>
          <w:fldChar w:fldCharType="separate"/>
        </w:r>
        <w:r w:rsidR="00AA68F8">
          <w:rPr>
            <w:noProof/>
            <w:webHidden/>
          </w:rPr>
          <w:t>8-2</w:t>
        </w:r>
        <w:r w:rsidR="00311F06">
          <w:rPr>
            <w:noProof/>
            <w:webHidden/>
          </w:rPr>
          <w:fldChar w:fldCharType="end"/>
        </w:r>
      </w:hyperlink>
    </w:p>
    <w:p w14:paraId="756CB6F1" w14:textId="14522FD6" w:rsidR="00311F06" w:rsidRDefault="00C723CB">
      <w:pPr>
        <w:pStyle w:val="TableofFigures"/>
        <w:rPr>
          <w:rFonts w:asciiTheme="minorHAnsi" w:eastAsiaTheme="minorEastAsia" w:hAnsiTheme="minorHAnsi" w:cstheme="minorBidi"/>
          <w:noProof/>
        </w:rPr>
      </w:pPr>
      <w:hyperlink w:anchor="_Toc41684781" w:history="1">
        <w:r w:rsidR="00311F06" w:rsidRPr="00757EDB">
          <w:rPr>
            <w:rStyle w:val="Hyperlink"/>
            <w:noProof/>
          </w:rPr>
          <w:t>Table 8</w:t>
        </w:r>
        <w:r w:rsidR="00311F06" w:rsidRPr="00757EDB">
          <w:rPr>
            <w:rStyle w:val="Hyperlink"/>
            <w:noProof/>
          </w:rPr>
          <w:noBreakHyphen/>
          <w:t>4: SBWRP Effluent Data</w:t>
        </w:r>
        <w:r w:rsidR="00311F06">
          <w:rPr>
            <w:noProof/>
            <w:webHidden/>
          </w:rPr>
          <w:tab/>
        </w:r>
        <w:r w:rsidR="00311F06">
          <w:rPr>
            <w:noProof/>
            <w:webHidden/>
          </w:rPr>
          <w:fldChar w:fldCharType="begin"/>
        </w:r>
        <w:r w:rsidR="00311F06">
          <w:rPr>
            <w:noProof/>
            <w:webHidden/>
          </w:rPr>
          <w:instrText xml:space="preserve"> PAGEREF _Toc41684781 \h </w:instrText>
        </w:r>
        <w:r w:rsidR="00311F06">
          <w:rPr>
            <w:noProof/>
            <w:webHidden/>
          </w:rPr>
        </w:r>
        <w:r w:rsidR="00311F06">
          <w:rPr>
            <w:noProof/>
            <w:webHidden/>
          </w:rPr>
          <w:fldChar w:fldCharType="separate"/>
        </w:r>
        <w:r w:rsidR="00AA68F8">
          <w:rPr>
            <w:noProof/>
            <w:webHidden/>
          </w:rPr>
          <w:t>8-3</w:t>
        </w:r>
        <w:r w:rsidR="00311F06">
          <w:rPr>
            <w:noProof/>
            <w:webHidden/>
          </w:rPr>
          <w:fldChar w:fldCharType="end"/>
        </w:r>
      </w:hyperlink>
    </w:p>
    <w:p w14:paraId="66B32D84" w14:textId="5546062F" w:rsidR="00311F06" w:rsidRDefault="00C723CB">
      <w:pPr>
        <w:pStyle w:val="TableofFigures"/>
        <w:rPr>
          <w:rFonts w:asciiTheme="minorHAnsi" w:eastAsiaTheme="minorEastAsia" w:hAnsiTheme="minorHAnsi" w:cstheme="minorBidi"/>
          <w:noProof/>
        </w:rPr>
      </w:pPr>
      <w:hyperlink w:anchor="_Toc41684782" w:history="1">
        <w:r w:rsidR="00311F06" w:rsidRPr="00757EDB">
          <w:rPr>
            <w:rStyle w:val="Hyperlink"/>
            <w:noProof/>
          </w:rPr>
          <w:t>Table 8</w:t>
        </w:r>
        <w:r w:rsidR="00311F06" w:rsidRPr="00757EDB">
          <w:rPr>
            <w:rStyle w:val="Hyperlink"/>
            <w:noProof/>
          </w:rPr>
          <w:noBreakHyphen/>
          <w:t>5: Average Secondary Treatment Nitrogen Removal Performance</w:t>
        </w:r>
        <w:r w:rsidR="00311F06">
          <w:rPr>
            <w:noProof/>
            <w:webHidden/>
          </w:rPr>
          <w:tab/>
        </w:r>
        <w:r w:rsidR="00311F06">
          <w:rPr>
            <w:noProof/>
            <w:webHidden/>
          </w:rPr>
          <w:fldChar w:fldCharType="begin"/>
        </w:r>
        <w:r w:rsidR="00311F06">
          <w:rPr>
            <w:noProof/>
            <w:webHidden/>
          </w:rPr>
          <w:instrText xml:space="preserve"> PAGEREF _Toc41684782 \h </w:instrText>
        </w:r>
        <w:r w:rsidR="00311F06">
          <w:rPr>
            <w:noProof/>
            <w:webHidden/>
          </w:rPr>
        </w:r>
        <w:r w:rsidR="00311F06">
          <w:rPr>
            <w:noProof/>
            <w:webHidden/>
          </w:rPr>
          <w:fldChar w:fldCharType="separate"/>
        </w:r>
        <w:r w:rsidR="00AA68F8">
          <w:rPr>
            <w:noProof/>
            <w:webHidden/>
          </w:rPr>
          <w:t>8-4</w:t>
        </w:r>
        <w:r w:rsidR="00311F06">
          <w:rPr>
            <w:noProof/>
            <w:webHidden/>
          </w:rPr>
          <w:fldChar w:fldCharType="end"/>
        </w:r>
      </w:hyperlink>
    </w:p>
    <w:p w14:paraId="02E60570" w14:textId="051AB326" w:rsidR="00311F06" w:rsidRDefault="00C723CB">
      <w:pPr>
        <w:pStyle w:val="TableofFigures"/>
        <w:rPr>
          <w:rFonts w:asciiTheme="minorHAnsi" w:eastAsiaTheme="minorEastAsia" w:hAnsiTheme="minorHAnsi" w:cstheme="minorBidi"/>
          <w:noProof/>
        </w:rPr>
      </w:pPr>
      <w:hyperlink w:anchor="_Toc41684783" w:history="1">
        <w:r w:rsidR="00311F06" w:rsidRPr="00757EDB">
          <w:rPr>
            <w:rStyle w:val="Hyperlink"/>
            <w:noProof/>
          </w:rPr>
          <w:t>Table 8</w:t>
        </w:r>
        <w:r w:rsidR="00311F06" w:rsidRPr="00757EDB">
          <w:rPr>
            <w:rStyle w:val="Hyperlink"/>
            <w:noProof/>
          </w:rPr>
          <w:noBreakHyphen/>
          <w:t>6: Secondary Clarifier Performance</w:t>
        </w:r>
        <w:r w:rsidR="00311F06">
          <w:rPr>
            <w:noProof/>
            <w:webHidden/>
          </w:rPr>
          <w:tab/>
        </w:r>
        <w:r w:rsidR="00311F06">
          <w:rPr>
            <w:noProof/>
            <w:webHidden/>
          </w:rPr>
          <w:fldChar w:fldCharType="begin"/>
        </w:r>
        <w:r w:rsidR="00311F06">
          <w:rPr>
            <w:noProof/>
            <w:webHidden/>
          </w:rPr>
          <w:instrText xml:space="preserve"> PAGEREF _Toc41684783 \h </w:instrText>
        </w:r>
        <w:r w:rsidR="00311F06">
          <w:rPr>
            <w:noProof/>
            <w:webHidden/>
          </w:rPr>
        </w:r>
        <w:r w:rsidR="00311F06">
          <w:rPr>
            <w:noProof/>
            <w:webHidden/>
          </w:rPr>
          <w:fldChar w:fldCharType="separate"/>
        </w:r>
        <w:r w:rsidR="00AA68F8">
          <w:rPr>
            <w:noProof/>
            <w:webHidden/>
          </w:rPr>
          <w:t>8-4</w:t>
        </w:r>
        <w:r w:rsidR="00311F06">
          <w:rPr>
            <w:noProof/>
            <w:webHidden/>
          </w:rPr>
          <w:fldChar w:fldCharType="end"/>
        </w:r>
      </w:hyperlink>
    </w:p>
    <w:p w14:paraId="4D6B3D0E" w14:textId="72F2C008" w:rsidR="00311F06" w:rsidRDefault="00C723CB">
      <w:pPr>
        <w:pStyle w:val="TableofFigures"/>
        <w:rPr>
          <w:rFonts w:asciiTheme="minorHAnsi" w:eastAsiaTheme="minorEastAsia" w:hAnsiTheme="minorHAnsi" w:cstheme="minorBidi"/>
          <w:noProof/>
        </w:rPr>
      </w:pPr>
      <w:hyperlink w:anchor="_Toc41684784" w:history="1">
        <w:r w:rsidR="00311F06" w:rsidRPr="00757EDB">
          <w:rPr>
            <w:rStyle w:val="Hyperlink"/>
            <w:noProof/>
          </w:rPr>
          <w:t>Table 8</w:t>
        </w:r>
        <w:r w:rsidR="00311F06" w:rsidRPr="00757EDB">
          <w:rPr>
            <w:rStyle w:val="Hyperlink"/>
            <w:noProof/>
          </w:rPr>
          <w:noBreakHyphen/>
          <w:t>7: Current Secondary Clarifier Capacity</w:t>
        </w:r>
        <w:r w:rsidR="00311F06">
          <w:rPr>
            <w:noProof/>
            <w:webHidden/>
          </w:rPr>
          <w:tab/>
        </w:r>
        <w:r w:rsidR="00311F06">
          <w:rPr>
            <w:noProof/>
            <w:webHidden/>
          </w:rPr>
          <w:fldChar w:fldCharType="begin"/>
        </w:r>
        <w:r w:rsidR="00311F06">
          <w:rPr>
            <w:noProof/>
            <w:webHidden/>
          </w:rPr>
          <w:instrText xml:space="preserve"> PAGEREF _Toc41684784 \h </w:instrText>
        </w:r>
        <w:r w:rsidR="00311F06">
          <w:rPr>
            <w:noProof/>
            <w:webHidden/>
          </w:rPr>
        </w:r>
        <w:r w:rsidR="00311F06">
          <w:rPr>
            <w:noProof/>
            <w:webHidden/>
          </w:rPr>
          <w:fldChar w:fldCharType="separate"/>
        </w:r>
        <w:r w:rsidR="00AA68F8">
          <w:rPr>
            <w:noProof/>
            <w:webHidden/>
          </w:rPr>
          <w:t>8-5</w:t>
        </w:r>
        <w:r w:rsidR="00311F06">
          <w:rPr>
            <w:noProof/>
            <w:webHidden/>
          </w:rPr>
          <w:fldChar w:fldCharType="end"/>
        </w:r>
      </w:hyperlink>
    </w:p>
    <w:p w14:paraId="261211BD" w14:textId="3EB1FE22" w:rsidR="00311F06" w:rsidRDefault="00C723CB">
      <w:pPr>
        <w:pStyle w:val="TableofFigures"/>
        <w:rPr>
          <w:rFonts w:asciiTheme="minorHAnsi" w:eastAsiaTheme="minorEastAsia" w:hAnsiTheme="minorHAnsi" w:cstheme="minorBidi"/>
          <w:noProof/>
        </w:rPr>
      </w:pPr>
      <w:hyperlink w:anchor="_Toc41684785" w:history="1">
        <w:r w:rsidR="00311F06" w:rsidRPr="00757EDB">
          <w:rPr>
            <w:rStyle w:val="Hyperlink"/>
            <w:noProof/>
          </w:rPr>
          <w:t>Table 8</w:t>
        </w:r>
        <w:r w:rsidR="00311F06" w:rsidRPr="00757EDB">
          <w:rPr>
            <w:rStyle w:val="Hyperlink"/>
            <w:noProof/>
          </w:rPr>
          <w:noBreakHyphen/>
          <w:t>8: Design Secondary Clarifier Capacity with Improved SVI</w:t>
        </w:r>
        <w:r w:rsidR="00311F06">
          <w:rPr>
            <w:noProof/>
            <w:webHidden/>
          </w:rPr>
          <w:tab/>
        </w:r>
        <w:r w:rsidR="00311F06">
          <w:rPr>
            <w:noProof/>
            <w:webHidden/>
          </w:rPr>
          <w:fldChar w:fldCharType="begin"/>
        </w:r>
        <w:r w:rsidR="00311F06">
          <w:rPr>
            <w:noProof/>
            <w:webHidden/>
          </w:rPr>
          <w:instrText xml:space="preserve"> PAGEREF _Toc41684785 \h </w:instrText>
        </w:r>
        <w:r w:rsidR="00311F06">
          <w:rPr>
            <w:noProof/>
            <w:webHidden/>
          </w:rPr>
        </w:r>
        <w:r w:rsidR="00311F06">
          <w:rPr>
            <w:noProof/>
            <w:webHidden/>
          </w:rPr>
          <w:fldChar w:fldCharType="separate"/>
        </w:r>
        <w:r w:rsidR="00AA68F8">
          <w:rPr>
            <w:noProof/>
            <w:webHidden/>
          </w:rPr>
          <w:t>8-6</w:t>
        </w:r>
        <w:r w:rsidR="00311F06">
          <w:rPr>
            <w:noProof/>
            <w:webHidden/>
          </w:rPr>
          <w:fldChar w:fldCharType="end"/>
        </w:r>
      </w:hyperlink>
    </w:p>
    <w:p w14:paraId="1E3F4D5D" w14:textId="3D1F34BE" w:rsidR="00311F06" w:rsidRDefault="00C723CB">
      <w:pPr>
        <w:pStyle w:val="TableofFigures"/>
        <w:rPr>
          <w:rFonts w:asciiTheme="minorHAnsi" w:eastAsiaTheme="minorEastAsia" w:hAnsiTheme="minorHAnsi" w:cstheme="minorBidi"/>
          <w:noProof/>
        </w:rPr>
      </w:pPr>
      <w:hyperlink w:anchor="_Toc41684786" w:history="1">
        <w:r w:rsidR="00311F06" w:rsidRPr="00757EDB">
          <w:rPr>
            <w:rStyle w:val="Hyperlink"/>
            <w:noProof/>
          </w:rPr>
          <w:t>Table 8</w:t>
        </w:r>
        <w:r w:rsidR="00311F06" w:rsidRPr="00757EDB">
          <w:rPr>
            <w:rStyle w:val="Hyperlink"/>
            <w:noProof/>
          </w:rPr>
          <w:noBreakHyphen/>
          <w:t>9: DAFT Performance</w:t>
        </w:r>
        <w:r w:rsidR="00311F06">
          <w:rPr>
            <w:noProof/>
            <w:webHidden/>
          </w:rPr>
          <w:tab/>
        </w:r>
        <w:r w:rsidR="00311F06">
          <w:rPr>
            <w:noProof/>
            <w:webHidden/>
          </w:rPr>
          <w:fldChar w:fldCharType="begin"/>
        </w:r>
        <w:r w:rsidR="00311F06">
          <w:rPr>
            <w:noProof/>
            <w:webHidden/>
          </w:rPr>
          <w:instrText xml:space="preserve"> PAGEREF _Toc41684786 \h </w:instrText>
        </w:r>
        <w:r w:rsidR="00311F06">
          <w:rPr>
            <w:noProof/>
            <w:webHidden/>
          </w:rPr>
        </w:r>
        <w:r w:rsidR="00311F06">
          <w:rPr>
            <w:noProof/>
            <w:webHidden/>
          </w:rPr>
          <w:fldChar w:fldCharType="separate"/>
        </w:r>
        <w:r w:rsidR="00AA68F8">
          <w:rPr>
            <w:noProof/>
            <w:webHidden/>
          </w:rPr>
          <w:t>8-6</w:t>
        </w:r>
        <w:r w:rsidR="00311F06">
          <w:rPr>
            <w:noProof/>
            <w:webHidden/>
          </w:rPr>
          <w:fldChar w:fldCharType="end"/>
        </w:r>
      </w:hyperlink>
    </w:p>
    <w:p w14:paraId="7D87AA1F" w14:textId="6E37EE58" w:rsidR="00311F06" w:rsidRDefault="00C723CB">
      <w:pPr>
        <w:pStyle w:val="TableofFigures"/>
        <w:rPr>
          <w:rFonts w:asciiTheme="minorHAnsi" w:eastAsiaTheme="minorEastAsia" w:hAnsiTheme="minorHAnsi" w:cstheme="minorBidi"/>
          <w:noProof/>
        </w:rPr>
      </w:pPr>
      <w:hyperlink w:anchor="_Toc41684787" w:history="1">
        <w:r w:rsidR="00311F06" w:rsidRPr="00757EDB">
          <w:rPr>
            <w:rStyle w:val="Hyperlink"/>
            <w:noProof/>
          </w:rPr>
          <w:t>Table 9</w:t>
        </w:r>
        <w:r w:rsidR="00311F06" w:rsidRPr="00757EDB">
          <w:rPr>
            <w:rStyle w:val="Hyperlink"/>
            <w:noProof/>
          </w:rPr>
          <w:noBreakHyphen/>
          <w:t>1: Near-Term R&amp;R Projects (1 to 5 Years)</w:t>
        </w:r>
        <w:r w:rsidR="00311F06">
          <w:rPr>
            <w:noProof/>
            <w:webHidden/>
          </w:rPr>
          <w:tab/>
        </w:r>
        <w:r w:rsidR="00311F06">
          <w:rPr>
            <w:noProof/>
            <w:webHidden/>
          </w:rPr>
          <w:fldChar w:fldCharType="begin"/>
        </w:r>
        <w:r w:rsidR="00311F06">
          <w:rPr>
            <w:noProof/>
            <w:webHidden/>
          </w:rPr>
          <w:instrText xml:space="preserve"> PAGEREF _Toc41684787 \h </w:instrText>
        </w:r>
        <w:r w:rsidR="00311F06">
          <w:rPr>
            <w:noProof/>
            <w:webHidden/>
          </w:rPr>
        </w:r>
        <w:r w:rsidR="00311F06">
          <w:rPr>
            <w:noProof/>
            <w:webHidden/>
          </w:rPr>
          <w:fldChar w:fldCharType="separate"/>
        </w:r>
        <w:r w:rsidR="00AA68F8">
          <w:rPr>
            <w:noProof/>
            <w:webHidden/>
          </w:rPr>
          <w:t>9-2</w:t>
        </w:r>
        <w:r w:rsidR="00311F06">
          <w:rPr>
            <w:noProof/>
            <w:webHidden/>
          </w:rPr>
          <w:fldChar w:fldCharType="end"/>
        </w:r>
      </w:hyperlink>
    </w:p>
    <w:p w14:paraId="58965016" w14:textId="3962E541" w:rsidR="00311F06" w:rsidRDefault="00C723CB">
      <w:pPr>
        <w:pStyle w:val="TableofFigures"/>
        <w:rPr>
          <w:rFonts w:asciiTheme="minorHAnsi" w:eastAsiaTheme="minorEastAsia" w:hAnsiTheme="minorHAnsi" w:cstheme="minorBidi"/>
          <w:noProof/>
        </w:rPr>
      </w:pPr>
      <w:hyperlink w:anchor="_Toc41684788" w:history="1">
        <w:r w:rsidR="00311F06" w:rsidRPr="00757EDB">
          <w:rPr>
            <w:rStyle w:val="Hyperlink"/>
            <w:noProof/>
          </w:rPr>
          <w:t>Table 9</w:t>
        </w:r>
        <w:r w:rsidR="00311F06" w:rsidRPr="00757EDB">
          <w:rPr>
            <w:rStyle w:val="Hyperlink"/>
            <w:noProof/>
          </w:rPr>
          <w:noBreakHyphen/>
          <w:t>2: Near-Term R&amp;R Project Scoring and Ranking</w:t>
        </w:r>
        <w:r w:rsidR="00311F06">
          <w:rPr>
            <w:noProof/>
            <w:webHidden/>
          </w:rPr>
          <w:tab/>
        </w:r>
        <w:r w:rsidR="00311F06">
          <w:rPr>
            <w:noProof/>
            <w:webHidden/>
          </w:rPr>
          <w:fldChar w:fldCharType="begin"/>
        </w:r>
        <w:r w:rsidR="00311F06">
          <w:rPr>
            <w:noProof/>
            <w:webHidden/>
          </w:rPr>
          <w:instrText xml:space="preserve"> PAGEREF _Toc41684788 \h </w:instrText>
        </w:r>
        <w:r w:rsidR="00311F06">
          <w:rPr>
            <w:noProof/>
            <w:webHidden/>
          </w:rPr>
        </w:r>
        <w:r w:rsidR="00311F06">
          <w:rPr>
            <w:noProof/>
            <w:webHidden/>
          </w:rPr>
          <w:fldChar w:fldCharType="separate"/>
        </w:r>
        <w:r w:rsidR="00AA68F8">
          <w:rPr>
            <w:noProof/>
            <w:webHidden/>
          </w:rPr>
          <w:t>9-4</w:t>
        </w:r>
        <w:r w:rsidR="00311F06">
          <w:rPr>
            <w:noProof/>
            <w:webHidden/>
          </w:rPr>
          <w:fldChar w:fldCharType="end"/>
        </w:r>
      </w:hyperlink>
    </w:p>
    <w:p w14:paraId="198B3A54" w14:textId="395CDCD9" w:rsidR="00311F06" w:rsidRDefault="00C723CB">
      <w:pPr>
        <w:pStyle w:val="TableofFigures"/>
        <w:rPr>
          <w:rFonts w:asciiTheme="minorHAnsi" w:eastAsiaTheme="minorEastAsia" w:hAnsiTheme="minorHAnsi" w:cstheme="minorBidi"/>
          <w:noProof/>
        </w:rPr>
      </w:pPr>
      <w:hyperlink w:anchor="_Toc41684789" w:history="1">
        <w:r w:rsidR="00311F06" w:rsidRPr="00757EDB">
          <w:rPr>
            <w:rStyle w:val="Hyperlink"/>
            <w:noProof/>
          </w:rPr>
          <w:t>Table 9</w:t>
        </w:r>
        <w:r w:rsidR="00311F06" w:rsidRPr="00757EDB">
          <w:rPr>
            <w:rStyle w:val="Hyperlink"/>
            <w:noProof/>
          </w:rPr>
          <w:noBreakHyphen/>
          <w:t>3: Medium-Term R&amp;R Projects (6 to 10 Years)</w:t>
        </w:r>
        <w:r w:rsidR="00311F06">
          <w:rPr>
            <w:noProof/>
            <w:webHidden/>
          </w:rPr>
          <w:tab/>
        </w:r>
        <w:r w:rsidR="00311F06">
          <w:rPr>
            <w:noProof/>
            <w:webHidden/>
          </w:rPr>
          <w:fldChar w:fldCharType="begin"/>
        </w:r>
        <w:r w:rsidR="00311F06">
          <w:rPr>
            <w:noProof/>
            <w:webHidden/>
          </w:rPr>
          <w:instrText xml:space="preserve"> PAGEREF _Toc41684789 \h </w:instrText>
        </w:r>
        <w:r w:rsidR="00311F06">
          <w:rPr>
            <w:noProof/>
            <w:webHidden/>
          </w:rPr>
        </w:r>
        <w:r w:rsidR="00311F06">
          <w:rPr>
            <w:noProof/>
            <w:webHidden/>
          </w:rPr>
          <w:fldChar w:fldCharType="separate"/>
        </w:r>
        <w:r w:rsidR="00AA68F8">
          <w:rPr>
            <w:noProof/>
            <w:webHidden/>
          </w:rPr>
          <w:t>9-4</w:t>
        </w:r>
        <w:r w:rsidR="00311F06">
          <w:rPr>
            <w:noProof/>
            <w:webHidden/>
          </w:rPr>
          <w:fldChar w:fldCharType="end"/>
        </w:r>
      </w:hyperlink>
    </w:p>
    <w:p w14:paraId="0D49764B" w14:textId="720A443E" w:rsidR="00311F06" w:rsidRDefault="00C723CB">
      <w:pPr>
        <w:pStyle w:val="TableofFigures"/>
        <w:rPr>
          <w:rFonts w:asciiTheme="minorHAnsi" w:eastAsiaTheme="minorEastAsia" w:hAnsiTheme="minorHAnsi" w:cstheme="minorBidi"/>
          <w:noProof/>
        </w:rPr>
      </w:pPr>
      <w:hyperlink w:anchor="_Toc41684790" w:history="1">
        <w:r w:rsidR="00311F06" w:rsidRPr="00757EDB">
          <w:rPr>
            <w:rStyle w:val="Hyperlink"/>
            <w:noProof/>
          </w:rPr>
          <w:t>Table 9</w:t>
        </w:r>
        <w:r w:rsidR="00311F06" w:rsidRPr="00757EDB">
          <w:rPr>
            <w:rStyle w:val="Hyperlink"/>
            <w:noProof/>
          </w:rPr>
          <w:noBreakHyphen/>
          <w:t>4: Long-Term R&amp;R Projects (11 to 20 Years)</w:t>
        </w:r>
        <w:r w:rsidR="00311F06">
          <w:rPr>
            <w:noProof/>
            <w:webHidden/>
          </w:rPr>
          <w:tab/>
        </w:r>
        <w:r w:rsidR="00311F06">
          <w:rPr>
            <w:noProof/>
            <w:webHidden/>
          </w:rPr>
          <w:fldChar w:fldCharType="begin"/>
        </w:r>
        <w:r w:rsidR="00311F06">
          <w:rPr>
            <w:noProof/>
            <w:webHidden/>
          </w:rPr>
          <w:instrText xml:space="preserve"> PAGEREF _Toc41684790 \h </w:instrText>
        </w:r>
        <w:r w:rsidR="00311F06">
          <w:rPr>
            <w:noProof/>
            <w:webHidden/>
          </w:rPr>
        </w:r>
        <w:r w:rsidR="00311F06">
          <w:rPr>
            <w:noProof/>
            <w:webHidden/>
          </w:rPr>
          <w:fldChar w:fldCharType="separate"/>
        </w:r>
        <w:r w:rsidR="00AA68F8">
          <w:rPr>
            <w:noProof/>
            <w:webHidden/>
          </w:rPr>
          <w:t>9-5</w:t>
        </w:r>
        <w:r w:rsidR="00311F06">
          <w:rPr>
            <w:noProof/>
            <w:webHidden/>
          </w:rPr>
          <w:fldChar w:fldCharType="end"/>
        </w:r>
      </w:hyperlink>
    </w:p>
    <w:p w14:paraId="564BE38D" w14:textId="17DDA139" w:rsidR="00311F06" w:rsidRDefault="00C723CB">
      <w:pPr>
        <w:pStyle w:val="TableofFigures"/>
        <w:rPr>
          <w:rFonts w:asciiTheme="minorHAnsi" w:eastAsiaTheme="minorEastAsia" w:hAnsiTheme="minorHAnsi" w:cstheme="minorBidi"/>
          <w:noProof/>
        </w:rPr>
      </w:pPr>
      <w:hyperlink w:anchor="_Toc41684791" w:history="1">
        <w:r w:rsidR="00311F06" w:rsidRPr="00757EDB">
          <w:rPr>
            <w:rStyle w:val="Hyperlink"/>
            <w:noProof/>
          </w:rPr>
          <w:t>Table 10</w:t>
        </w:r>
        <w:r w:rsidR="00311F06" w:rsidRPr="00757EDB">
          <w:rPr>
            <w:rStyle w:val="Hyperlink"/>
            <w:noProof/>
          </w:rPr>
          <w:noBreakHyphen/>
          <w:t>1: Classes of Cost Estimates</w:t>
        </w:r>
        <w:r w:rsidR="00311F06">
          <w:rPr>
            <w:noProof/>
            <w:webHidden/>
          </w:rPr>
          <w:tab/>
        </w:r>
        <w:r w:rsidR="00311F06">
          <w:rPr>
            <w:noProof/>
            <w:webHidden/>
          </w:rPr>
          <w:fldChar w:fldCharType="begin"/>
        </w:r>
        <w:r w:rsidR="00311F06">
          <w:rPr>
            <w:noProof/>
            <w:webHidden/>
          </w:rPr>
          <w:instrText xml:space="preserve"> PAGEREF _Toc41684791 \h </w:instrText>
        </w:r>
        <w:r w:rsidR="00311F06">
          <w:rPr>
            <w:noProof/>
            <w:webHidden/>
          </w:rPr>
        </w:r>
        <w:r w:rsidR="00311F06">
          <w:rPr>
            <w:noProof/>
            <w:webHidden/>
          </w:rPr>
          <w:fldChar w:fldCharType="separate"/>
        </w:r>
        <w:r w:rsidR="00AA68F8">
          <w:rPr>
            <w:noProof/>
            <w:webHidden/>
          </w:rPr>
          <w:t>10-2</w:t>
        </w:r>
        <w:r w:rsidR="00311F06">
          <w:rPr>
            <w:noProof/>
            <w:webHidden/>
          </w:rPr>
          <w:fldChar w:fldCharType="end"/>
        </w:r>
      </w:hyperlink>
    </w:p>
    <w:p w14:paraId="38657CED" w14:textId="14BA6D6E" w:rsidR="00311F06" w:rsidRDefault="00C723CB">
      <w:pPr>
        <w:pStyle w:val="TableofFigures"/>
        <w:rPr>
          <w:rFonts w:asciiTheme="minorHAnsi" w:eastAsiaTheme="minorEastAsia" w:hAnsiTheme="minorHAnsi" w:cstheme="minorBidi"/>
          <w:noProof/>
        </w:rPr>
      </w:pPr>
      <w:hyperlink w:anchor="_Toc41684792" w:history="1">
        <w:r w:rsidR="00311F06" w:rsidRPr="00757EDB">
          <w:rPr>
            <w:rStyle w:val="Hyperlink"/>
            <w:noProof/>
          </w:rPr>
          <w:t>Table 10</w:t>
        </w:r>
        <w:r w:rsidR="00311F06" w:rsidRPr="00757EDB">
          <w:rPr>
            <w:rStyle w:val="Hyperlink"/>
            <w:noProof/>
          </w:rPr>
          <w:noBreakHyphen/>
          <w:t>2: O&amp;M Unit Costs</w:t>
        </w:r>
        <w:r w:rsidR="00311F06">
          <w:rPr>
            <w:noProof/>
            <w:webHidden/>
          </w:rPr>
          <w:tab/>
        </w:r>
        <w:r w:rsidR="00311F06">
          <w:rPr>
            <w:noProof/>
            <w:webHidden/>
          </w:rPr>
          <w:fldChar w:fldCharType="begin"/>
        </w:r>
        <w:r w:rsidR="00311F06">
          <w:rPr>
            <w:noProof/>
            <w:webHidden/>
          </w:rPr>
          <w:instrText xml:space="preserve"> PAGEREF _Toc41684792 \h </w:instrText>
        </w:r>
        <w:r w:rsidR="00311F06">
          <w:rPr>
            <w:noProof/>
            <w:webHidden/>
          </w:rPr>
        </w:r>
        <w:r w:rsidR="00311F06">
          <w:rPr>
            <w:noProof/>
            <w:webHidden/>
          </w:rPr>
          <w:fldChar w:fldCharType="separate"/>
        </w:r>
        <w:r w:rsidR="00AA68F8">
          <w:rPr>
            <w:noProof/>
            <w:webHidden/>
          </w:rPr>
          <w:t>10-3</w:t>
        </w:r>
        <w:r w:rsidR="00311F06">
          <w:rPr>
            <w:noProof/>
            <w:webHidden/>
          </w:rPr>
          <w:fldChar w:fldCharType="end"/>
        </w:r>
      </w:hyperlink>
    </w:p>
    <w:p w14:paraId="28766EBC" w14:textId="07C088E3" w:rsidR="00311F06" w:rsidRDefault="00C723CB">
      <w:pPr>
        <w:pStyle w:val="TableofFigures"/>
        <w:rPr>
          <w:rFonts w:asciiTheme="minorHAnsi" w:eastAsiaTheme="minorEastAsia" w:hAnsiTheme="minorHAnsi" w:cstheme="minorBidi"/>
          <w:noProof/>
        </w:rPr>
      </w:pPr>
      <w:hyperlink w:anchor="_Toc41684793" w:history="1">
        <w:r w:rsidR="00311F06" w:rsidRPr="00757EDB">
          <w:rPr>
            <w:rStyle w:val="Hyperlink"/>
            <w:noProof/>
          </w:rPr>
          <w:t>Table 10</w:t>
        </w:r>
        <w:r w:rsidR="00311F06" w:rsidRPr="00757EDB">
          <w:rPr>
            <w:rStyle w:val="Hyperlink"/>
            <w:noProof/>
          </w:rPr>
          <w:noBreakHyphen/>
          <w:t>3 Summary of Cost Estimating Markups</w:t>
        </w:r>
        <w:r w:rsidR="00311F06">
          <w:rPr>
            <w:noProof/>
            <w:webHidden/>
          </w:rPr>
          <w:tab/>
        </w:r>
        <w:r w:rsidR="00311F06">
          <w:rPr>
            <w:noProof/>
            <w:webHidden/>
          </w:rPr>
          <w:fldChar w:fldCharType="begin"/>
        </w:r>
        <w:r w:rsidR="00311F06">
          <w:rPr>
            <w:noProof/>
            <w:webHidden/>
          </w:rPr>
          <w:instrText xml:space="preserve"> PAGEREF _Toc41684793 \h </w:instrText>
        </w:r>
        <w:r w:rsidR="00311F06">
          <w:rPr>
            <w:noProof/>
            <w:webHidden/>
          </w:rPr>
        </w:r>
        <w:r w:rsidR="00311F06">
          <w:rPr>
            <w:noProof/>
            <w:webHidden/>
          </w:rPr>
          <w:fldChar w:fldCharType="separate"/>
        </w:r>
        <w:r w:rsidR="00AA68F8">
          <w:rPr>
            <w:noProof/>
            <w:webHidden/>
          </w:rPr>
          <w:t>10-3</w:t>
        </w:r>
        <w:r w:rsidR="00311F06">
          <w:rPr>
            <w:noProof/>
            <w:webHidden/>
          </w:rPr>
          <w:fldChar w:fldCharType="end"/>
        </w:r>
      </w:hyperlink>
    </w:p>
    <w:p w14:paraId="6282E595" w14:textId="1BE65DBC" w:rsidR="00311F06" w:rsidRDefault="00C723CB">
      <w:pPr>
        <w:pStyle w:val="TableofFigures"/>
        <w:rPr>
          <w:rFonts w:asciiTheme="minorHAnsi" w:eastAsiaTheme="minorEastAsia" w:hAnsiTheme="minorHAnsi" w:cstheme="minorBidi"/>
          <w:noProof/>
        </w:rPr>
      </w:pPr>
      <w:hyperlink w:anchor="_Toc41684794" w:history="1">
        <w:r w:rsidR="00311F06" w:rsidRPr="00757EDB">
          <w:rPr>
            <w:rStyle w:val="Hyperlink"/>
            <w:noProof/>
          </w:rPr>
          <w:t>Table 10</w:t>
        </w:r>
        <w:r w:rsidR="00311F06" w:rsidRPr="00757EDB">
          <w:rPr>
            <w:rStyle w:val="Hyperlink"/>
            <w:noProof/>
          </w:rPr>
          <w:noBreakHyphen/>
          <w:t>4: Simple Payback Analysis for CEPT</w:t>
        </w:r>
        <w:r w:rsidR="00311F06">
          <w:rPr>
            <w:noProof/>
            <w:webHidden/>
          </w:rPr>
          <w:tab/>
        </w:r>
        <w:r w:rsidR="00311F06">
          <w:rPr>
            <w:noProof/>
            <w:webHidden/>
          </w:rPr>
          <w:fldChar w:fldCharType="begin"/>
        </w:r>
        <w:r w:rsidR="00311F06">
          <w:rPr>
            <w:noProof/>
            <w:webHidden/>
          </w:rPr>
          <w:instrText xml:space="preserve"> PAGEREF _Toc41684794 \h </w:instrText>
        </w:r>
        <w:r w:rsidR="00311F06">
          <w:rPr>
            <w:noProof/>
            <w:webHidden/>
          </w:rPr>
        </w:r>
        <w:r w:rsidR="00311F06">
          <w:rPr>
            <w:noProof/>
            <w:webHidden/>
          </w:rPr>
          <w:fldChar w:fldCharType="separate"/>
        </w:r>
        <w:r w:rsidR="00AA68F8">
          <w:rPr>
            <w:noProof/>
            <w:webHidden/>
          </w:rPr>
          <w:t>10-6</w:t>
        </w:r>
        <w:r w:rsidR="00311F06">
          <w:rPr>
            <w:noProof/>
            <w:webHidden/>
          </w:rPr>
          <w:fldChar w:fldCharType="end"/>
        </w:r>
      </w:hyperlink>
    </w:p>
    <w:p w14:paraId="52AE6350" w14:textId="6ACD4FA5" w:rsidR="00311F06" w:rsidRDefault="00C723CB">
      <w:pPr>
        <w:pStyle w:val="TableofFigures"/>
        <w:rPr>
          <w:rFonts w:asciiTheme="minorHAnsi" w:eastAsiaTheme="minorEastAsia" w:hAnsiTheme="minorHAnsi" w:cstheme="minorBidi"/>
          <w:noProof/>
        </w:rPr>
      </w:pPr>
      <w:hyperlink w:anchor="_Toc41684795" w:history="1">
        <w:r w:rsidR="00311F06" w:rsidRPr="00757EDB">
          <w:rPr>
            <w:rStyle w:val="Hyperlink"/>
            <w:noProof/>
          </w:rPr>
          <w:t>Table 10</w:t>
        </w:r>
        <w:r w:rsidR="00311F06" w:rsidRPr="00757EDB">
          <w:rPr>
            <w:rStyle w:val="Hyperlink"/>
            <w:noProof/>
          </w:rPr>
          <w:noBreakHyphen/>
          <w:t>5: Summary of Current and Future SBWRP Flows</w:t>
        </w:r>
        <w:r w:rsidR="00311F06">
          <w:rPr>
            <w:noProof/>
            <w:webHidden/>
          </w:rPr>
          <w:tab/>
        </w:r>
        <w:r w:rsidR="00311F06">
          <w:rPr>
            <w:noProof/>
            <w:webHidden/>
          </w:rPr>
          <w:fldChar w:fldCharType="begin"/>
        </w:r>
        <w:r w:rsidR="00311F06">
          <w:rPr>
            <w:noProof/>
            <w:webHidden/>
          </w:rPr>
          <w:instrText xml:space="preserve"> PAGEREF _Toc41684795 \h </w:instrText>
        </w:r>
        <w:r w:rsidR="00311F06">
          <w:rPr>
            <w:noProof/>
            <w:webHidden/>
          </w:rPr>
        </w:r>
        <w:r w:rsidR="00311F06">
          <w:rPr>
            <w:noProof/>
            <w:webHidden/>
          </w:rPr>
          <w:fldChar w:fldCharType="separate"/>
        </w:r>
        <w:r w:rsidR="00AA68F8">
          <w:rPr>
            <w:noProof/>
            <w:webHidden/>
          </w:rPr>
          <w:t>10-8</w:t>
        </w:r>
        <w:r w:rsidR="00311F06">
          <w:rPr>
            <w:noProof/>
            <w:webHidden/>
          </w:rPr>
          <w:fldChar w:fldCharType="end"/>
        </w:r>
      </w:hyperlink>
    </w:p>
    <w:p w14:paraId="0724DA45" w14:textId="6F118B65" w:rsidR="00311F06" w:rsidRDefault="00C723CB">
      <w:pPr>
        <w:pStyle w:val="TableofFigures"/>
        <w:rPr>
          <w:rFonts w:asciiTheme="minorHAnsi" w:eastAsiaTheme="minorEastAsia" w:hAnsiTheme="minorHAnsi" w:cstheme="minorBidi"/>
          <w:noProof/>
        </w:rPr>
      </w:pPr>
      <w:hyperlink w:anchor="_Toc41684796" w:history="1">
        <w:r w:rsidR="00311F06" w:rsidRPr="00757EDB">
          <w:rPr>
            <w:rStyle w:val="Hyperlink"/>
            <w:noProof/>
          </w:rPr>
          <w:t>Table 10</w:t>
        </w:r>
        <w:r w:rsidR="00311F06" w:rsidRPr="00757EDB">
          <w:rPr>
            <w:rStyle w:val="Hyperlink"/>
            <w:noProof/>
          </w:rPr>
          <w:noBreakHyphen/>
          <w:t>6: Estimated Operational Savings Due to Reduction in Flow (2025)</w:t>
        </w:r>
        <w:r w:rsidR="00311F06">
          <w:rPr>
            <w:noProof/>
            <w:webHidden/>
          </w:rPr>
          <w:tab/>
        </w:r>
        <w:r w:rsidR="00311F06">
          <w:rPr>
            <w:noProof/>
            <w:webHidden/>
          </w:rPr>
          <w:fldChar w:fldCharType="begin"/>
        </w:r>
        <w:r w:rsidR="00311F06">
          <w:rPr>
            <w:noProof/>
            <w:webHidden/>
          </w:rPr>
          <w:instrText xml:space="preserve"> PAGEREF _Toc41684796 \h </w:instrText>
        </w:r>
        <w:r w:rsidR="00311F06">
          <w:rPr>
            <w:noProof/>
            <w:webHidden/>
          </w:rPr>
        </w:r>
        <w:r w:rsidR="00311F06">
          <w:rPr>
            <w:noProof/>
            <w:webHidden/>
          </w:rPr>
          <w:fldChar w:fldCharType="separate"/>
        </w:r>
        <w:r w:rsidR="00AA68F8">
          <w:rPr>
            <w:noProof/>
            <w:webHidden/>
          </w:rPr>
          <w:t>10-8</w:t>
        </w:r>
        <w:r w:rsidR="00311F06">
          <w:rPr>
            <w:noProof/>
            <w:webHidden/>
          </w:rPr>
          <w:fldChar w:fldCharType="end"/>
        </w:r>
      </w:hyperlink>
    </w:p>
    <w:p w14:paraId="2BD63341" w14:textId="7D9F4E1B" w:rsidR="00311F06" w:rsidRDefault="00C723CB">
      <w:pPr>
        <w:pStyle w:val="TableofFigures"/>
        <w:rPr>
          <w:rFonts w:asciiTheme="minorHAnsi" w:eastAsiaTheme="minorEastAsia" w:hAnsiTheme="minorHAnsi" w:cstheme="minorBidi"/>
          <w:noProof/>
        </w:rPr>
      </w:pPr>
      <w:hyperlink w:anchor="_Toc41684797" w:history="1">
        <w:r w:rsidR="00311F06" w:rsidRPr="00757EDB">
          <w:rPr>
            <w:rStyle w:val="Hyperlink"/>
            <w:noProof/>
          </w:rPr>
          <w:t>Table 10</w:t>
        </w:r>
        <w:r w:rsidR="00311F06" w:rsidRPr="00757EDB">
          <w:rPr>
            <w:rStyle w:val="Hyperlink"/>
            <w:noProof/>
          </w:rPr>
          <w:noBreakHyphen/>
          <w:t>7: SBWRP Capacity (mgd)</w:t>
        </w:r>
        <w:r w:rsidR="00311F06">
          <w:rPr>
            <w:noProof/>
            <w:webHidden/>
          </w:rPr>
          <w:tab/>
        </w:r>
        <w:r w:rsidR="00311F06">
          <w:rPr>
            <w:noProof/>
            <w:webHidden/>
          </w:rPr>
          <w:fldChar w:fldCharType="begin"/>
        </w:r>
        <w:r w:rsidR="00311F06">
          <w:rPr>
            <w:noProof/>
            <w:webHidden/>
          </w:rPr>
          <w:instrText xml:space="preserve"> PAGEREF _Toc41684797 \h </w:instrText>
        </w:r>
        <w:r w:rsidR="00311F06">
          <w:rPr>
            <w:noProof/>
            <w:webHidden/>
          </w:rPr>
        </w:r>
        <w:r w:rsidR="00311F06">
          <w:rPr>
            <w:noProof/>
            <w:webHidden/>
          </w:rPr>
          <w:fldChar w:fldCharType="separate"/>
        </w:r>
        <w:r w:rsidR="00AA68F8">
          <w:rPr>
            <w:noProof/>
            <w:webHidden/>
          </w:rPr>
          <w:t>10-9</w:t>
        </w:r>
        <w:r w:rsidR="00311F06">
          <w:rPr>
            <w:noProof/>
            <w:webHidden/>
          </w:rPr>
          <w:fldChar w:fldCharType="end"/>
        </w:r>
      </w:hyperlink>
    </w:p>
    <w:p w14:paraId="53790234" w14:textId="6909FAE6" w:rsidR="00311F06" w:rsidRDefault="00C723CB">
      <w:pPr>
        <w:pStyle w:val="TableofFigures"/>
        <w:rPr>
          <w:rFonts w:asciiTheme="minorHAnsi" w:eastAsiaTheme="minorEastAsia" w:hAnsiTheme="minorHAnsi" w:cstheme="minorBidi"/>
          <w:noProof/>
        </w:rPr>
      </w:pPr>
      <w:hyperlink w:anchor="_Toc41684798" w:history="1">
        <w:r w:rsidR="00311F06" w:rsidRPr="00757EDB">
          <w:rPr>
            <w:rStyle w:val="Hyperlink"/>
            <w:noProof/>
          </w:rPr>
          <w:t>Table 10</w:t>
        </w:r>
        <w:r w:rsidR="00311F06" w:rsidRPr="00757EDB">
          <w:rPr>
            <w:rStyle w:val="Hyperlink"/>
            <w:noProof/>
          </w:rPr>
          <w:noBreakHyphen/>
          <w:t>8: Estimated Operational Savings due to Taking One Unit 2 Train Offline</w:t>
        </w:r>
        <w:r w:rsidR="00311F06">
          <w:rPr>
            <w:noProof/>
            <w:webHidden/>
          </w:rPr>
          <w:tab/>
        </w:r>
        <w:r w:rsidR="00311F06">
          <w:rPr>
            <w:noProof/>
            <w:webHidden/>
          </w:rPr>
          <w:fldChar w:fldCharType="begin"/>
        </w:r>
        <w:r w:rsidR="00311F06">
          <w:rPr>
            <w:noProof/>
            <w:webHidden/>
          </w:rPr>
          <w:instrText xml:space="preserve"> PAGEREF _Toc41684798 \h </w:instrText>
        </w:r>
        <w:r w:rsidR="00311F06">
          <w:rPr>
            <w:noProof/>
            <w:webHidden/>
          </w:rPr>
        </w:r>
        <w:r w:rsidR="00311F06">
          <w:rPr>
            <w:noProof/>
            <w:webHidden/>
          </w:rPr>
          <w:fldChar w:fldCharType="separate"/>
        </w:r>
        <w:r w:rsidR="00AA68F8">
          <w:rPr>
            <w:noProof/>
            <w:webHidden/>
          </w:rPr>
          <w:t>10-10</w:t>
        </w:r>
        <w:r w:rsidR="00311F06">
          <w:rPr>
            <w:noProof/>
            <w:webHidden/>
          </w:rPr>
          <w:fldChar w:fldCharType="end"/>
        </w:r>
      </w:hyperlink>
    </w:p>
    <w:p w14:paraId="64566A91" w14:textId="639907B9" w:rsidR="00311F06" w:rsidRDefault="00C723CB">
      <w:pPr>
        <w:pStyle w:val="TableofFigures"/>
        <w:rPr>
          <w:rFonts w:asciiTheme="minorHAnsi" w:eastAsiaTheme="minorEastAsia" w:hAnsiTheme="minorHAnsi" w:cstheme="minorBidi"/>
          <w:noProof/>
        </w:rPr>
      </w:pPr>
      <w:hyperlink w:anchor="_Toc41684799" w:history="1">
        <w:r w:rsidR="00311F06" w:rsidRPr="00757EDB">
          <w:rPr>
            <w:rStyle w:val="Hyperlink"/>
            <w:noProof/>
          </w:rPr>
          <w:t>Table 10</w:t>
        </w:r>
        <w:r w:rsidR="00311F06" w:rsidRPr="00757EDB">
          <w:rPr>
            <w:rStyle w:val="Hyperlink"/>
            <w:noProof/>
          </w:rPr>
          <w:noBreakHyphen/>
          <w:t>9: Summary of Cost Impacts of Secondary Capacity Reduction</w:t>
        </w:r>
        <w:r w:rsidR="00311F06">
          <w:rPr>
            <w:noProof/>
            <w:webHidden/>
          </w:rPr>
          <w:tab/>
        </w:r>
        <w:r w:rsidR="00311F06">
          <w:rPr>
            <w:noProof/>
            <w:webHidden/>
          </w:rPr>
          <w:fldChar w:fldCharType="begin"/>
        </w:r>
        <w:r w:rsidR="00311F06">
          <w:rPr>
            <w:noProof/>
            <w:webHidden/>
          </w:rPr>
          <w:instrText xml:space="preserve"> PAGEREF _Toc41684799 \h </w:instrText>
        </w:r>
        <w:r w:rsidR="00311F06">
          <w:rPr>
            <w:noProof/>
            <w:webHidden/>
          </w:rPr>
        </w:r>
        <w:r w:rsidR="00311F06">
          <w:rPr>
            <w:noProof/>
            <w:webHidden/>
          </w:rPr>
          <w:fldChar w:fldCharType="separate"/>
        </w:r>
        <w:r w:rsidR="00AA68F8">
          <w:rPr>
            <w:noProof/>
            <w:webHidden/>
          </w:rPr>
          <w:t>10-11</w:t>
        </w:r>
        <w:r w:rsidR="00311F06">
          <w:rPr>
            <w:noProof/>
            <w:webHidden/>
          </w:rPr>
          <w:fldChar w:fldCharType="end"/>
        </w:r>
      </w:hyperlink>
    </w:p>
    <w:p w14:paraId="6243292C" w14:textId="6992AE9E" w:rsidR="00311F06" w:rsidRDefault="00C723CB">
      <w:pPr>
        <w:pStyle w:val="TableofFigures"/>
        <w:rPr>
          <w:rFonts w:asciiTheme="minorHAnsi" w:eastAsiaTheme="minorEastAsia" w:hAnsiTheme="minorHAnsi" w:cstheme="minorBidi"/>
          <w:noProof/>
        </w:rPr>
      </w:pPr>
      <w:hyperlink w:anchor="_Toc41684800" w:history="1">
        <w:r w:rsidR="00311F06" w:rsidRPr="00757EDB">
          <w:rPr>
            <w:rStyle w:val="Hyperlink"/>
            <w:noProof/>
          </w:rPr>
          <w:t>Table 10</w:t>
        </w:r>
        <w:r w:rsidR="00311F06" w:rsidRPr="00757EDB">
          <w:rPr>
            <w:rStyle w:val="Hyperlink"/>
            <w:noProof/>
          </w:rPr>
          <w:noBreakHyphen/>
          <w:t>10: Unit 3 Expansion and Completion Cost Estimate (Class 4)</w:t>
        </w:r>
        <w:r w:rsidR="00311F06">
          <w:rPr>
            <w:noProof/>
            <w:webHidden/>
          </w:rPr>
          <w:tab/>
        </w:r>
        <w:r w:rsidR="00311F06">
          <w:rPr>
            <w:noProof/>
            <w:webHidden/>
          </w:rPr>
          <w:fldChar w:fldCharType="begin"/>
        </w:r>
        <w:r w:rsidR="00311F06">
          <w:rPr>
            <w:noProof/>
            <w:webHidden/>
          </w:rPr>
          <w:instrText xml:space="preserve"> PAGEREF _Toc41684800 \h </w:instrText>
        </w:r>
        <w:r w:rsidR="00311F06">
          <w:rPr>
            <w:noProof/>
            <w:webHidden/>
          </w:rPr>
        </w:r>
        <w:r w:rsidR="00311F06">
          <w:rPr>
            <w:noProof/>
            <w:webHidden/>
          </w:rPr>
          <w:fldChar w:fldCharType="separate"/>
        </w:r>
        <w:r w:rsidR="00AA68F8">
          <w:rPr>
            <w:noProof/>
            <w:webHidden/>
          </w:rPr>
          <w:t>10-14</w:t>
        </w:r>
        <w:r w:rsidR="00311F06">
          <w:rPr>
            <w:noProof/>
            <w:webHidden/>
          </w:rPr>
          <w:fldChar w:fldCharType="end"/>
        </w:r>
      </w:hyperlink>
    </w:p>
    <w:p w14:paraId="458F576C" w14:textId="679AA10A" w:rsidR="00311F06" w:rsidRDefault="00C723CB">
      <w:pPr>
        <w:pStyle w:val="TableofFigures"/>
        <w:rPr>
          <w:rFonts w:asciiTheme="minorHAnsi" w:eastAsiaTheme="minorEastAsia" w:hAnsiTheme="minorHAnsi" w:cstheme="minorBidi"/>
          <w:noProof/>
        </w:rPr>
      </w:pPr>
      <w:hyperlink w:anchor="_Toc41684801" w:history="1">
        <w:r w:rsidR="00311F06" w:rsidRPr="00757EDB">
          <w:rPr>
            <w:rStyle w:val="Hyperlink"/>
            <w:noProof/>
          </w:rPr>
          <w:t>Table 10</w:t>
        </w:r>
        <w:r w:rsidR="00311F06" w:rsidRPr="00757EDB">
          <w:rPr>
            <w:rStyle w:val="Hyperlink"/>
            <w:noProof/>
          </w:rPr>
          <w:noBreakHyphen/>
          <w:t>11: Avoided R&amp;R Costs with Unit 3 Expansion and Completion (2031 – 2046)</w:t>
        </w:r>
        <w:r w:rsidR="00311F06">
          <w:rPr>
            <w:noProof/>
            <w:webHidden/>
          </w:rPr>
          <w:tab/>
        </w:r>
        <w:r w:rsidR="00311F06">
          <w:rPr>
            <w:noProof/>
            <w:webHidden/>
          </w:rPr>
          <w:fldChar w:fldCharType="begin"/>
        </w:r>
        <w:r w:rsidR="00311F06">
          <w:rPr>
            <w:noProof/>
            <w:webHidden/>
          </w:rPr>
          <w:instrText xml:space="preserve"> PAGEREF _Toc41684801 \h </w:instrText>
        </w:r>
        <w:r w:rsidR="00311F06">
          <w:rPr>
            <w:noProof/>
            <w:webHidden/>
          </w:rPr>
        </w:r>
        <w:r w:rsidR="00311F06">
          <w:rPr>
            <w:noProof/>
            <w:webHidden/>
          </w:rPr>
          <w:fldChar w:fldCharType="separate"/>
        </w:r>
        <w:r w:rsidR="00AA68F8">
          <w:rPr>
            <w:noProof/>
            <w:webHidden/>
          </w:rPr>
          <w:t>10-15</w:t>
        </w:r>
        <w:r w:rsidR="00311F06">
          <w:rPr>
            <w:noProof/>
            <w:webHidden/>
          </w:rPr>
          <w:fldChar w:fldCharType="end"/>
        </w:r>
      </w:hyperlink>
    </w:p>
    <w:p w14:paraId="2719AD4B" w14:textId="33C1CFBF" w:rsidR="00311F06" w:rsidRDefault="00C723CB">
      <w:pPr>
        <w:pStyle w:val="TableofFigures"/>
        <w:rPr>
          <w:rFonts w:asciiTheme="minorHAnsi" w:eastAsiaTheme="minorEastAsia" w:hAnsiTheme="minorHAnsi" w:cstheme="minorBidi"/>
          <w:noProof/>
        </w:rPr>
      </w:pPr>
      <w:hyperlink w:anchor="_Toc41684802" w:history="1">
        <w:r w:rsidR="00311F06" w:rsidRPr="00757EDB">
          <w:rPr>
            <w:rStyle w:val="Hyperlink"/>
            <w:noProof/>
          </w:rPr>
          <w:t>Table 10</w:t>
        </w:r>
        <w:r w:rsidR="00311F06" w:rsidRPr="00757EDB">
          <w:rPr>
            <w:rStyle w:val="Hyperlink"/>
            <w:noProof/>
          </w:rPr>
          <w:noBreakHyphen/>
          <w:t>12: Summary of EILS Downsizing Assumptions</w:t>
        </w:r>
        <w:r w:rsidR="00311F06">
          <w:rPr>
            <w:noProof/>
            <w:webHidden/>
          </w:rPr>
          <w:tab/>
        </w:r>
        <w:r w:rsidR="00311F06">
          <w:rPr>
            <w:noProof/>
            <w:webHidden/>
          </w:rPr>
          <w:fldChar w:fldCharType="begin"/>
        </w:r>
        <w:r w:rsidR="00311F06">
          <w:rPr>
            <w:noProof/>
            <w:webHidden/>
          </w:rPr>
          <w:instrText xml:space="preserve"> PAGEREF _Toc41684802 \h </w:instrText>
        </w:r>
        <w:r w:rsidR="00311F06">
          <w:rPr>
            <w:noProof/>
            <w:webHidden/>
          </w:rPr>
        </w:r>
        <w:r w:rsidR="00311F06">
          <w:rPr>
            <w:noProof/>
            <w:webHidden/>
          </w:rPr>
          <w:fldChar w:fldCharType="separate"/>
        </w:r>
        <w:r w:rsidR="00AA68F8">
          <w:rPr>
            <w:noProof/>
            <w:webHidden/>
          </w:rPr>
          <w:t>10-18</w:t>
        </w:r>
        <w:r w:rsidR="00311F06">
          <w:rPr>
            <w:noProof/>
            <w:webHidden/>
          </w:rPr>
          <w:fldChar w:fldCharType="end"/>
        </w:r>
      </w:hyperlink>
    </w:p>
    <w:p w14:paraId="1F19CEAB" w14:textId="4A350917" w:rsidR="00311F06" w:rsidRDefault="00C723CB">
      <w:pPr>
        <w:pStyle w:val="TableofFigures"/>
        <w:rPr>
          <w:rFonts w:asciiTheme="minorHAnsi" w:eastAsiaTheme="minorEastAsia" w:hAnsiTheme="minorHAnsi" w:cstheme="minorBidi"/>
          <w:noProof/>
        </w:rPr>
      </w:pPr>
      <w:hyperlink w:anchor="_Toc41684803" w:history="1">
        <w:r w:rsidR="00311F06" w:rsidRPr="00757EDB">
          <w:rPr>
            <w:rStyle w:val="Hyperlink"/>
            <w:noProof/>
          </w:rPr>
          <w:t>Table 10</w:t>
        </w:r>
        <w:r w:rsidR="00311F06" w:rsidRPr="00757EDB">
          <w:rPr>
            <w:rStyle w:val="Hyperlink"/>
            <w:noProof/>
          </w:rPr>
          <w:noBreakHyphen/>
          <w:t>13: EILS Downsizing Simple Payback Results</w:t>
        </w:r>
        <w:r w:rsidR="00311F06">
          <w:rPr>
            <w:noProof/>
            <w:webHidden/>
          </w:rPr>
          <w:tab/>
        </w:r>
        <w:r w:rsidR="00311F06">
          <w:rPr>
            <w:noProof/>
            <w:webHidden/>
          </w:rPr>
          <w:fldChar w:fldCharType="begin"/>
        </w:r>
        <w:r w:rsidR="00311F06">
          <w:rPr>
            <w:noProof/>
            <w:webHidden/>
          </w:rPr>
          <w:instrText xml:space="preserve"> PAGEREF _Toc41684803 \h </w:instrText>
        </w:r>
        <w:r w:rsidR="00311F06">
          <w:rPr>
            <w:noProof/>
            <w:webHidden/>
          </w:rPr>
        </w:r>
        <w:r w:rsidR="00311F06">
          <w:rPr>
            <w:noProof/>
            <w:webHidden/>
          </w:rPr>
          <w:fldChar w:fldCharType="separate"/>
        </w:r>
        <w:r w:rsidR="00AA68F8">
          <w:rPr>
            <w:noProof/>
            <w:webHidden/>
          </w:rPr>
          <w:t>10-19</w:t>
        </w:r>
        <w:r w:rsidR="00311F06">
          <w:rPr>
            <w:noProof/>
            <w:webHidden/>
          </w:rPr>
          <w:fldChar w:fldCharType="end"/>
        </w:r>
      </w:hyperlink>
    </w:p>
    <w:p w14:paraId="3C1A4758" w14:textId="7B29D882" w:rsidR="00311F06" w:rsidRDefault="00C723CB">
      <w:pPr>
        <w:pStyle w:val="TableofFigures"/>
        <w:rPr>
          <w:rFonts w:asciiTheme="minorHAnsi" w:eastAsiaTheme="minorEastAsia" w:hAnsiTheme="minorHAnsi" w:cstheme="minorBidi"/>
          <w:noProof/>
        </w:rPr>
      </w:pPr>
      <w:hyperlink w:anchor="_Toc41684804" w:history="1">
        <w:r w:rsidR="00311F06" w:rsidRPr="00757EDB">
          <w:rPr>
            <w:rStyle w:val="Hyperlink"/>
            <w:noProof/>
          </w:rPr>
          <w:t>Table 10</w:t>
        </w:r>
        <w:r w:rsidR="00311F06" w:rsidRPr="00757EDB">
          <w:rPr>
            <w:rStyle w:val="Hyperlink"/>
            <w:noProof/>
          </w:rPr>
          <w:noBreakHyphen/>
          <w:t>14: Potential Electrical CIP Projects</w:t>
        </w:r>
        <w:r w:rsidR="00311F06">
          <w:rPr>
            <w:noProof/>
            <w:webHidden/>
          </w:rPr>
          <w:tab/>
        </w:r>
        <w:r w:rsidR="00311F06">
          <w:rPr>
            <w:noProof/>
            <w:webHidden/>
          </w:rPr>
          <w:fldChar w:fldCharType="begin"/>
        </w:r>
        <w:r w:rsidR="00311F06">
          <w:rPr>
            <w:noProof/>
            <w:webHidden/>
          </w:rPr>
          <w:instrText xml:space="preserve"> PAGEREF _Toc41684804 \h </w:instrText>
        </w:r>
        <w:r w:rsidR="00311F06">
          <w:rPr>
            <w:noProof/>
            <w:webHidden/>
          </w:rPr>
        </w:r>
        <w:r w:rsidR="00311F06">
          <w:rPr>
            <w:noProof/>
            <w:webHidden/>
          </w:rPr>
          <w:fldChar w:fldCharType="separate"/>
        </w:r>
        <w:r w:rsidR="00AA68F8">
          <w:rPr>
            <w:noProof/>
            <w:webHidden/>
          </w:rPr>
          <w:t>10-21</w:t>
        </w:r>
        <w:r w:rsidR="00311F06">
          <w:rPr>
            <w:noProof/>
            <w:webHidden/>
          </w:rPr>
          <w:fldChar w:fldCharType="end"/>
        </w:r>
      </w:hyperlink>
    </w:p>
    <w:p w14:paraId="572FD0E9" w14:textId="085C1643" w:rsidR="00311F06" w:rsidRDefault="00C723CB">
      <w:pPr>
        <w:pStyle w:val="TableofFigures"/>
        <w:rPr>
          <w:rFonts w:asciiTheme="minorHAnsi" w:eastAsiaTheme="minorEastAsia" w:hAnsiTheme="minorHAnsi" w:cstheme="minorBidi"/>
          <w:noProof/>
        </w:rPr>
      </w:pPr>
      <w:hyperlink w:anchor="_Toc41684805" w:history="1">
        <w:r w:rsidR="00311F06" w:rsidRPr="00757EDB">
          <w:rPr>
            <w:rStyle w:val="Hyperlink"/>
            <w:noProof/>
          </w:rPr>
          <w:t>Table 10</w:t>
        </w:r>
        <w:r w:rsidR="00311F06" w:rsidRPr="00757EDB">
          <w:rPr>
            <w:rStyle w:val="Hyperlink"/>
            <w:noProof/>
          </w:rPr>
          <w:noBreakHyphen/>
          <w:t>15: Potential SCADA CIP Projects at SBWRP</w:t>
        </w:r>
        <w:r w:rsidR="00311F06">
          <w:rPr>
            <w:noProof/>
            <w:webHidden/>
          </w:rPr>
          <w:tab/>
        </w:r>
        <w:r w:rsidR="00311F06">
          <w:rPr>
            <w:noProof/>
            <w:webHidden/>
          </w:rPr>
          <w:fldChar w:fldCharType="begin"/>
        </w:r>
        <w:r w:rsidR="00311F06">
          <w:rPr>
            <w:noProof/>
            <w:webHidden/>
          </w:rPr>
          <w:instrText xml:space="preserve"> PAGEREF _Toc41684805 \h </w:instrText>
        </w:r>
        <w:r w:rsidR="00311F06">
          <w:rPr>
            <w:noProof/>
            <w:webHidden/>
          </w:rPr>
        </w:r>
        <w:r w:rsidR="00311F06">
          <w:rPr>
            <w:noProof/>
            <w:webHidden/>
          </w:rPr>
          <w:fldChar w:fldCharType="separate"/>
        </w:r>
        <w:r w:rsidR="00AA68F8">
          <w:rPr>
            <w:noProof/>
            <w:webHidden/>
          </w:rPr>
          <w:t>10-22</w:t>
        </w:r>
        <w:r w:rsidR="00311F06">
          <w:rPr>
            <w:noProof/>
            <w:webHidden/>
          </w:rPr>
          <w:fldChar w:fldCharType="end"/>
        </w:r>
      </w:hyperlink>
    </w:p>
    <w:p w14:paraId="606E6198" w14:textId="4BAB9435" w:rsidR="00311F06" w:rsidRDefault="00C723CB">
      <w:pPr>
        <w:pStyle w:val="TableofFigures"/>
        <w:rPr>
          <w:rFonts w:asciiTheme="minorHAnsi" w:eastAsiaTheme="minorEastAsia" w:hAnsiTheme="minorHAnsi" w:cstheme="minorBidi"/>
          <w:noProof/>
        </w:rPr>
      </w:pPr>
      <w:hyperlink w:anchor="_Toc41684806" w:history="1">
        <w:r w:rsidR="00311F06" w:rsidRPr="00757EDB">
          <w:rPr>
            <w:rStyle w:val="Hyperlink"/>
            <w:noProof/>
          </w:rPr>
          <w:t>Table 10</w:t>
        </w:r>
        <w:r w:rsidR="00311F06" w:rsidRPr="00757EDB">
          <w:rPr>
            <w:rStyle w:val="Hyperlink"/>
            <w:noProof/>
          </w:rPr>
          <w:noBreakHyphen/>
          <w:t>16: Operational Efficiency and Optimization Project Scoring and Ranking</w:t>
        </w:r>
        <w:r w:rsidR="00311F06">
          <w:rPr>
            <w:noProof/>
            <w:webHidden/>
          </w:rPr>
          <w:tab/>
        </w:r>
        <w:r w:rsidR="00311F06">
          <w:rPr>
            <w:noProof/>
            <w:webHidden/>
          </w:rPr>
          <w:fldChar w:fldCharType="begin"/>
        </w:r>
        <w:r w:rsidR="00311F06">
          <w:rPr>
            <w:noProof/>
            <w:webHidden/>
          </w:rPr>
          <w:instrText xml:space="preserve"> PAGEREF _Toc41684806 \h </w:instrText>
        </w:r>
        <w:r w:rsidR="00311F06">
          <w:rPr>
            <w:noProof/>
            <w:webHidden/>
          </w:rPr>
        </w:r>
        <w:r w:rsidR="00311F06">
          <w:rPr>
            <w:noProof/>
            <w:webHidden/>
          </w:rPr>
          <w:fldChar w:fldCharType="separate"/>
        </w:r>
        <w:r w:rsidR="00AA68F8">
          <w:rPr>
            <w:noProof/>
            <w:webHidden/>
          </w:rPr>
          <w:t>10-25</w:t>
        </w:r>
        <w:r w:rsidR="00311F06">
          <w:rPr>
            <w:noProof/>
            <w:webHidden/>
          </w:rPr>
          <w:fldChar w:fldCharType="end"/>
        </w:r>
      </w:hyperlink>
    </w:p>
    <w:p w14:paraId="05A2F417" w14:textId="0842CE56" w:rsidR="00311F06" w:rsidRDefault="00C723CB">
      <w:pPr>
        <w:pStyle w:val="TableofFigures"/>
        <w:rPr>
          <w:rFonts w:asciiTheme="minorHAnsi" w:eastAsiaTheme="minorEastAsia" w:hAnsiTheme="minorHAnsi" w:cstheme="minorBidi"/>
          <w:noProof/>
        </w:rPr>
      </w:pPr>
      <w:hyperlink w:anchor="_Toc41684807" w:history="1">
        <w:r w:rsidR="00311F06" w:rsidRPr="00757EDB">
          <w:rPr>
            <w:rStyle w:val="Hyperlink"/>
            <w:noProof/>
          </w:rPr>
          <w:t>Table 10</w:t>
        </w:r>
        <w:r w:rsidR="00311F06" w:rsidRPr="00757EDB">
          <w:rPr>
            <w:rStyle w:val="Hyperlink"/>
            <w:noProof/>
          </w:rPr>
          <w:noBreakHyphen/>
          <w:t>17: Avoided Costs with Unit 3 Expansion and Completion</w:t>
        </w:r>
        <w:r w:rsidR="00311F06">
          <w:rPr>
            <w:noProof/>
            <w:webHidden/>
          </w:rPr>
          <w:tab/>
        </w:r>
        <w:r w:rsidR="00311F06">
          <w:rPr>
            <w:noProof/>
            <w:webHidden/>
          </w:rPr>
          <w:fldChar w:fldCharType="begin"/>
        </w:r>
        <w:r w:rsidR="00311F06">
          <w:rPr>
            <w:noProof/>
            <w:webHidden/>
          </w:rPr>
          <w:instrText xml:space="preserve"> PAGEREF _Toc41684807 \h </w:instrText>
        </w:r>
        <w:r w:rsidR="00311F06">
          <w:rPr>
            <w:noProof/>
            <w:webHidden/>
          </w:rPr>
        </w:r>
        <w:r w:rsidR="00311F06">
          <w:rPr>
            <w:noProof/>
            <w:webHidden/>
          </w:rPr>
          <w:fldChar w:fldCharType="separate"/>
        </w:r>
        <w:r w:rsidR="00AA68F8">
          <w:rPr>
            <w:noProof/>
            <w:webHidden/>
          </w:rPr>
          <w:t>10-26</w:t>
        </w:r>
        <w:r w:rsidR="00311F06">
          <w:rPr>
            <w:noProof/>
            <w:webHidden/>
          </w:rPr>
          <w:fldChar w:fldCharType="end"/>
        </w:r>
      </w:hyperlink>
    </w:p>
    <w:p w14:paraId="577AD119" w14:textId="409ABC82" w:rsidR="00311F06" w:rsidRDefault="00C723CB">
      <w:pPr>
        <w:pStyle w:val="TableofFigures"/>
        <w:rPr>
          <w:rFonts w:asciiTheme="minorHAnsi" w:eastAsiaTheme="minorEastAsia" w:hAnsiTheme="minorHAnsi" w:cstheme="minorBidi"/>
          <w:noProof/>
        </w:rPr>
      </w:pPr>
      <w:hyperlink w:anchor="_Toc41684808" w:history="1">
        <w:r w:rsidR="00311F06" w:rsidRPr="00757EDB">
          <w:rPr>
            <w:rStyle w:val="Hyperlink"/>
            <w:noProof/>
          </w:rPr>
          <w:t>Table 10</w:t>
        </w:r>
        <w:r w:rsidR="00311F06" w:rsidRPr="00757EDB">
          <w:rPr>
            <w:rStyle w:val="Hyperlink"/>
            <w:noProof/>
          </w:rPr>
          <w:noBreakHyphen/>
          <w:t>18: Recommended Capital Improvement Projects and Studies</w:t>
        </w:r>
        <w:r w:rsidR="00311F06">
          <w:rPr>
            <w:noProof/>
            <w:webHidden/>
          </w:rPr>
          <w:tab/>
        </w:r>
        <w:r w:rsidR="00311F06">
          <w:rPr>
            <w:noProof/>
            <w:webHidden/>
          </w:rPr>
          <w:fldChar w:fldCharType="begin"/>
        </w:r>
        <w:r w:rsidR="00311F06">
          <w:rPr>
            <w:noProof/>
            <w:webHidden/>
          </w:rPr>
          <w:instrText xml:space="preserve"> PAGEREF _Toc41684808 \h </w:instrText>
        </w:r>
        <w:r w:rsidR="00311F06">
          <w:rPr>
            <w:noProof/>
            <w:webHidden/>
          </w:rPr>
        </w:r>
        <w:r w:rsidR="00311F06">
          <w:rPr>
            <w:noProof/>
            <w:webHidden/>
          </w:rPr>
          <w:fldChar w:fldCharType="separate"/>
        </w:r>
        <w:r w:rsidR="00AA68F8">
          <w:rPr>
            <w:noProof/>
            <w:webHidden/>
          </w:rPr>
          <w:t>10-26</w:t>
        </w:r>
        <w:r w:rsidR="00311F06">
          <w:rPr>
            <w:noProof/>
            <w:webHidden/>
          </w:rPr>
          <w:fldChar w:fldCharType="end"/>
        </w:r>
      </w:hyperlink>
    </w:p>
    <w:p w14:paraId="1DB49582" w14:textId="7ABED17A" w:rsidR="00311F06" w:rsidRDefault="00C723CB">
      <w:pPr>
        <w:pStyle w:val="TableofFigures"/>
        <w:rPr>
          <w:rFonts w:asciiTheme="minorHAnsi" w:eastAsiaTheme="minorEastAsia" w:hAnsiTheme="minorHAnsi" w:cstheme="minorBidi"/>
          <w:noProof/>
        </w:rPr>
      </w:pPr>
      <w:hyperlink w:anchor="_Toc41684809" w:history="1">
        <w:r w:rsidR="00311F06" w:rsidRPr="00757EDB">
          <w:rPr>
            <w:rStyle w:val="Hyperlink"/>
            <w:noProof/>
          </w:rPr>
          <w:t>Table 11</w:t>
        </w:r>
        <w:r w:rsidR="00311F06" w:rsidRPr="00757EDB">
          <w:rPr>
            <w:rStyle w:val="Hyperlink"/>
            <w:noProof/>
          </w:rPr>
          <w:noBreakHyphen/>
          <w:t>1: Capital Improvements in FY 2018 – 2020 CIPs for Sewer Treatment</w:t>
        </w:r>
        <w:r w:rsidR="00311F06">
          <w:rPr>
            <w:noProof/>
            <w:webHidden/>
          </w:rPr>
          <w:tab/>
        </w:r>
        <w:r w:rsidR="00311F06">
          <w:rPr>
            <w:noProof/>
            <w:webHidden/>
          </w:rPr>
          <w:fldChar w:fldCharType="begin"/>
        </w:r>
        <w:r w:rsidR="00311F06">
          <w:rPr>
            <w:noProof/>
            <w:webHidden/>
          </w:rPr>
          <w:instrText xml:space="preserve"> PAGEREF _Toc41684809 \h </w:instrText>
        </w:r>
        <w:r w:rsidR="00311F06">
          <w:rPr>
            <w:noProof/>
            <w:webHidden/>
          </w:rPr>
        </w:r>
        <w:r w:rsidR="00311F06">
          <w:rPr>
            <w:noProof/>
            <w:webHidden/>
          </w:rPr>
          <w:fldChar w:fldCharType="separate"/>
        </w:r>
        <w:r w:rsidR="00AA68F8">
          <w:rPr>
            <w:noProof/>
            <w:webHidden/>
          </w:rPr>
          <w:t>11-3</w:t>
        </w:r>
        <w:r w:rsidR="00311F06">
          <w:rPr>
            <w:noProof/>
            <w:webHidden/>
          </w:rPr>
          <w:fldChar w:fldCharType="end"/>
        </w:r>
      </w:hyperlink>
    </w:p>
    <w:p w14:paraId="33D86582" w14:textId="4813D599" w:rsidR="00311F06" w:rsidRDefault="00C723CB">
      <w:pPr>
        <w:pStyle w:val="TableofFigures"/>
        <w:rPr>
          <w:rFonts w:asciiTheme="minorHAnsi" w:eastAsiaTheme="minorEastAsia" w:hAnsiTheme="minorHAnsi" w:cstheme="minorBidi"/>
          <w:noProof/>
        </w:rPr>
      </w:pPr>
      <w:hyperlink w:anchor="_Toc41684810" w:history="1">
        <w:r w:rsidR="00311F06" w:rsidRPr="00757EDB">
          <w:rPr>
            <w:rStyle w:val="Hyperlink"/>
            <w:noProof/>
          </w:rPr>
          <w:t>Table 11</w:t>
        </w:r>
        <w:r w:rsidR="00311F06" w:rsidRPr="00757EDB">
          <w:rPr>
            <w:rStyle w:val="Hyperlink"/>
            <w:noProof/>
          </w:rPr>
          <w:noBreakHyphen/>
          <w:t>2: Near-Term Capital Improvements Project Costs</w:t>
        </w:r>
        <w:r w:rsidR="00311F06">
          <w:rPr>
            <w:noProof/>
            <w:webHidden/>
          </w:rPr>
          <w:tab/>
        </w:r>
        <w:r w:rsidR="00311F06">
          <w:rPr>
            <w:noProof/>
            <w:webHidden/>
          </w:rPr>
          <w:fldChar w:fldCharType="begin"/>
        </w:r>
        <w:r w:rsidR="00311F06">
          <w:rPr>
            <w:noProof/>
            <w:webHidden/>
          </w:rPr>
          <w:instrText xml:space="preserve"> PAGEREF _Toc41684810 \h </w:instrText>
        </w:r>
        <w:r w:rsidR="00311F06">
          <w:rPr>
            <w:noProof/>
            <w:webHidden/>
          </w:rPr>
        </w:r>
        <w:r w:rsidR="00311F06">
          <w:rPr>
            <w:noProof/>
            <w:webHidden/>
          </w:rPr>
          <w:fldChar w:fldCharType="separate"/>
        </w:r>
        <w:r w:rsidR="00AA68F8">
          <w:rPr>
            <w:noProof/>
            <w:webHidden/>
          </w:rPr>
          <w:t>11-9</w:t>
        </w:r>
        <w:r w:rsidR="00311F06">
          <w:rPr>
            <w:noProof/>
            <w:webHidden/>
          </w:rPr>
          <w:fldChar w:fldCharType="end"/>
        </w:r>
      </w:hyperlink>
    </w:p>
    <w:p w14:paraId="0FBAF86F" w14:textId="6DD2A4E5" w:rsidR="00311F06" w:rsidRDefault="00C723CB">
      <w:pPr>
        <w:pStyle w:val="TableofFigures"/>
        <w:rPr>
          <w:rFonts w:asciiTheme="minorHAnsi" w:eastAsiaTheme="minorEastAsia" w:hAnsiTheme="minorHAnsi" w:cstheme="minorBidi"/>
          <w:noProof/>
        </w:rPr>
      </w:pPr>
      <w:hyperlink w:anchor="_Toc41684811" w:history="1">
        <w:r w:rsidR="00311F06" w:rsidRPr="00757EDB">
          <w:rPr>
            <w:rStyle w:val="Hyperlink"/>
            <w:noProof/>
          </w:rPr>
          <w:t>Table 11</w:t>
        </w:r>
        <w:r w:rsidR="00311F06" w:rsidRPr="00757EDB">
          <w:rPr>
            <w:rStyle w:val="Hyperlink"/>
            <w:noProof/>
          </w:rPr>
          <w:noBreakHyphen/>
          <w:t>3: Recommended Medium-Term Capital Improvement Projects</w:t>
        </w:r>
        <w:r w:rsidR="00311F06">
          <w:rPr>
            <w:noProof/>
            <w:webHidden/>
          </w:rPr>
          <w:tab/>
        </w:r>
        <w:r w:rsidR="00311F06">
          <w:rPr>
            <w:noProof/>
            <w:webHidden/>
          </w:rPr>
          <w:fldChar w:fldCharType="begin"/>
        </w:r>
        <w:r w:rsidR="00311F06">
          <w:rPr>
            <w:noProof/>
            <w:webHidden/>
          </w:rPr>
          <w:instrText xml:space="preserve"> PAGEREF _Toc41684811 \h </w:instrText>
        </w:r>
        <w:r w:rsidR="00311F06">
          <w:rPr>
            <w:noProof/>
            <w:webHidden/>
          </w:rPr>
        </w:r>
        <w:r w:rsidR="00311F06">
          <w:rPr>
            <w:noProof/>
            <w:webHidden/>
          </w:rPr>
          <w:fldChar w:fldCharType="separate"/>
        </w:r>
        <w:r w:rsidR="00AA68F8">
          <w:rPr>
            <w:noProof/>
            <w:webHidden/>
          </w:rPr>
          <w:t>11-11</w:t>
        </w:r>
        <w:r w:rsidR="00311F06">
          <w:rPr>
            <w:noProof/>
            <w:webHidden/>
          </w:rPr>
          <w:fldChar w:fldCharType="end"/>
        </w:r>
      </w:hyperlink>
    </w:p>
    <w:p w14:paraId="12D96363" w14:textId="18D21BFF" w:rsidR="00311F06" w:rsidRDefault="00C723CB">
      <w:pPr>
        <w:pStyle w:val="TableofFigures"/>
        <w:rPr>
          <w:rFonts w:asciiTheme="minorHAnsi" w:eastAsiaTheme="minorEastAsia" w:hAnsiTheme="minorHAnsi" w:cstheme="minorBidi"/>
          <w:noProof/>
        </w:rPr>
      </w:pPr>
      <w:hyperlink w:anchor="_Toc41684812" w:history="1">
        <w:r w:rsidR="00311F06" w:rsidRPr="00757EDB">
          <w:rPr>
            <w:rStyle w:val="Hyperlink"/>
            <w:noProof/>
          </w:rPr>
          <w:t>Table 11</w:t>
        </w:r>
        <w:r w:rsidR="00311F06" w:rsidRPr="00757EDB">
          <w:rPr>
            <w:rStyle w:val="Hyperlink"/>
            <w:noProof/>
          </w:rPr>
          <w:noBreakHyphen/>
          <w:t>4: Recommended Long-Term Capital Improvement Projects</w:t>
        </w:r>
        <w:r w:rsidR="00311F06">
          <w:rPr>
            <w:noProof/>
            <w:webHidden/>
          </w:rPr>
          <w:tab/>
        </w:r>
        <w:r w:rsidR="00311F06">
          <w:rPr>
            <w:noProof/>
            <w:webHidden/>
          </w:rPr>
          <w:fldChar w:fldCharType="begin"/>
        </w:r>
        <w:r w:rsidR="00311F06">
          <w:rPr>
            <w:noProof/>
            <w:webHidden/>
          </w:rPr>
          <w:instrText xml:space="preserve"> PAGEREF _Toc41684812 \h </w:instrText>
        </w:r>
        <w:r w:rsidR="00311F06">
          <w:rPr>
            <w:noProof/>
            <w:webHidden/>
          </w:rPr>
        </w:r>
        <w:r w:rsidR="00311F06">
          <w:rPr>
            <w:noProof/>
            <w:webHidden/>
          </w:rPr>
          <w:fldChar w:fldCharType="separate"/>
        </w:r>
        <w:r w:rsidR="00AA68F8">
          <w:rPr>
            <w:noProof/>
            <w:webHidden/>
          </w:rPr>
          <w:t>11-13</w:t>
        </w:r>
        <w:r w:rsidR="00311F06">
          <w:rPr>
            <w:noProof/>
            <w:webHidden/>
          </w:rPr>
          <w:fldChar w:fldCharType="end"/>
        </w:r>
      </w:hyperlink>
    </w:p>
    <w:p w14:paraId="26CE8BCE" w14:textId="38C6951F" w:rsidR="00AF40CB" w:rsidRPr="008A0812" w:rsidRDefault="00AF40CB" w:rsidP="00D734C4">
      <w:pPr>
        <w:spacing w:after="120"/>
      </w:pPr>
      <w:r w:rsidRPr="008A0812">
        <w:fldChar w:fldCharType="end"/>
      </w:r>
    </w:p>
    <w:p w14:paraId="54D9487C" w14:textId="77777777" w:rsidR="00AF40CB" w:rsidRPr="008A0812" w:rsidRDefault="00AF40CB">
      <w:pPr>
        <w:overflowPunct/>
        <w:autoSpaceDE/>
        <w:autoSpaceDN/>
        <w:adjustRightInd/>
        <w:textAlignment w:val="auto"/>
      </w:pPr>
      <w:r w:rsidRPr="008A0812">
        <w:br w:type="page"/>
      </w:r>
    </w:p>
    <w:p w14:paraId="5CD61B20" w14:textId="77777777" w:rsidR="005920CD" w:rsidRPr="008A0812" w:rsidRDefault="005920CD" w:rsidP="005920CD">
      <w:pPr>
        <w:spacing w:after="120"/>
        <w:jc w:val="center"/>
        <w:rPr>
          <w:b/>
          <w:sz w:val="28"/>
          <w:szCs w:val="28"/>
        </w:rPr>
      </w:pPr>
      <w:r w:rsidRPr="008A0812">
        <w:rPr>
          <w:b/>
          <w:sz w:val="28"/>
          <w:szCs w:val="28"/>
        </w:rPr>
        <w:t>FIGURES</w:t>
      </w:r>
    </w:p>
    <w:p w14:paraId="084A0D89" w14:textId="4FB8CB17" w:rsidR="00311F06" w:rsidRDefault="00AF40CB">
      <w:pPr>
        <w:pStyle w:val="TableofFigures"/>
        <w:rPr>
          <w:rFonts w:asciiTheme="minorHAnsi" w:eastAsiaTheme="minorEastAsia" w:hAnsiTheme="minorHAnsi" w:cstheme="minorBidi"/>
          <w:noProof/>
        </w:rPr>
      </w:pPr>
      <w:r w:rsidRPr="008A0812">
        <w:fldChar w:fldCharType="begin"/>
      </w:r>
      <w:r w:rsidRPr="008A0812">
        <w:instrText xml:space="preserve"> TOC \h \z \c "Figure" </w:instrText>
      </w:r>
      <w:r w:rsidRPr="008A0812">
        <w:fldChar w:fldCharType="separate"/>
      </w:r>
      <w:hyperlink w:anchor="_Toc41684654" w:history="1">
        <w:r w:rsidR="00311F06" w:rsidRPr="00CB21FE">
          <w:rPr>
            <w:rStyle w:val="Hyperlink"/>
            <w:noProof/>
          </w:rPr>
          <w:t>Figure 1</w:t>
        </w:r>
        <w:r w:rsidR="00311F06" w:rsidRPr="00CB21FE">
          <w:rPr>
            <w:rStyle w:val="Hyperlink"/>
            <w:noProof/>
          </w:rPr>
          <w:noBreakHyphen/>
          <w:t>1: Facilities Master Plan Development Approach</w:t>
        </w:r>
        <w:r w:rsidR="00311F06">
          <w:rPr>
            <w:noProof/>
            <w:webHidden/>
          </w:rPr>
          <w:tab/>
        </w:r>
        <w:r w:rsidR="00311F06">
          <w:rPr>
            <w:noProof/>
            <w:webHidden/>
          </w:rPr>
          <w:fldChar w:fldCharType="begin"/>
        </w:r>
        <w:r w:rsidR="00311F06">
          <w:rPr>
            <w:noProof/>
            <w:webHidden/>
          </w:rPr>
          <w:instrText xml:space="preserve"> PAGEREF _Toc41684654 \h </w:instrText>
        </w:r>
        <w:r w:rsidR="00311F06">
          <w:rPr>
            <w:noProof/>
            <w:webHidden/>
          </w:rPr>
        </w:r>
        <w:r w:rsidR="00311F06">
          <w:rPr>
            <w:noProof/>
            <w:webHidden/>
          </w:rPr>
          <w:fldChar w:fldCharType="separate"/>
        </w:r>
        <w:r w:rsidR="00AA68F8">
          <w:rPr>
            <w:noProof/>
            <w:webHidden/>
          </w:rPr>
          <w:t>1-2</w:t>
        </w:r>
        <w:r w:rsidR="00311F06">
          <w:rPr>
            <w:noProof/>
            <w:webHidden/>
          </w:rPr>
          <w:fldChar w:fldCharType="end"/>
        </w:r>
      </w:hyperlink>
    </w:p>
    <w:p w14:paraId="1BF5EF87" w14:textId="5480C2E1" w:rsidR="00311F06" w:rsidRDefault="00C723CB">
      <w:pPr>
        <w:pStyle w:val="TableofFigures"/>
        <w:rPr>
          <w:rFonts w:asciiTheme="minorHAnsi" w:eastAsiaTheme="minorEastAsia" w:hAnsiTheme="minorHAnsi" w:cstheme="minorBidi"/>
          <w:noProof/>
        </w:rPr>
      </w:pPr>
      <w:hyperlink w:anchor="_Toc41684655" w:history="1">
        <w:r w:rsidR="00311F06" w:rsidRPr="00CB21FE">
          <w:rPr>
            <w:rStyle w:val="Hyperlink"/>
            <w:noProof/>
          </w:rPr>
          <w:t>Figure 1</w:t>
        </w:r>
        <w:r w:rsidR="00311F06" w:rsidRPr="00CB21FE">
          <w:rPr>
            <w:rStyle w:val="Hyperlink"/>
            <w:noProof/>
          </w:rPr>
          <w:noBreakHyphen/>
          <w:t>2: SBWRP Facilities Aerial View Looking Northeast</w:t>
        </w:r>
        <w:r w:rsidR="00311F06">
          <w:rPr>
            <w:noProof/>
            <w:webHidden/>
          </w:rPr>
          <w:tab/>
        </w:r>
        <w:r w:rsidR="00311F06">
          <w:rPr>
            <w:noProof/>
            <w:webHidden/>
          </w:rPr>
          <w:fldChar w:fldCharType="begin"/>
        </w:r>
        <w:r w:rsidR="00311F06">
          <w:rPr>
            <w:noProof/>
            <w:webHidden/>
          </w:rPr>
          <w:instrText xml:space="preserve"> PAGEREF _Toc41684655 \h </w:instrText>
        </w:r>
        <w:r w:rsidR="00311F06">
          <w:rPr>
            <w:noProof/>
            <w:webHidden/>
          </w:rPr>
        </w:r>
        <w:r w:rsidR="00311F06">
          <w:rPr>
            <w:noProof/>
            <w:webHidden/>
          </w:rPr>
          <w:fldChar w:fldCharType="separate"/>
        </w:r>
        <w:r w:rsidR="00AA68F8">
          <w:rPr>
            <w:noProof/>
            <w:webHidden/>
          </w:rPr>
          <w:t>1-3</w:t>
        </w:r>
        <w:r w:rsidR="00311F06">
          <w:rPr>
            <w:noProof/>
            <w:webHidden/>
          </w:rPr>
          <w:fldChar w:fldCharType="end"/>
        </w:r>
      </w:hyperlink>
    </w:p>
    <w:p w14:paraId="44F2CEB5" w14:textId="0E94D406" w:rsidR="00311F06" w:rsidRDefault="00C723CB">
      <w:pPr>
        <w:pStyle w:val="TableofFigures"/>
        <w:rPr>
          <w:rFonts w:asciiTheme="minorHAnsi" w:eastAsiaTheme="minorEastAsia" w:hAnsiTheme="minorHAnsi" w:cstheme="minorBidi"/>
          <w:noProof/>
        </w:rPr>
      </w:pPr>
      <w:hyperlink w:anchor="_Toc41684656" w:history="1">
        <w:r w:rsidR="00311F06" w:rsidRPr="00CB21FE">
          <w:rPr>
            <w:rStyle w:val="Hyperlink"/>
            <w:noProof/>
          </w:rPr>
          <w:t>Figure 1</w:t>
        </w:r>
        <w:r w:rsidR="00311F06" w:rsidRPr="00CB21FE">
          <w:rPr>
            <w:rStyle w:val="Hyperlink"/>
            <w:noProof/>
          </w:rPr>
          <w:noBreakHyphen/>
          <w:t>3: Digester Gas Management</w:t>
        </w:r>
        <w:r w:rsidR="00311F06">
          <w:rPr>
            <w:noProof/>
            <w:webHidden/>
          </w:rPr>
          <w:tab/>
        </w:r>
        <w:r w:rsidR="00311F06">
          <w:rPr>
            <w:noProof/>
            <w:webHidden/>
          </w:rPr>
          <w:fldChar w:fldCharType="begin"/>
        </w:r>
        <w:r w:rsidR="00311F06">
          <w:rPr>
            <w:noProof/>
            <w:webHidden/>
          </w:rPr>
          <w:instrText xml:space="preserve"> PAGEREF _Toc41684656 \h </w:instrText>
        </w:r>
        <w:r w:rsidR="00311F06">
          <w:rPr>
            <w:noProof/>
            <w:webHidden/>
          </w:rPr>
        </w:r>
        <w:r w:rsidR="00311F06">
          <w:rPr>
            <w:noProof/>
            <w:webHidden/>
          </w:rPr>
          <w:fldChar w:fldCharType="separate"/>
        </w:r>
        <w:r w:rsidR="00AA68F8">
          <w:rPr>
            <w:noProof/>
            <w:webHidden/>
          </w:rPr>
          <w:t>1-16</w:t>
        </w:r>
        <w:r w:rsidR="00311F06">
          <w:rPr>
            <w:noProof/>
            <w:webHidden/>
          </w:rPr>
          <w:fldChar w:fldCharType="end"/>
        </w:r>
      </w:hyperlink>
    </w:p>
    <w:p w14:paraId="31F0C63A" w14:textId="71C0D7FF" w:rsidR="00311F06" w:rsidRDefault="00C723CB">
      <w:pPr>
        <w:pStyle w:val="TableofFigures"/>
        <w:rPr>
          <w:rFonts w:asciiTheme="minorHAnsi" w:eastAsiaTheme="minorEastAsia" w:hAnsiTheme="minorHAnsi" w:cstheme="minorBidi"/>
          <w:noProof/>
        </w:rPr>
      </w:pPr>
      <w:hyperlink w:anchor="_Toc41684657" w:history="1">
        <w:r w:rsidR="00311F06" w:rsidRPr="00CB21FE">
          <w:rPr>
            <w:rStyle w:val="Hyperlink"/>
            <w:noProof/>
          </w:rPr>
          <w:t>Figure 2</w:t>
        </w:r>
        <w:r w:rsidR="00311F06" w:rsidRPr="00CB21FE">
          <w:rPr>
            <w:rStyle w:val="Hyperlink"/>
            <w:noProof/>
          </w:rPr>
          <w:noBreakHyphen/>
          <w:t>1: SBMWD Water Reclamation Facility (Scope Area)</w:t>
        </w:r>
        <w:r w:rsidR="00311F06">
          <w:rPr>
            <w:noProof/>
            <w:webHidden/>
          </w:rPr>
          <w:tab/>
        </w:r>
        <w:r w:rsidR="00311F06">
          <w:rPr>
            <w:noProof/>
            <w:webHidden/>
          </w:rPr>
          <w:fldChar w:fldCharType="begin"/>
        </w:r>
        <w:r w:rsidR="00311F06">
          <w:rPr>
            <w:noProof/>
            <w:webHidden/>
          </w:rPr>
          <w:instrText xml:space="preserve"> PAGEREF _Toc41684657 \h </w:instrText>
        </w:r>
        <w:r w:rsidR="00311F06">
          <w:rPr>
            <w:noProof/>
            <w:webHidden/>
          </w:rPr>
        </w:r>
        <w:r w:rsidR="00311F06">
          <w:rPr>
            <w:noProof/>
            <w:webHidden/>
          </w:rPr>
          <w:fldChar w:fldCharType="separate"/>
        </w:r>
        <w:r w:rsidR="00AA68F8">
          <w:rPr>
            <w:noProof/>
            <w:webHidden/>
          </w:rPr>
          <w:t>2-1</w:t>
        </w:r>
        <w:r w:rsidR="00311F06">
          <w:rPr>
            <w:noProof/>
            <w:webHidden/>
          </w:rPr>
          <w:fldChar w:fldCharType="end"/>
        </w:r>
      </w:hyperlink>
    </w:p>
    <w:p w14:paraId="7CF17C0E" w14:textId="2C321669" w:rsidR="00311F06" w:rsidRDefault="00C723CB">
      <w:pPr>
        <w:pStyle w:val="TableofFigures"/>
        <w:rPr>
          <w:rFonts w:asciiTheme="minorHAnsi" w:eastAsiaTheme="minorEastAsia" w:hAnsiTheme="minorHAnsi" w:cstheme="minorBidi"/>
          <w:noProof/>
        </w:rPr>
      </w:pPr>
      <w:hyperlink w:anchor="_Toc41684658" w:history="1">
        <w:r w:rsidR="00311F06" w:rsidRPr="00CB21FE">
          <w:rPr>
            <w:rStyle w:val="Hyperlink"/>
            <w:noProof/>
          </w:rPr>
          <w:t>Figure 2</w:t>
        </w:r>
        <w:r w:rsidR="00311F06" w:rsidRPr="00CB21FE">
          <w:rPr>
            <w:rStyle w:val="Hyperlink"/>
            <w:noProof/>
          </w:rPr>
          <w:noBreakHyphen/>
          <w:t>2: SBWRP Count of Above-Ground Assets by Process</w:t>
        </w:r>
        <w:r w:rsidR="00311F06">
          <w:rPr>
            <w:noProof/>
            <w:webHidden/>
          </w:rPr>
          <w:tab/>
        </w:r>
        <w:r w:rsidR="00311F06">
          <w:rPr>
            <w:noProof/>
            <w:webHidden/>
          </w:rPr>
          <w:fldChar w:fldCharType="begin"/>
        </w:r>
        <w:r w:rsidR="00311F06">
          <w:rPr>
            <w:noProof/>
            <w:webHidden/>
          </w:rPr>
          <w:instrText xml:space="preserve"> PAGEREF _Toc41684658 \h </w:instrText>
        </w:r>
        <w:r w:rsidR="00311F06">
          <w:rPr>
            <w:noProof/>
            <w:webHidden/>
          </w:rPr>
        </w:r>
        <w:r w:rsidR="00311F06">
          <w:rPr>
            <w:noProof/>
            <w:webHidden/>
          </w:rPr>
          <w:fldChar w:fldCharType="separate"/>
        </w:r>
        <w:r w:rsidR="00AA68F8">
          <w:rPr>
            <w:noProof/>
            <w:webHidden/>
          </w:rPr>
          <w:t>2-2</w:t>
        </w:r>
        <w:r w:rsidR="00311F06">
          <w:rPr>
            <w:noProof/>
            <w:webHidden/>
          </w:rPr>
          <w:fldChar w:fldCharType="end"/>
        </w:r>
      </w:hyperlink>
    </w:p>
    <w:p w14:paraId="57310EE2" w14:textId="46B4C537" w:rsidR="00311F06" w:rsidRDefault="00C723CB">
      <w:pPr>
        <w:pStyle w:val="TableofFigures"/>
        <w:rPr>
          <w:rFonts w:asciiTheme="minorHAnsi" w:eastAsiaTheme="minorEastAsia" w:hAnsiTheme="minorHAnsi" w:cstheme="minorBidi"/>
          <w:noProof/>
        </w:rPr>
      </w:pPr>
      <w:hyperlink w:anchor="_Toc41684659" w:history="1">
        <w:r w:rsidR="00311F06" w:rsidRPr="00CB21FE">
          <w:rPr>
            <w:rStyle w:val="Hyperlink"/>
            <w:noProof/>
          </w:rPr>
          <w:t>Figure 2</w:t>
        </w:r>
        <w:r w:rsidR="00311F06" w:rsidRPr="00CB21FE">
          <w:rPr>
            <w:rStyle w:val="Hyperlink"/>
            <w:noProof/>
          </w:rPr>
          <w:noBreakHyphen/>
          <w:t>3: SBWRP Yard Piping</w:t>
        </w:r>
        <w:r w:rsidR="00311F06">
          <w:rPr>
            <w:noProof/>
            <w:webHidden/>
          </w:rPr>
          <w:tab/>
        </w:r>
        <w:r w:rsidR="00311F06">
          <w:rPr>
            <w:noProof/>
            <w:webHidden/>
          </w:rPr>
          <w:fldChar w:fldCharType="begin"/>
        </w:r>
        <w:r w:rsidR="00311F06">
          <w:rPr>
            <w:noProof/>
            <w:webHidden/>
          </w:rPr>
          <w:instrText xml:space="preserve"> PAGEREF _Toc41684659 \h </w:instrText>
        </w:r>
        <w:r w:rsidR="00311F06">
          <w:rPr>
            <w:noProof/>
            <w:webHidden/>
          </w:rPr>
        </w:r>
        <w:r w:rsidR="00311F06">
          <w:rPr>
            <w:noProof/>
            <w:webHidden/>
          </w:rPr>
          <w:fldChar w:fldCharType="separate"/>
        </w:r>
        <w:r w:rsidR="00AA68F8">
          <w:rPr>
            <w:noProof/>
            <w:webHidden/>
          </w:rPr>
          <w:t>2-3</w:t>
        </w:r>
        <w:r w:rsidR="00311F06">
          <w:rPr>
            <w:noProof/>
            <w:webHidden/>
          </w:rPr>
          <w:fldChar w:fldCharType="end"/>
        </w:r>
      </w:hyperlink>
    </w:p>
    <w:p w14:paraId="1014E03A" w14:textId="07DBAF40" w:rsidR="00311F06" w:rsidRDefault="00C723CB">
      <w:pPr>
        <w:pStyle w:val="TableofFigures"/>
        <w:rPr>
          <w:rFonts w:asciiTheme="minorHAnsi" w:eastAsiaTheme="minorEastAsia" w:hAnsiTheme="minorHAnsi" w:cstheme="minorBidi"/>
          <w:noProof/>
        </w:rPr>
      </w:pPr>
      <w:hyperlink w:anchor="_Toc41684660" w:history="1">
        <w:r w:rsidR="00311F06" w:rsidRPr="00CB21FE">
          <w:rPr>
            <w:rStyle w:val="Hyperlink"/>
            <w:noProof/>
          </w:rPr>
          <w:t>Figure 2</w:t>
        </w:r>
        <w:r w:rsidR="00311F06" w:rsidRPr="00CB21FE">
          <w:rPr>
            <w:rStyle w:val="Hyperlink"/>
            <w:noProof/>
          </w:rPr>
          <w:noBreakHyphen/>
          <w:t>4: SBWRP Yard Piping Length by Function</w:t>
        </w:r>
        <w:r w:rsidR="00311F06">
          <w:rPr>
            <w:noProof/>
            <w:webHidden/>
          </w:rPr>
          <w:tab/>
        </w:r>
        <w:r w:rsidR="00311F06">
          <w:rPr>
            <w:noProof/>
            <w:webHidden/>
          </w:rPr>
          <w:fldChar w:fldCharType="begin"/>
        </w:r>
        <w:r w:rsidR="00311F06">
          <w:rPr>
            <w:noProof/>
            <w:webHidden/>
          </w:rPr>
          <w:instrText xml:space="preserve"> PAGEREF _Toc41684660 \h </w:instrText>
        </w:r>
        <w:r w:rsidR="00311F06">
          <w:rPr>
            <w:noProof/>
            <w:webHidden/>
          </w:rPr>
        </w:r>
        <w:r w:rsidR="00311F06">
          <w:rPr>
            <w:noProof/>
            <w:webHidden/>
          </w:rPr>
          <w:fldChar w:fldCharType="separate"/>
        </w:r>
        <w:r w:rsidR="00AA68F8">
          <w:rPr>
            <w:noProof/>
            <w:webHidden/>
          </w:rPr>
          <w:t>2-3</w:t>
        </w:r>
        <w:r w:rsidR="00311F06">
          <w:rPr>
            <w:noProof/>
            <w:webHidden/>
          </w:rPr>
          <w:fldChar w:fldCharType="end"/>
        </w:r>
      </w:hyperlink>
    </w:p>
    <w:p w14:paraId="0BEAC8AC" w14:textId="2C632BF6" w:rsidR="00311F06" w:rsidRDefault="00C723CB">
      <w:pPr>
        <w:pStyle w:val="TableofFigures"/>
        <w:rPr>
          <w:rFonts w:asciiTheme="minorHAnsi" w:eastAsiaTheme="minorEastAsia" w:hAnsiTheme="minorHAnsi" w:cstheme="minorBidi"/>
          <w:noProof/>
        </w:rPr>
      </w:pPr>
      <w:hyperlink w:anchor="_Toc41684661" w:history="1">
        <w:r w:rsidR="00311F06" w:rsidRPr="00CB21FE">
          <w:rPr>
            <w:rStyle w:val="Hyperlink"/>
            <w:noProof/>
          </w:rPr>
          <w:t>Figure 2</w:t>
        </w:r>
        <w:r w:rsidR="00311F06" w:rsidRPr="00CB21FE">
          <w:rPr>
            <w:rStyle w:val="Hyperlink"/>
            <w:noProof/>
          </w:rPr>
          <w:noBreakHyphen/>
          <w:t>5: SBWRP Yard Piping Function-Based Hierarchy</w:t>
        </w:r>
        <w:r w:rsidR="00311F06">
          <w:rPr>
            <w:noProof/>
            <w:webHidden/>
          </w:rPr>
          <w:tab/>
        </w:r>
        <w:r w:rsidR="00311F06">
          <w:rPr>
            <w:noProof/>
            <w:webHidden/>
          </w:rPr>
          <w:fldChar w:fldCharType="begin"/>
        </w:r>
        <w:r w:rsidR="00311F06">
          <w:rPr>
            <w:noProof/>
            <w:webHidden/>
          </w:rPr>
          <w:instrText xml:space="preserve"> PAGEREF _Toc41684661 \h </w:instrText>
        </w:r>
        <w:r w:rsidR="00311F06">
          <w:rPr>
            <w:noProof/>
            <w:webHidden/>
          </w:rPr>
        </w:r>
        <w:r w:rsidR="00311F06">
          <w:rPr>
            <w:noProof/>
            <w:webHidden/>
          </w:rPr>
          <w:fldChar w:fldCharType="separate"/>
        </w:r>
        <w:r w:rsidR="00AA68F8">
          <w:rPr>
            <w:noProof/>
            <w:webHidden/>
          </w:rPr>
          <w:t>2-4</w:t>
        </w:r>
        <w:r w:rsidR="00311F06">
          <w:rPr>
            <w:noProof/>
            <w:webHidden/>
          </w:rPr>
          <w:fldChar w:fldCharType="end"/>
        </w:r>
      </w:hyperlink>
    </w:p>
    <w:p w14:paraId="4921196B" w14:textId="0137F475" w:rsidR="00311F06" w:rsidRDefault="00C723CB">
      <w:pPr>
        <w:pStyle w:val="TableofFigures"/>
        <w:rPr>
          <w:rFonts w:asciiTheme="minorHAnsi" w:eastAsiaTheme="minorEastAsia" w:hAnsiTheme="minorHAnsi" w:cstheme="minorBidi"/>
          <w:noProof/>
        </w:rPr>
      </w:pPr>
      <w:hyperlink w:anchor="_Toc41684662" w:history="1">
        <w:r w:rsidR="00311F06" w:rsidRPr="00CB21FE">
          <w:rPr>
            <w:rStyle w:val="Hyperlink"/>
            <w:noProof/>
          </w:rPr>
          <w:t>Figure 2</w:t>
        </w:r>
        <w:r w:rsidR="00311F06" w:rsidRPr="00CB21FE">
          <w:rPr>
            <w:rStyle w:val="Hyperlink"/>
            <w:noProof/>
          </w:rPr>
          <w:noBreakHyphen/>
          <w:t>6: Asset Register Hierarchy Parent-Child Relationship</w:t>
        </w:r>
        <w:r w:rsidR="00311F06">
          <w:rPr>
            <w:noProof/>
            <w:webHidden/>
          </w:rPr>
          <w:tab/>
        </w:r>
        <w:r w:rsidR="00311F06">
          <w:rPr>
            <w:noProof/>
            <w:webHidden/>
          </w:rPr>
          <w:fldChar w:fldCharType="begin"/>
        </w:r>
        <w:r w:rsidR="00311F06">
          <w:rPr>
            <w:noProof/>
            <w:webHidden/>
          </w:rPr>
          <w:instrText xml:space="preserve"> PAGEREF _Toc41684662 \h </w:instrText>
        </w:r>
        <w:r w:rsidR="00311F06">
          <w:rPr>
            <w:noProof/>
            <w:webHidden/>
          </w:rPr>
        </w:r>
        <w:r w:rsidR="00311F06">
          <w:rPr>
            <w:noProof/>
            <w:webHidden/>
          </w:rPr>
          <w:fldChar w:fldCharType="separate"/>
        </w:r>
        <w:r w:rsidR="00AA68F8">
          <w:rPr>
            <w:noProof/>
            <w:webHidden/>
          </w:rPr>
          <w:t>2-6</w:t>
        </w:r>
        <w:r w:rsidR="00311F06">
          <w:rPr>
            <w:noProof/>
            <w:webHidden/>
          </w:rPr>
          <w:fldChar w:fldCharType="end"/>
        </w:r>
      </w:hyperlink>
    </w:p>
    <w:p w14:paraId="15D8FAC9" w14:textId="4338E3E4" w:rsidR="00311F06" w:rsidRDefault="00C723CB">
      <w:pPr>
        <w:pStyle w:val="TableofFigures"/>
        <w:rPr>
          <w:rFonts w:asciiTheme="minorHAnsi" w:eastAsiaTheme="minorEastAsia" w:hAnsiTheme="minorHAnsi" w:cstheme="minorBidi"/>
          <w:noProof/>
        </w:rPr>
      </w:pPr>
      <w:hyperlink w:anchor="_Toc41684663" w:history="1">
        <w:r w:rsidR="00311F06" w:rsidRPr="00CB21FE">
          <w:rPr>
            <w:rStyle w:val="Hyperlink"/>
            <w:noProof/>
          </w:rPr>
          <w:t>Figure 2</w:t>
        </w:r>
        <w:r w:rsidR="00311F06" w:rsidRPr="00CB21FE">
          <w:rPr>
            <w:rStyle w:val="Hyperlink"/>
            <w:noProof/>
          </w:rPr>
          <w:noBreakHyphen/>
          <w:t>7: Five Levels of Hierarchy for Drilling Down and Rolling Up</w:t>
        </w:r>
        <w:r w:rsidR="00311F06">
          <w:rPr>
            <w:noProof/>
            <w:webHidden/>
          </w:rPr>
          <w:tab/>
        </w:r>
        <w:r w:rsidR="00311F06">
          <w:rPr>
            <w:noProof/>
            <w:webHidden/>
          </w:rPr>
          <w:fldChar w:fldCharType="begin"/>
        </w:r>
        <w:r w:rsidR="00311F06">
          <w:rPr>
            <w:noProof/>
            <w:webHidden/>
          </w:rPr>
          <w:instrText xml:space="preserve"> PAGEREF _Toc41684663 \h </w:instrText>
        </w:r>
        <w:r w:rsidR="00311F06">
          <w:rPr>
            <w:noProof/>
            <w:webHidden/>
          </w:rPr>
        </w:r>
        <w:r w:rsidR="00311F06">
          <w:rPr>
            <w:noProof/>
            <w:webHidden/>
          </w:rPr>
          <w:fldChar w:fldCharType="separate"/>
        </w:r>
        <w:r w:rsidR="00AA68F8">
          <w:rPr>
            <w:noProof/>
            <w:webHidden/>
          </w:rPr>
          <w:t>2-6</w:t>
        </w:r>
        <w:r w:rsidR="00311F06">
          <w:rPr>
            <w:noProof/>
            <w:webHidden/>
          </w:rPr>
          <w:fldChar w:fldCharType="end"/>
        </w:r>
      </w:hyperlink>
    </w:p>
    <w:p w14:paraId="4019AD7D" w14:textId="1845559E" w:rsidR="00311F06" w:rsidRDefault="00C723CB">
      <w:pPr>
        <w:pStyle w:val="TableofFigures"/>
        <w:rPr>
          <w:rFonts w:asciiTheme="minorHAnsi" w:eastAsiaTheme="minorEastAsia" w:hAnsiTheme="minorHAnsi" w:cstheme="minorBidi"/>
          <w:noProof/>
        </w:rPr>
      </w:pPr>
      <w:hyperlink w:anchor="_Toc41684664" w:history="1">
        <w:r w:rsidR="00311F06" w:rsidRPr="00CB21FE">
          <w:rPr>
            <w:rStyle w:val="Hyperlink"/>
            <w:noProof/>
          </w:rPr>
          <w:t>Figure 2</w:t>
        </w:r>
        <w:r w:rsidR="00311F06" w:rsidRPr="00CB21FE">
          <w:rPr>
            <w:rStyle w:val="Hyperlink"/>
            <w:noProof/>
          </w:rPr>
          <w:noBreakHyphen/>
          <w:t>8: Process-Based Hierarchy</w:t>
        </w:r>
        <w:r w:rsidR="00311F06">
          <w:rPr>
            <w:noProof/>
            <w:webHidden/>
          </w:rPr>
          <w:tab/>
        </w:r>
        <w:r w:rsidR="00311F06">
          <w:rPr>
            <w:noProof/>
            <w:webHidden/>
          </w:rPr>
          <w:fldChar w:fldCharType="begin"/>
        </w:r>
        <w:r w:rsidR="00311F06">
          <w:rPr>
            <w:noProof/>
            <w:webHidden/>
          </w:rPr>
          <w:instrText xml:space="preserve"> PAGEREF _Toc41684664 \h </w:instrText>
        </w:r>
        <w:r w:rsidR="00311F06">
          <w:rPr>
            <w:noProof/>
            <w:webHidden/>
          </w:rPr>
        </w:r>
        <w:r w:rsidR="00311F06">
          <w:rPr>
            <w:noProof/>
            <w:webHidden/>
          </w:rPr>
          <w:fldChar w:fldCharType="separate"/>
        </w:r>
        <w:r w:rsidR="00AA68F8">
          <w:rPr>
            <w:noProof/>
            <w:webHidden/>
          </w:rPr>
          <w:t>2-7</w:t>
        </w:r>
        <w:r w:rsidR="00311F06">
          <w:rPr>
            <w:noProof/>
            <w:webHidden/>
          </w:rPr>
          <w:fldChar w:fldCharType="end"/>
        </w:r>
      </w:hyperlink>
    </w:p>
    <w:p w14:paraId="34215E4A" w14:textId="0879AD2B" w:rsidR="00311F06" w:rsidRDefault="00C723CB">
      <w:pPr>
        <w:pStyle w:val="TableofFigures"/>
        <w:rPr>
          <w:rFonts w:asciiTheme="minorHAnsi" w:eastAsiaTheme="minorEastAsia" w:hAnsiTheme="minorHAnsi" w:cstheme="minorBidi"/>
          <w:noProof/>
        </w:rPr>
      </w:pPr>
      <w:hyperlink w:anchor="_Toc41684665" w:history="1">
        <w:r w:rsidR="00311F06" w:rsidRPr="00CB21FE">
          <w:rPr>
            <w:rStyle w:val="Hyperlink"/>
            <w:noProof/>
          </w:rPr>
          <w:t>Figure 3</w:t>
        </w:r>
        <w:r w:rsidR="00311F06" w:rsidRPr="00CB21FE">
          <w:rPr>
            <w:rStyle w:val="Hyperlink"/>
            <w:noProof/>
          </w:rPr>
          <w:noBreakHyphen/>
          <w:t>1: Assets in the Preliminary Register by Process</w:t>
        </w:r>
        <w:r w:rsidR="00311F06">
          <w:rPr>
            <w:noProof/>
            <w:webHidden/>
          </w:rPr>
          <w:tab/>
        </w:r>
        <w:r w:rsidR="00311F06">
          <w:rPr>
            <w:noProof/>
            <w:webHidden/>
          </w:rPr>
          <w:fldChar w:fldCharType="begin"/>
        </w:r>
        <w:r w:rsidR="00311F06">
          <w:rPr>
            <w:noProof/>
            <w:webHidden/>
          </w:rPr>
          <w:instrText xml:space="preserve"> PAGEREF _Toc41684665 \h </w:instrText>
        </w:r>
        <w:r w:rsidR="00311F06">
          <w:rPr>
            <w:noProof/>
            <w:webHidden/>
          </w:rPr>
        </w:r>
        <w:r w:rsidR="00311F06">
          <w:rPr>
            <w:noProof/>
            <w:webHidden/>
          </w:rPr>
          <w:fldChar w:fldCharType="separate"/>
        </w:r>
        <w:r w:rsidR="00AA68F8">
          <w:rPr>
            <w:noProof/>
            <w:webHidden/>
          </w:rPr>
          <w:t>3-2</w:t>
        </w:r>
        <w:r w:rsidR="00311F06">
          <w:rPr>
            <w:noProof/>
            <w:webHidden/>
          </w:rPr>
          <w:fldChar w:fldCharType="end"/>
        </w:r>
      </w:hyperlink>
    </w:p>
    <w:p w14:paraId="7F2B1A77" w14:textId="59854294" w:rsidR="00311F06" w:rsidRDefault="00C723CB">
      <w:pPr>
        <w:pStyle w:val="TableofFigures"/>
        <w:rPr>
          <w:rFonts w:asciiTheme="minorHAnsi" w:eastAsiaTheme="minorEastAsia" w:hAnsiTheme="minorHAnsi" w:cstheme="minorBidi"/>
          <w:noProof/>
        </w:rPr>
      </w:pPr>
      <w:hyperlink w:anchor="_Toc41684666" w:history="1">
        <w:r w:rsidR="00311F06" w:rsidRPr="00CB21FE">
          <w:rPr>
            <w:rStyle w:val="Hyperlink"/>
            <w:noProof/>
          </w:rPr>
          <w:t>Figure 3</w:t>
        </w:r>
        <w:r w:rsidR="00311F06" w:rsidRPr="00CB21FE">
          <w:rPr>
            <w:rStyle w:val="Hyperlink"/>
            <w:noProof/>
          </w:rPr>
          <w:noBreakHyphen/>
          <w:t>2: Focused Condition Assessment Methodology</w:t>
        </w:r>
        <w:r w:rsidR="00311F06">
          <w:rPr>
            <w:noProof/>
            <w:webHidden/>
          </w:rPr>
          <w:tab/>
        </w:r>
        <w:r w:rsidR="00311F06">
          <w:rPr>
            <w:noProof/>
            <w:webHidden/>
          </w:rPr>
          <w:fldChar w:fldCharType="begin"/>
        </w:r>
        <w:r w:rsidR="00311F06">
          <w:rPr>
            <w:noProof/>
            <w:webHidden/>
          </w:rPr>
          <w:instrText xml:space="preserve"> PAGEREF _Toc41684666 \h </w:instrText>
        </w:r>
        <w:r w:rsidR="00311F06">
          <w:rPr>
            <w:noProof/>
            <w:webHidden/>
          </w:rPr>
        </w:r>
        <w:r w:rsidR="00311F06">
          <w:rPr>
            <w:noProof/>
            <w:webHidden/>
          </w:rPr>
          <w:fldChar w:fldCharType="separate"/>
        </w:r>
        <w:r w:rsidR="00AA68F8">
          <w:rPr>
            <w:noProof/>
            <w:webHidden/>
          </w:rPr>
          <w:t>3-3</w:t>
        </w:r>
        <w:r w:rsidR="00311F06">
          <w:rPr>
            <w:noProof/>
            <w:webHidden/>
          </w:rPr>
          <w:fldChar w:fldCharType="end"/>
        </w:r>
      </w:hyperlink>
    </w:p>
    <w:p w14:paraId="33A3426A" w14:textId="149599B9" w:rsidR="00311F06" w:rsidRDefault="00C723CB">
      <w:pPr>
        <w:pStyle w:val="TableofFigures"/>
        <w:rPr>
          <w:rFonts w:asciiTheme="minorHAnsi" w:eastAsiaTheme="minorEastAsia" w:hAnsiTheme="minorHAnsi" w:cstheme="minorBidi"/>
          <w:noProof/>
        </w:rPr>
      </w:pPr>
      <w:hyperlink w:anchor="_Toc41684667" w:history="1">
        <w:r w:rsidR="00311F06" w:rsidRPr="00CB21FE">
          <w:rPr>
            <w:rStyle w:val="Hyperlink"/>
            <w:noProof/>
          </w:rPr>
          <w:t>Figure 3</w:t>
        </w:r>
        <w:r w:rsidR="00311F06" w:rsidRPr="00CB21FE">
          <w:rPr>
            <w:rStyle w:val="Hyperlink"/>
            <w:noProof/>
          </w:rPr>
          <w:noBreakHyphen/>
          <w:t>3: RUL – Asset Count by Year (Age-Based)</w:t>
        </w:r>
        <w:r w:rsidR="00311F06">
          <w:rPr>
            <w:noProof/>
            <w:webHidden/>
          </w:rPr>
          <w:tab/>
        </w:r>
        <w:r w:rsidR="00311F06">
          <w:rPr>
            <w:noProof/>
            <w:webHidden/>
          </w:rPr>
          <w:fldChar w:fldCharType="begin"/>
        </w:r>
        <w:r w:rsidR="00311F06">
          <w:rPr>
            <w:noProof/>
            <w:webHidden/>
          </w:rPr>
          <w:instrText xml:space="preserve"> PAGEREF _Toc41684667 \h </w:instrText>
        </w:r>
        <w:r w:rsidR="00311F06">
          <w:rPr>
            <w:noProof/>
            <w:webHidden/>
          </w:rPr>
        </w:r>
        <w:r w:rsidR="00311F06">
          <w:rPr>
            <w:noProof/>
            <w:webHidden/>
          </w:rPr>
          <w:fldChar w:fldCharType="separate"/>
        </w:r>
        <w:r w:rsidR="00AA68F8">
          <w:rPr>
            <w:noProof/>
            <w:webHidden/>
          </w:rPr>
          <w:t>3-4</w:t>
        </w:r>
        <w:r w:rsidR="00311F06">
          <w:rPr>
            <w:noProof/>
            <w:webHidden/>
          </w:rPr>
          <w:fldChar w:fldCharType="end"/>
        </w:r>
      </w:hyperlink>
    </w:p>
    <w:p w14:paraId="1937A7AA" w14:textId="3D14538E" w:rsidR="00311F06" w:rsidRDefault="00C723CB">
      <w:pPr>
        <w:pStyle w:val="TableofFigures"/>
        <w:rPr>
          <w:rFonts w:asciiTheme="minorHAnsi" w:eastAsiaTheme="minorEastAsia" w:hAnsiTheme="minorHAnsi" w:cstheme="minorBidi"/>
          <w:noProof/>
        </w:rPr>
      </w:pPr>
      <w:hyperlink w:anchor="_Toc41684668" w:history="1">
        <w:r w:rsidR="00311F06" w:rsidRPr="00CB21FE">
          <w:rPr>
            <w:rStyle w:val="Hyperlink"/>
            <w:noProof/>
          </w:rPr>
          <w:t>Figure 3</w:t>
        </w:r>
        <w:r w:rsidR="00311F06" w:rsidRPr="00CB21FE">
          <w:rPr>
            <w:rStyle w:val="Hyperlink"/>
            <w:noProof/>
          </w:rPr>
          <w:noBreakHyphen/>
          <w:t>4: Preliminary CoF Results</w:t>
        </w:r>
        <w:r w:rsidR="00311F06">
          <w:rPr>
            <w:noProof/>
            <w:webHidden/>
          </w:rPr>
          <w:tab/>
        </w:r>
        <w:r w:rsidR="00311F06">
          <w:rPr>
            <w:noProof/>
            <w:webHidden/>
          </w:rPr>
          <w:fldChar w:fldCharType="begin"/>
        </w:r>
        <w:r w:rsidR="00311F06">
          <w:rPr>
            <w:noProof/>
            <w:webHidden/>
          </w:rPr>
          <w:instrText xml:space="preserve"> PAGEREF _Toc41684668 \h </w:instrText>
        </w:r>
        <w:r w:rsidR="00311F06">
          <w:rPr>
            <w:noProof/>
            <w:webHidden/>
          </w:rPr>
        </w:r>
        <w:r w:rsidR="00311F06">
          <w:rPr>
            <w:noProof/>
            <w:webHidden/>
          </w:rPr>
          <w:fldChar w:fldCharType="separate"/>
        </w:r>
        <w:r w:rsidR="00AA68F8">
          <w:rPr>
            <w:noProof/>
            <w:webHidden/>
          </w:rPr>
          <w:t>3-5</w:t>
        </w:r>
        <w:r w:rsidR="00311F06">
          <w:rPr>
            <w:noProof/>
            <w:webHidden/>
          </w:rPr>
          <w:fldChar w:fldCharType="end"/>
        </w:r>
      </w:hyperlink>
    </w:p>
    <w:p w14:paraId="0727DF5B" w14:textId="69801C75" w:rsidR="00311F06" w:rsidRDefault="00C723CB">
      <w:pPr>
        <w:pStyle w:val="TableofFigures"/>
        <w:rPr>
          <w:rFonts w:asciiTheme="minorHAnsi" w:eastAsiaTheme="minorEastAsia" w:hAnsiTheme="minorHAnsi" w:cstheme="minorBidi"/>
          <w:noProof/>
        </w:rPr>
      </w:pPr>
      <w:hyperlink w:anchor="_Toc41684669" w:history="1">
        <w:r w:rsidR="00311F06" w:rsidRPr="00CB21FE">
          <w:rPr>
            <w:rStyle w:val="Hyperlink"/>
            <w:noProof/>
          </w:rPr>
          <w:t>Figure 3</w:t>
        </w:r>
        <w:r w:rsidR="00311F06" w:rsidRPr="00CB21FE">
          <w:rPr>
            <w:rStyle w:val="Hyperlink"/>
            <w:noProof/>
          </w:rPr>
          <w:noBreakHyphen/>
          <w:t>5: Remaining Useful Life Combined with CoF Results</w:t>
        </w:r>
        <w:r w:rsidR="00311F06">
          <w:rPr>
            <w:noProof/>
            <w:webHidden/>
          </w:rPr>
          <w:tab/>
        </w:r>
        <w:r w:rsidR="00311F06">
          <w:rPr>
            <w:noProof/>
            <w:webHidden/>
          </w:rPr>
          <w:fldChar w:fldCharType="begin"/>
        </w:r>
        <w:r w:rsidR="00311F06">
          <w:rPr>
            <w:noProof/>
            <w:webHidden/>
          </w:rPr>
          <w:instrText xml:space="preserve"> PAGEREF _Toc41684669 \h </w:instrText>
        </w:r>
        <w:r w:rsidR="00311F06">
          <w:rPr>
            <w:noProof/>
            <w:webHidden/>
          </w:rPr>
        </w:r>
        <w:r w:rsidR="00311F06">
          <w:rPr>
            <w:noProof/>
            <w:webHidden/>
          </w:rPr>
          <w:fldChar w:fldCharType="separate"/>
        </w:r>
        <w:r w:rsidR="00AA68F8">
          <w:rPr>
            <w:noProof/>
            <w:webHidden/>
          </w:rPr>
          <w:t>3-5</w:t>
        </w:r>
        <w:r w:rsidR="00311F06">
          <w:rPr>
            <w:noProof/>
            <w:webHidden/>
          </w:rPr>
          <w:fldChar w:fldCharType="end"/>
        </w:r>
      </w:hyperlink>
    </w:p>
    <w:p w14:paraId="1FB05B2F" w14:textId="4B60D90C" w:rsidR="00311F06" w:rsidRDefault="00C723CB">
      <w:pPr>
        <w:pStyle w:val="TableofFigures"/>
        <w:rPr>
          <w:rFonts w:asciiTheme="minorHAnsi" w:eastAsiaTheme="minorEastAsia" w:hAnsiTheme="minorHAnsi" w:cstheme="minorBidi"/>
          <w:noProof/>
        </w:rPr>
      </w:pPr>
      <w:hyperlink w:anchor="_Toc41684670" w:history="1">
        <w:r w:rsidR="00311F06" w:rsidRPr="00CB21FE">
          <w:rPr>
            <w:rStyle w:val="Hyperlink"/>
            <w:noProof/>
          </w:rPr>
          <w:t>Figure 3</w:t>
        </w:r>
        <w:r w:rsidR="00311F06" w:rsidRPr="00CB21FE">
          <w:rPr>
            <w:rStyle w:val="Hyperlink"/>
            <w:noProof/>
          </w:rPr>
          <w:noBreakHyphen/>
          <w:t>6: Assets Selected for the Focused Condition Assessment</w:t>
        </w:r>
        <w:r w:rsidR="00311F06">
          <w:rPr>
            <w:noProof/>
            <w:webHidden/>
          </w:rPr>
          <w:tab/>
        </w:r>
        <w:r w:rsidR="00311F06">
          <w:rPr>
            <w:noProof/>
            <w:webHidden/>
          </w:rPr>
          <w:fldChar w:fldCharType="begin"/>
        </w:r>
        <w:r w:rsidR="00311F06">
          <w:rPr>
            <w:noProof/>
            <w:webHidden/>
          </w:rPr>
          <w:instrText xml:space="preserve"> PAGEREF _Toc41684670 \h </w:instrText>
        </w:r>
        <w:r w:rsidR="00311F06">
          <w:rPr>
            <w:noProof/>
            <w:webHidden/>
          </w:rPr>
        </w:r>
        <w:r w:rsidR="00311F06">
          <w:rPr>
            <w:noProof/>
            <w:webHidden/>
          </w:rPr>
          <w:fldChar w:fldCharType="separate"/>
        </w:r>
        <w:r w:rsidR="00AA68F8">
          <w:rPr>
            <w:noProof/>
            <w:webHidden/>
          </w:rPr>
          <w:t>3-6</w:t>
        </w:r>
        <w:r w:rsidR="00311F06">
          <w:rPr>
            <w:noProof/>
            <w:webHidden/>
          </w:rPr>
          <w:fldChar w:fldCharType="end"/>
        </w:r>
      </w:hyperlink>
    </w:p>
    <w:p w14:paraId="4BA6EB99" w14:textId="324A2533" w:rsidR="00311F06" w:rsidRDefault="00C723CB">
      <w:pPr>
        <w:pStyle w:val="TableofFigures"/>
        <w:rPr>
          <w:rFonts w:asciiTheme="minorHAnsi" w:eastAsiaTheme="minorEastAsia" w:hAnsiTheme="minorHAnsi" w:cstheme="minorBidi"/>
          <w:noProof/>
        </w:rPr>
      </w:pPr>
      <w:hyperlink w:anchor="_Toc41684671" w:history="1">
        <w:r w:rsidR="00311F06" w:rsidRPr="00CB21FE">
          <w:rPr>
            <w:rStyle w:val="Hyperlink"/>
            <w:noProof/>
          </w:rPr>
          <w:t>Figure 3</w:t>
        </w:r>
        <w:r w:rsidR="00311F06" w:rsidRPr="00CB21FE">
          <w:rPr>
            <w:rStyle w:val="Hyperlink"/>
            <w:noProof/>
          </w:rPr>
          <w:noBreakHyphen/>
          <w:t>7: Mobile Data Collection Tools and Scoring Guide</w:t>
        </w:r>
        <w:r w:rsidR="00311F06">
          <w:rPr>
            <w:noProof/>
            <w:webHidden/>
          </w:rPr>
          <w:tab/>
        </w:r>
        <w:r w:rsidR="00311F06">
          <w:rPr>
            <w:noProof/>
            <w:webHidden/>
          </w:rPr>
          <w:fldChar w:fldCharType="begin"/>
        </w:r>
        <w:r w:rsidR="00311F06">
          <w:rPr>
            <w:noProof/>
            <w:webHidden/>
          </w:rPr>
          <w:instrText xml:space="preserve"> PAGEREF _Toc41684671 \h </w:instrText>
        </w:r>
        <w:r w:rsidR="00311F06">
          <w:rPr>
            <w:noProof/>
            <w:webHidden/>
          </w:rPr>
        </w:r>
        <w:r w:rsidR="00311F06">
          <w:rPr>
            <w:noProof/>
            <w:webHidden/>
          </w:rPr>
          <w:fldChar w:fldCharType="separate"/>
        </w:r>
        <w:r w:rsidR="00AA68F8">
          <w:rPr>
            <w:noProof/>
            <w:webHidden/>
          </w:rPr>
          <w:t>3-7</w:t>
        </w:r>
        <w:r w:rsidR="00311F06">
          <w:rPr>
            <w:noProof/>
            <w:webHidden/>
          </w:rPr>
          <w:fldChar w:fldCharType="end"/>
        </w:r>
      </w:hyperlink>
    </w:p>
    <w:p w14:paraId="5DA91809" w14:textId="50B77B98" w:rsidR="00311F06" w:rsidRDefault="00C723CB">
      <w:pPr>
        <w:pStyle w:val="TableofFigures"/>
        <w:rPr>
          <w:rFonts w:asciiTheme="minorHAnsi" w:eastAsiaTheme="minorEastAsia" w:hAnsiTheme="minorHAnsi" w:cstheme="minorBidi"/>
          <w:noProof/>
        </w:rPr>
      </w:pPr>
      <w:hyperlink w:anchor="_Toc41684672" w:history="1">
        <w:r w:rsidR="00311F06" w:rsidRPr="00CB21FE">
          <w:rPr>
            <w:rStyle w:val="Hyperlink"/>
            <w:noProof/>
          </w:rPr>
          <w:t>Figure 3</w:t>
        </w:r>
        <w:r w:rsidR="00311F06" w:rsidRPr="00CB21FE">
          <w:rPr>
            <w:rStyle w:val="Hyperlink"/>
            <w:noProof/>
          </w:rPr>
          <w:noBreakHyphen/>
          <w:t>8: Inspection Checklists for Mechanical, Electrical, Instrumentation and Structural Assets</w:t>
        </w:r>
        <w:r w:rsidR="00311F06">
          <w:rPr>
            <w:noProof/>
            <w:webHidden/>
          </w:rPr>
          <w:tab/>
        </w:r>
        <w:r w:rsidR="00311F06">
          <w:rPr>
            <w:noProof/>
            <w:webHidden/>
          </w:rPr>
          <w:fldChar w:fldCharType="begin"/>
        </w:r>
        <w:r w:rsidR="00311F06">
          <w:rPr>
            <w:noProof/>
            <w:webHidden/>
          </w:rPr>
          <w:instrText xml:space="preserve"> PAGEREF _Toc41684672 \h </w:instrText>
        </w:r>
        <w:r w:rsidR="00311F06">
          <w:rPr>
            <w:noProof/>
            <w:webHidden/>
          </w:rPr>
        </w:r>
        <w:r w:rsidR="00311F06">
          <w:rPr>
            <w:noProof/>
            <w:webHidden/>
          </w:rPr>
          <w:fldChar w:fldCharType="separate"/>
        </w:r>
        <w:r w:rsidR="00AA68F8">
          <w:rPr>
            <w:noProof/>
            <w:webHidden/>
          </w:rPr>
          <w:t>3-7</w:t>
        </w:r>
        <w:r w:rsidR="00311F06">
          <w:rPr>
            <w:noProof/>
            <w:webHidden/>
          </w:rPr>
          <w:fldChar w:fldCharType="end"/>
        </w:r>
      </w:hyperlink>
    </w:p>
    <w:p w14:paraId="3B0BE7BD" w14:textId="5F687738" w:rsidR="00311F06" w:rsidRDefault="00C723CB">
      <w:pPr>
        <w:pStyle w:val="TableofFigures"/>
        <w:rPr>
          <w:rFonts w:asciiTheme="minorHAnsi" w:eastAsiaTheme="minorEastAsia" w:hAnsiTheme="minorHAnsi" w:cstheme="minorBidi"/>
          <w:noProof/>
        </w:rPr>
      </w:pPr>
      <w:hyperlink w:anchor="_Toc41684673" w:history="1">
        <w:r w:rsidR="00311F06" w:rsidRPr="00CB21FE">
          <w:rPr>
            <w:rStyle w:val="Hyperlink"/>
            <w:noProof/>
          </w:rPr>
          <w:t>Figure 3</w:t>
        </w:r>
        <w:r w:rsidR="00311F06" w:rsidRPr="00CB21FE">
          <w:rPr>
            <w:rStyle w:val="Hyperlink"/>
            <w:noProof/>
          </w:rPr>
          <w:noBreakHyphen/>
          <w:t>9: Summary of Condition Assessment Results</w:t>
        </w:r>
        <w:r w:rsidR="00311F06">
          <w:rPr>
            <w:noProof/>
            <w:webHidden/>
          </w:rPr>
          <w:tab/>
        </w:r>
        <w:r w:rsidR="00311F06">
          <w:rPr>
            <w:noProof/>
            <w:webHidden/>
          </w:rPr>
          <w:fldChar w:fldCharType="begin"/>
        </w:r>
        <w:r w:rsidR="00311F06">
          <w:rPr>
            <w:noProof/>
            <w:webHidden/>
          </w:rPr>
          <w:instrText xml:space="preserve"> PAGEREF _Toc41684673 \h </w:instrText>
        </w:r>
        <w:r w:rsidR="00311F06">
          <w:rPr>
            <w:noProof/>
            <w:webHidden/>
          </w:rPr>
        </w:r>
        <w:r w:rsidR="00311F06">
          <w:rPr>
            <w:noProof/>
            <w:webHidden/>
          </w:rPr>
          <w:fldChar w:fldCharType="separate"/>
        </w:r>
        <w:r w:rsidR="00AA68F8">
          <w:rPr>
            <w:noProof/>
            <w:webHidden/>
          </w:rPr>
          <w:t>3-8</w:t>
        </w:r>
        <w:r w:rsidR="00311F06">
          <w:rPr>
            <w:noProof/>
            <w:webHidden/>
          </w:rPr>
          <w:fldChar w:fldCharType="end"/>
        </w:r>
      </w:hyperlink>
    </w:p>
    <w:p w14:paraId="52C608AA" w14:textId="6BEE0596" w:rsidR="00311F06" w:rsidRDefault="00C723CB">
      <w:pPr>
        <w:pStyle w:val="TableofFigures"/>
        <w:rPr>
          <w:rFonts w:asciiTheme="minorHAnsi" w:eastAsiaTheme="minorEastAsia" w:hAnsiTheme="minorHAnsi" w:cstheme="minorBidi"/>
          <w:noProof/>
        </w:rPr>
      </w:pPr>
      <w:hyperlink w:anchor="_Toc41684674" w:history="1">
        <w:r w:rsidR="00311F06" w:rsidRPr="00CB21FE">
          <w:rPr>
            <w:rStyle w:val="Hyperlink"/>
            <w:noProof/>
          </w:rPr>
          <w:t>Figure 3</w:t>
        </w:r>
        <w:r w:rsidR="00311F06" w:rsidRPr="00CB21FE">
          <w:rPr>
            <w:rStyle w:val="Hyperlink"/>
            <w:noProof/>
          </w:rPr>
          <w:noBreakHyphen/>
          <w:t>10: Count of Assets with Condition Score of 4 (based on level 4 of hierarchy)</w:t>
        </w:r>
        <w:r w:rsidR="00311F06">
          <w:rPr>
            <w:noProof/>
            <w:webHidden/>
          </w:rPr>
          <w:tab/>
        </w:r>
        <w:r w:rsidR="00311F06">
          <w:rPr>
            <w:noProof/>
            <w:webHidden/>
          </w:rPr>
          <w:fldChar w:fldCharType="begin"/>
        </w:r>
        <w:r w:rsidR="00311F06">
          <w:rPr>
            <w:noProof/>
            <w:webHidden/>
          </w:rPr>
          <w:instrText xml:space="preserve"> PAGEREF _Toc41684674 \h </w:instrText>
        </w:r>
        <w:r w:rsidR="00311F06">
          <w:rPr>
            <w:noProof/>
            <w:webHidden/>
          </w:rPr>
        </w:r>
        <w:r w:rsidR="00311F06">
          <w:rPr>
            <w:noProof/>
            <w:webHidden/>
          </w:rPr>
          <w:fldChar w:fldCharType="separate"/>
        </w:r>
        <w:r w:rsidR="00AA68F8">
          <w:rPr>
            <w:noProof/>
            <w:webHidden/>
          </w:rPr>
          <w:t>3-10</w:t>
        </w:r>
        <w:r w:rsidR="00311F06">
          <w:rPr>
            <w:noProof/>
            <w:webHidden/>
          </w:rPr>
          <w:fldChar w:fldCharType="end"/>
        </w:r>
      </w:hyperlink>
    </w:p>
    <w:p w14:paraId="124734C8" w14:textId="6D18C4A7" w:rsidR="00311F06" w:rsidRDefault="00C723CB">
      <w:pPr>
        <w:pStyle w:val="TableofFigures"/>
        <w:rPr>
          <w:rFonts w:asciiTheme="minorHAnsi" w:eastAsiaTheme="minorEastAsia" w:hAnsiTheme="minorHAnsi" w:cstheme="minorBidi"/>
          <w:noProof/>
        </w:rPr>
      </w:pPr>
      <w:hyperlink w:anchor="_Toc41684675" w:history="1">
        <w:r w:rsidR="00311F06" w:rsidRPr="00CB21FE">
          <w:rPr>
            <w:rStyle w:val="Hyperlink"/>
            <w:noProof/>
          </w:rPr>
          <w:t>Figure 3</w:t>
        </w:r>
        <w:r w:rsidR="00311F06" w:rsidRPr="00CB21FE">
          <w:rPr>
            <w:rStyle w:val="Hyperlink"/>
            <w:noProof/>
          </w:rPr>
          <w:noBreakHyphen/>
          <w:t>11: Count of Assets with Condition Score of 5 (based on level 4 of hierarchy)</w:t>
        </w:r>
        <w:r w:rsidR="00311F06">
          <w:rPr>
            <w:noProof/>
            <w:webHidden/>
          </w:rPr>
          <w:tab/>
        </w:r>
        <w:r w:rsidR="00311F06">
          <w:rPr>
            <w:noProof/>
            <w:webHidden/>
          </w:rPr>
          <w:fldChar w:fldCharType="begin"/>
        </w:r>
        <w:r w:rsidR="00311F06">
          <w:rPr>
            <w:noProof/>
            <w:webHidden/>
          </w:rPr>
          <w:instrText xml:space="preserve"> PAGEREF _Toc41684675 \h </w:instrText>
        </w:r>
        <w:r w:rsidR="00311F06">
          <w:rPr>
            <w:noProof/>
            <w:webHidden/>
          </w:rPr>
        </w:r>
        <w:r w:rsidR="00311F06">
          <w:rPr>
            <w:noProof/>
            <w:webHidden/>
          </w:rPr>
          <w:fldChar w:fldCharType="separate"/>
        </w:r>
        <w:r w:rsidR="00AA68F8">
          <w:rPr>
            <w:noProof/>
            <w:webHidden/>
          </w:rPr>
          <w:t>3-12</w:t>
        </w:r>
        <w:r w:rsidR="00311F06">
          <w:rPr>
            <w:noProof/>
            <w:webHidden/>
          </w:rPr>
          <w:fldChar w:fldCharType="end"/>
        </w:r>
      </w:hyperlink>
    </w:p>
    <w:p w14:paraId="50C09A06" w14:textId="4559A4C3" w:rsidR="00311F06" w:rsidRDefault="00C723CB">
      <w:pPr>
        <w:pStyle w:val="TableofFigures"/>
        <w:rPr>
          <w:rFonts w:asciiTheme="minorHAnsi" w:eastAsiaTheme="minorEastAsia" w:hAnsiTheme="minorHAnsi" w:cstheme="minorBidi"/>
          <w:noProof/>
        </w:rPr>
      </w:pPr>
      <w:hyperlink w:anchor="_Toc41684676" w:history="1">
        <w:r w:rsidR="00311F06" w:rsidRPr="00CB21FE">
          <w:rPr>
            <w:rStyle w:val="Hyperlink"/>
            <w:noProof/>
          </w:rPr>
          <w:t>Figure 3</w:t>
        </w:r>
        <w:r w:rsidR="00311F06" w:rsidRPr="00CB21FE">
          <w:rPr>
            <w:rStyle w:val="Hyperlink"/>
            <w:noProof/>
          </w:rPr>
          <w:noBreakHyphen/>
          <w:t>12: Sample of Assets in Need of Rehabilitation or Replacement</w:t>
        </w:r>
        <w:r w:rsidR="00311F06">
          <w:rPr>
            <w:noProof/>
            <w:webHidden/>
          </w:rPr>
          <w:tab/>
        </w:r>
        <w:r w:rsidR="00311F06">
          <w:rPr>
            <w:noProof/>
            <w:webHidden/>
          </w:rPr>
          <w:fldChar w:fldCharType="begin"/>
        </w:r>
        <w:r w:rsidR="00311F06">
          <w:rPr>
            <w:noProof/>
            <w:webHidden/>
          </w:rPr>
          <w:instrText xml:space="preserve"> PAGEREF _Toc41684676 \h </w:instrText>
        </w:r>
        <w:r w:rsidR="00311F06">
          <w:rPr>
            <w:noProof/>
            <w:webHidden/>
          </w:rPr>
        </w:r>
        <w:r w:rsidR="00311F06">
          <w:rPr>
            <w:noProof/>
            <w:webHidden/>
          </w:rPr>
          <w:fldChar w:fldCharType="separate"/>
        </w:r>
        <w:r w:rsidR="00AA68F8">
          <w:rPr>
            <w:noProof/>
            <w:webHidden/>
          </w:rPr>
          <w:t>3-12</w:t>
        </w:r>
        <w:r w:rsidR="00311F06">
          <w:rPr>
            <w:noProof/>
            <w:webHidden/>
          </w:rPr>
          <w:fldChar w:fldCharType="end"/>
        </w:r>
      </w:hyperlink>
    </w:p>
    <w:p w14:paraId="07E1A8F5" w14:textId="3668C92F" w:rsidR="00311F06" w:rsidRDefault="00C723CB">
      <w:pPr>
        <w:pStyle w:val="TableofFigures"/>
        <w:rPr>
          <w:rFonts w:asciiTheme="minorHAnsi" w:eastAsiaTheme="minorEastAsia" w:hAnsiTheme="minorHAnsi" w:cstheme="minorBidi"/>
          <w:noProof/>
        </w:rPr>
      </w:pPr>
      <w:hyperlink w:anchor="_Toc41684677" w:history="1">
        <w:r w:rsidR="00311F06" w:rsidRPr="00CB21FE">
          <w:rPr>
            <w:rStyle w:val="Hyperlink"/>
            <w:noProof/>
          </w:rPr>
          <w:t>Figure 3</w:t>
        </w:r>
        <w:r w:rsidR="00311F06" w:rsidRPr="00CB21FE">
          <w:rPr>
            <w:rStyle w:val="Hyperlink"/>
            <w:noProof/>
          </w:rPr>
          <w:noBreakHyphen/>
          <w:t>13: Condition-Based RUL by Asset Count</w:t>
        </w:r>
        <w:r w:rsidR="00311F06">
          <w:rPr>
            <w:noProof/>
            <w:webHidden/>
          </w:rPr>
          <w:tab/>
        </w:r>
        <w:r w:rsidR="00311F06">
          <w:rPr>
            <w:noProof/>
            <w:webHidden/>
          </w:rPr>
          <w:fldChar w:fldCharType="begin"/>
        </w:r>
        <w:r w:rsidR="00311F06">
          <w:rPr>
            <w:noProof/>
            <w:webHidden/>
          </w:rPr>
          <w:instrText xml:space="preserve"> PAGEREF _Toc41684677 \h </w:instrText>
        </w:r>
        <w:r w:rsidR="00311F06">
          <w:rPr>
            <w:noProof/>
            <w:webHidden/>
          </w:rPr>
        </w:r>
        <w:r w:rsidR="00311F06">
          <w:rPr>
            <w:noProof/>
            <w:webHidden/>
          </w:rPr>
          <w:fldChar w:fldCharType="separate"/>
        </w:r>
        <w:r w:rsidR="00AA68F8">
          <w:rPr>
            <w:noProof/>
            <w:webHidden/>
          </w:rPr>
          <w:t>3-13</w:t>
        </w:r>
        <w:r w:rsidR="00311F06">
          <w:rPr>
            <w:noProof/>
            <w:webHidden/>
          </w:rPr>
          <w:fldChar w:fldCharType="end"/>
        </w:r>
      </w:hyperlink>
    </w:p>
    <w:p w14:paraId="771B6B22" w14:textId="7087EC34" w:rsidR="00311F06" w:rsidRDefault="00C723CB">
      <w:pPr>
        <w:pStyle w:val="TableofFigures"/>
        <w:rPr>
          <w:rFonts w:asciiTheme="minorHAnsi" w:eastAsiaTheme="minorEastAsia" w:hAnsiTheme="minorHAnsi" w:cstheme="minorBidi"/>
          <w:noProof/>
        </w:rPr>
      </w:pPr>
      <w:hyperlink w:anchor="_Toc41684678" w:history="1">
        <w:r w:rsidR="00311F06" w:rsidRPr="00CB21FE">
          <w:rPr>
            <w:rStyle w:val="Hyperlink"/>
            <w:noProof/>
          </w:rPr>
          <w:t>Figure 4</w:t>
        </w:r>
        <w:r w:rsidR="00311F06" w:rsidRPr="00CB21FE">
          <w:rPr>
            <w:rStyle w:val="Hyperlink"/>
            <w:noProof/>
          </w:rPr>
          <w:noBreakHyphen/>
          <w:t>1: Business Risk Exposure Methodology</w:t>
        </w:r>
        <w:r w:rsidR="00311F06">
          <w:rPr>
            <w:noProof/>
            <w:webHidden/>
          </w:rPr>
          <w:tab/>
        </w:r>
        <w:r w:rsidR="00311F06">
          <w:rPr>
            <w:noProof/>
            <w:webHidden/>
          </w:rPr>
          <w:fldChar w:fldCharType="begin"/>
        </w:r>
        <w:r w:rsidR="00311F06">
          <w:rPr>
            <w:noProof/>
            <w:webHidden/>
          </w:rPr>
          <w:instrText xml:space="preserve"> PAGEREF _Toc41684678 \h </w:instrText>
        </w:r>
        <w:r w:rsidR="00311F06">
          <w:rPr>
            <w:noProof/>
            <w:webHidden/>
          </w:rPr>
        </w:r>
        <w:r w:rsidR="00311F06">
          <w:rPr>
            <w:noProof/>
            <w:webHidden/>
          </w:rPr>
          <w:fldChar w:fldCharType="separate"/>
        </w:r>
        <w:r w:rsidR="00AA68F8">
          <w:rPr>
            <w:noProof/>
            <w:webHidden/>
          </w:rPr>
          <w:t>4-1</w:t>
        </w:r>
        <w:r w:rsidR="00311F06">
          <w:rPr>
            <w:noProof/>
            <w:webHidden/>
          </w:rPr>
          <w:fldChar w:fldCharType="end"/>
        </w:r>
      </w:hyperlink>
    </w:p>
    <w:p w14:paraId="71E9F707" w14:textId="4E448605" w:rsidR="00311F06" w:rsidRDefault="00C723CB">
      <w:pPr>
        <w:pStyle w:val="TableofFigures"/>
        <w:rPr>
          <w:rFonts w:asciiTheme="minorHAnsi" w:eastAsiaTheme="minorEastAsia" w:hAnsiTheme="minorHAnsi" w:cstheme="minorBidi"/>
          <w:noProof/>
        </w:rPr>
      </w:pPr>
      <w:hyperlink w:anchor="_Toc41684679" w:history="1">
        <w:r w:rsidR="00311F06" w:rsidRPr="00CB21FE">
          <w:rPr>
            <w:rStyle w:val="Hyperlink"/>
            <w:noProof/>
          </w:rPr>
          <w:t>Figure 4</w:t>
        </w:r>
        <w:r w:rsidR="00311F06" w:rsidRPr="00CB21FE">
          <w:rPr>
            <w:rStyle w:val="Hyperlink"/>
            <w:noProof/>
          </w:rPr>
          <w:noBreakHyphen/>
          <w:t>2: Consequences of Failure Are Not All the Same</w:t>
        </w:r>
        <w:r w:rsidR="00311F06">
          <w:rPr>
            <w:noProof/>
            <w:webHidden/>
          </w:rPr>
          <w:tab/>
        </w:r>
        <w:r w:rsidR="00311F06">
          <w:rPr>
            <w:noProof/>
            <w:webHidden/>
          </w:rPr>
          <w:fldChar w:fldCharType="begin"/>
        </w:r>
        <w:r w:rsidR="00311F06">
          <w:rPr>
            <w:noProof/>
            <w:webHidden/>
          </w:rPr>
          <w:instrText xml:space="preserve"> PAGEREF _Toc41684679 \h </w:instrText>
        </w:r>
        <w:r w:rsidR="00311F06">
          <w:rPr>
            <w:noProof/>
            <w:webHidden/>
          </w:rPr>
        </w:r>
        <w:r w:rsidR="00311F06">
          <w:rPr>
            <w:noProof/>
            <w:webHidden/>
          </w:rPr>
          <w:fldChar w:fldCharType="separate"/>
        </w:r>
        <w:r w:rsidR="00AA68F8">
          <w:rPr>
            <w:noProof/>
            <w:webHidden/>
          </w:rPr>
          <w:t>4-2</w:t>
        </w:r>
        <w:r w:rsidR="00311F06">
          <w:rPr>
            <w:noProof/>
            <w:webHidden/>
          </w:rPr>
          <w:fldChar w:fldCharType="end"/>
        </w:r>
      </w:hyperlink>
    </w:p>
    <w:p w14:paraId="37B6B52A" w14:textId="7811EF01" w:rsidR="00311F06" w:rsidRDefault="00C723CB">
      <w:pPr>
        <w:pStyle w:val="TableofFigures"/>
        <w:rPr>
          <w:rFonts w:asciiTheme="minorHAnsi" w:eastAsiaTheme="minorEastAsia" w:hAnsiTheme="minorHAnsi" w:cstheme="minorBidi"/>
          <w:noProof/>
        </w:rPr>
      </w:pPr>
      <w:hyperlink w:anchor="_Toc41684680" w:history="1">
        <w:r w:rsidR="00311F06" w:rsidRPr="00CB21FE">
          <w:rPr>
            <w:rStyle w:val="Hyperlink"/>
            <w:noProof/>
          </w:rPr>
          <w:t>Figure 4</w:t>
        </w:r>
        <w:r w:rsidR="00311F06" w:rsidRPr="00CB21FE">
          <w:rPr>
            <w:rStyle w:val="Hyperlink"/>
            <w:noProof/>
          </w:rPr>
          <w:noBreakHyphen/>
          <w:t>3: Consequence of Failure: Multiple Levels</w:t>
        </w:r>
        <w:r w:rsidR="00311F06">
          <w:rPr>
            <w:noProof/>
            <w:webHidden/>
          </w:rPr>
          <w:tab/>
        </w:r>
        <w:r w:rsidR="00311F06">
          <w:rPr>
            <w:noProof/>
            <w:webHidden/>
          </w:rPr>
          <w:fldChar w:fldCharType="begin"/>
        </w:r>
        <w:r w:rsidR="00311F06">
          <w:rPr>
            <w:noProof/>
            <w:webHidden/>
          </w:rPr>
          <w:instrText xml:space="preserve"> PAGEREF _Toc41684680 \h </w:instrText>
        </w:r>
        <w:r w:rsidR="00311F06">
          <w:rPr>
            <w:noProof/>
            <w:webHidden/>
          </w:rPr>
        </w:r>
        <w:r w:rsidR="00311F06">
          <w:rPr>
            <w:noProof/>
            <w:webHidden/>
          </w:rPr>
          <w:fldChar w:fldCharType="separate"/>
        </w:r>
        <w:r w:rsidR="00AA68F8">
          <w:rPr>
            <w:noProof/>
            <w:webHidden/>
          </w:rPr>
          <w:t>4-3</w:t>
        </w:r>
        <w:r w:rsidR="00311F06">
          <w:rPr>
            <w:noProof/>
            <w:webHidden/>
          </w:rPr>
          <w:fldChar w:fldCharType="end"/>
        </w:r>
      </w:hyperlink>
    </w:p>
    <w:p w14:paraId="7750DC34" w14:textId="33970992" w:rsidR="00311F06" w:rsidRDefault="00C723CB">
      <w:pPr>
        <w:pStyle w:val="TableofFigures"/>
        <w:rPr>
          <w:rFonts w:asciiTheme="minorHAnsi" w:eastAsiaTheme="minorEastAsia" w:hAnsiTheme="minorHAnsi" w:cstheme="minorBidi"/>
          <w:noProof/>
        </w:rPr>
      </w:pPr>
      <w:hyperlink w:anchor="_Toc41684681" w:history="1">
        <w:r w:rsidR="00311F06" w:rsidRPr="00CB21FE">
          <w:rPr>
            <w:rStyle w:val="Hyperlink"/>
            <w:noProof/>
          </w:rPr>
          <w:t>Figure 4</w:t>
        </w:r>
        <w:r w:rsidR="00311F06" w:rsidRPr="00CB21FE">
          <w:rPr>
            <w:rStyle w:val="Hyperlink"/>
            <w:noProof/>
          </w:rPr>
          <w:noBreakHyphen/>
          <w:t>4: Summary of PoF Results (Colored Map)</w:t>
        </w:r>
        <w:r w:rsidR="00311F06">
          <w:rPr>
            <w:noProof/>
            <w:webHidden/>
          </w:rPr>
          <w:tab/>
        </w:r>
        <w:r w:rsidR="00311F06">
          <w:rPr>
            <w:noProof/>
            <w:webHidden/>
          </w:rPr>
          <w:fldChar w:fldCharType="begin"/>
        </w:r>
        <w:r w:rsidR="00311F06">
          <w:rPr>
            <w:noProof/>
            <w:webHidden/>
          </w:rPr>
          <w:instrText xml:space="preserve"> PAGEREF _Toc41684681 \h </w:instrText>
        </w:r>
        <w:r w:rsidR="00311F06">
          <w:rPr>
            <w:noProof/>
            <w:webHidden/>
          </w:rPr>
        </w:r>
        <w:r w:rsidR="00311F06">
          <w:rPr>
            <w:noProof/>
            <w:webHidden/>
          </w:rPr>
          <w:fldChar w:fldCharType="separate"/>
        </w:r>
        <w:r w:rsidR="00AA68F8">
          <w:rPr>
            <w:noProof/>
            <w:webHidden/>
          </w:rPr>
          <w:t>4-6</w:t>
        </w:r>
        <w:r w:rsidR="00311F06">
          <w:rPr>
            <w:noProof/>
            <w:webHidden/>
          </w:rPr>
          <w:fldChar w:fldCharType="end"/>
        </w:r>
      </w:hyperlink>
    </w:p>
    <w:p w14:paraId="741CAFD2" w14:textId="552AF45F" w:rsidR="00311F06" w:rsidRDefault="00C723CB">
      <w:pPr>
        <w:pStyle w:val="TableofFigures"/>
        <w:rPr>
          <w:rFonts w:asciiTheme="minorHAnsi" w:eastAsiaTheme="minorEastAsia" w:hAnsiTheme="minorHAnsi" w:cstheme="minorBidi"/>
          <w:noProof/>
        </w:rPr>
      </w:pPr>
      <w:hyperlink w:anchor="_Toc41684682" w:history="1">
        <w:r w:rsidR="00311F06" w:rsidRPr="00CB21FE">
          <w:rPr>
            <w:rStyle w:val="Hyperlink"/>
            <w:noProof/>
          </w:rPr>
          <w:t>Figure 4</w:t>
        </w:r>
        <w:r w:rsidR="00311F06" w:rsidRPr="00CB21FE">
          <w:rPr>
            <w:rStyle w:val="Hyperlink"/>
            <w:noProof/>
          </w:rPr>
          <w:noBreakHyphen/>
          <w:t>5: Summary of PoF Results (Grayscale Map)</w:t>
        </w:r>
        <w:r w:rsidR="00311F06">
          <w:rPr>
            <w:noProof/>
            <w:webHidden/>
          </w:rPr>
          <w:tab/>
        </w:r>
        <w:r w:rsidR="00311F06">
          <w:rPr>
            <w:noProof/>
            <w:webHidden/>
          </w:rPr>
          <w:fldChar w:fldCharType="begin"/>
        </w:r>
        <w:r w:rsidR="00311F06">
          <w:rPr>
            <w:noProof/>
            <w:webHidden/>
          </w:rPr>
          <w:instrText xml:space="preserve"> PAGEREF _Toc41684682 \h </w:instrText>
        </w:r>
        <w:r w:rsidR="00311F06">
          <w:rPr>
            <w:noProof/>
            <w:webHidden/>
          </w:rPr>
        </w:r>
        <w:r w:rsidR="00311F06">
          <w:rPr>
            <w:noProof/>
            <w:webHidden/>
          </w:rPr>
          <w:fldChar w:fldCharType="separate"/>
        </w:r>
        <w:r w:rsidR="00AA68F8">
          <w:rPr>
            <w:noProof/>
            <w:webHidden/>
          </w:rPr>
          <w:t>4-6</w:t>
        </w:r>
        <w:r w:rsidR="00311F06">
          <w:rPr>
            <w:noProof/>
            <w:webHidden/>
          </w:rPr>
          <w:fldChar w:fldCharType="end"/>
        </w:r>
      </w:hyperlink>
    </w:p>
    <w:p w14:paraId="0B921217" w14:textId="1B1E3458" w:rsidR="00311F06" w:rsidRDefault="00C723CB">
      <w:pPr>
        <w:pStyle w:val="TableofFigures"/>
        <w:rPr>
          <w:rFonts w:asciiTheme="minorHAnsi" w:eastAsiaTheme="minorEastAsia" w:hAnsiTheme="minorHAnsi" w:cstheme="minorBidi"/>
          <w:noProof/>
        </w:rPr>
      </w:pPr>
      <w:hyperlink w:anchor="_Toc41684683" w:history="1">
        <w:r w:rsidR="00311F06" w:rsidRPr="00CB21FE">
          <w:rPr>
            <w:rStyle w:val="Hyperlink"/>
            <w:noProof/>
          </w:rPr>
          <w:t>Figure 4</w:t>
        </w:r>
        <w:r w:rsidR="00311F06" w:rsidRPr="00CB21FE">
          <w:rPr>
            <w:rStyle w:val="Hyperlink"/>
            <w:noProof/>
          </w:rPr>
          <w:noBreakHyphen/>
          <w:t>6: Examples of Assets with Highest PoF</w:t>
        </w:r>
        <w:r w:rsidR="00311F06">
          <w:rPr>
            <w:noProof/>
            <w:webHidden/>
          </w:rPr>
          <w:tab/>
        </w:r>
        <w:r w:rsidR="00311F06">
          <w:rPr>
            <w:noProof/>
            <w:webHidden/>
          </w:rPr>
          <w:fldChar w:fldCharType="begin"/>
        </w:r>
        <w:r w:rsidR="00311F06">
          <w:rPr>
            <w:noProof/>
            <w:webHidden/>
          </w:rPr>
          <w:instrText xml:space="preserve"> PAGEREF _Toc41684683 \h </w:instrText>
        </w:r>
        <w:r w:rsidR="00311F06">
          <w:rPr>
            <w:noProof/>
            <w:webHidden/>
          </w:rPr>
        </w:r>
        <w:r w:rsidR="00311F06">
          <w:rPr>
            <w:noProof/>
            <w:webHidden/>
          </w:rPr>
          <w:fldChar w:fldCharType="separate"/>
        </w:r>
        <w:r w:rsidR="00AA68F8">
          <w:rPr>
            <w:noProof/>
            <w:webHidden/>
          </w:rPr>
          <w:t>4-7</w:t>
        </w:r>
        <w:r w:rsidR="00311F06">
          <w:rPr>
            <w:noProof/>
            <w:webHidden/>
          </w:rPr>
          <w:fldChar w:fldCharType="end"/>
        </w:r>
      </w:hyperlink>
    </w:p>
    <w:p w14:paraId="7DCCA723" w14:textId="2E523216" w:rsidR="00311F06" w:rsidRDefault="00C723CB">
      <w:pPr>
        <w:pStyle w:val="TableofFigures"/>
        <w:rPr>
          <w:rFonts w:asciiTheme="minorHAnsi" w:eastAsiaTheme="minorEastAsia" w:hAnsiTheme="minorHAnsi" w:cstheme="minorBidi"/>
          <w:noProof/>
        </w:rPr>
      </w:pPr>
      <w:hyperlink w:anchor="_Toc41684684" w:history="1">
        <w:r w:rsidR="00311F06" w:rsidRPr="00CB21FE">
          <w:rPr>
            <w:rStyle w:val="Hyperlink"/>
            <w:noProof/>
          </w:rPr>
          <w:t>Figure 4</w:t>
        </w:r>
        <w:r w:rsidR="00311F06" w:rsidRPr="00CB21FE">
          <w:rPr>
            <w:rStyle w:val="Hyperlink"/>
            <w:noProof/>
          </w:rPr>
          <w:noBreakHyphen/>
          <w:t>7: Summary of PoF Results</w:t>
        </w:r>
        <w:r w:rsidR="00311F06">
          <w:rPr>
            <w:noProof/>
            <w:webHidden/>
          </w:rPr>
          <w:tab/>
        </w:r>
        <w:r w:rsidR="00311F06">
          <w:rPr>
            <w:noProof/>
            <w:webHidden/>
          </w:rPr>
          <w:fldChar w:fldCharType="begin"/>
        </w:r>
        <w:r w:rsidR="00311F06">
          <w:rPr>
            <w:noProof/>
            <w:webHidden/>
          </w:rPr>
          <w:instrText xml:space="preserve"> PAGEREF _Toc41684684 \h </w:instrText>
        </w:r>
        <w:r w:rsidR="00311F06">
          <w:rPr>
            <w:noProof/>
            <w:webHidden/>
          </w:rPr>
        </w:r>
        <w:r w:rsidR="00311F06">
          <w:rPr>
            <w:noProof/>
            <w:webHidden/>
          </w:rPr>
          <w:fldChar w:fldCharType="separate"/>
        </w:r>
        <w:r w:rsidR="00AA68F8">
          <w:rPr>
            <w:noProof/>
            <w:webHidden/>
          </w:rPr>
          <w:t>4-8</w:t>
        </w:r>
        <w:r w:rsidR="00311F06">
          <w:rPr>
            <w:noProof/>
            <w:webHidden/>
          </w:rPr>
          <w:fldChar w:fldCharType="end"/>
        </w:r>
      </w:hyperlink>
    </w:p>
    <w:p w14:paraId="2F34DF0E" w14:textId="30EFF092" w:rsidR="00311F06" w:rsidRDefault="00C723CB">
      <w:pPr>
        <w:pStyle w:val="TableofFigures"/>
        <w:rPr>
          <w:rFonts w:asciiTheme="minorHAnsi" w:eastAsiaTheme="minorEastAsia" w:hAnsiTheme="minorHAnsi" w:cstheme="minorBidi"/>
          <w:noProof/>
        </w:rPr>
      </w:pPr>
      <w:hyperlink w:anchor="_Toc41684685" w:history="1">
        <w:r w:rsidR="00311F06" w:rsidRPr="00CB21FE">
          <w:rPr>
            <w:rStyle w:val="Hyperlink"/>
            <w:noProof/>
          </w:rPr>
          <w:t>Figure 4</w:t>
        </w:r>
        <w:r w:rsidR="00311F06" w:rsidRPr="00CB21FE">
          <w:rPr>
            <w:rStyle w:val="Hyperlink"/>
            <w:noProof/>
          </w:rPr>
          <w:noBreakHyphen/>
          <w:t>8: Final CoF Formula</w:t>
        </w:r>
        <w:r w:rsidR="00311F06">
          <w:rPr>
            <w:noProof/>
            <w:webHidden/>
          </w:rPr>
          <w:tab/>
        </w:r>
        <w:r w:rsidR="00311F06">
          <w:rPr>
            <w:noProof/>
            <w:webHidden/>
          </w:rPr>
          <w:fldChar w:fldCharType="begin"/>
        </w:r>
        <w:r w:rsidR="00311F06">
          <w:rPr>
            <w:noProof/>
            <w:webHidden/>
          </w:rPr>
          <w:instrText xml:space="preserve"> PAGEREF _Toc41684685 \h </w:instrText>
        </w:r>
        <w:r w:rsidR="00311F06">
          <w:rPr>
            <w:noProof/>
            <w:webHidden/>
          </w:rPr>
        </w:r>
        <w:r w:rsidR="00311F06">
          <w:rPr>
            <w:noProof/>
            <w:webHidden/>
          </w:rPr>
          <w:fldChar w:fldCharType="separate"/>
        </w:r>
        <w:r w:rsidR="00AA68F8">
          <w:rPr>
            <w:noProof/>
            <w:webHidden/>
          </w:rPr>
          <w:t>4-8</w:t>
        </w:r>
        <w:r w:rsidR="00311F06">
          <w:rPr>
            <w:noProof/>
            <w:webHidden/>
          </w:rPr>
          <w:fldChar w:fldCharType="end"/>
        </w:r>
      </w:hyperlink>
    </w:p>
    <w:p w14:paraId="1A5DE0F3" w14:textId="3BA2F1F3" w:rsidR="00311F06" w:rsidRDefault="00C723CB">
      <w:pPr>
        <w:pStyle w:val="TableofFigures"/>
        <w:rPr>
          <w:rFonts w:asciiTheme="minorHAnsi" w:eastAsiaTheme="minorEastAsia" w:hAnsiTheme="minorHAnsi" w:cstheme="minorBidi"/>
          <w:noProof/>
        </w:rPr>
      </w:pPr>
      <w:hyperlink w:anchor="_Toc41684686" w:history="1">
        <w:r w:rsidR="00311F06" w:rsidRPr="00CB21FE">
          <w:rPr>
            <w:rStyle w:val="Hyperlink"/>
            <w:noProof/>
          </w:rPr>
          <w:t>Figure 4</w:t>
        </w:r>
        <w:r w:rsidR="00311F06" w:rsidRPr="00CB21FE">
          <w:rPr>
            <w:rStyle w:val="Hyperlink"/>
            <w:noProof/>
          </w:rPr>
          <w:noBreakHyphen/>
          <w:t>9: Summary of Final CoF Scores</w:t>
        </w:r>
        <w:r w:rsidR="00311F06">
          <w:rPr>
            <w:noProof/>
            <w:webHidden/>
          </w:rPr>
          <w:tab/>
        </w:r>
        <w:r w:rsidR="00311F06">
          <w:rPr>
            <w:noProof/>
            <w:webHidden/>
          </w:rPr>
          <w:fldChar w:fldCharType="begin"/>
        </w:r>
        <w:r w:rsidR="00311F06">
          <w:rPr>
            <w:noProof/>
            <w:webHidden/>
          </w:rPr>
          <w:instrText xml:space="preserve"> PAGEREF _Toc41684686 \h </w:instrText>
        </w:r>
        <w:r w:rsidR="00311F06">
          <w:rPr>
            <w:noProof/>
            <w:webHidden/>
          </w:rPr>
        </w:r>
        <w:r w:rsidR="00311F06">
          <w:rPr>
            <w:noProof/>
            <w:webHidden/>
          </w:rPr>
          <w:fldChar w:fldCharType="separate"/>
        </w:r>
        <w:r w:rsidR="00AA68F8">
          <w:rPr>
            <w:noProof/>
            <w:webHidden/>
          </w:rPr>
          <w:t>4-12</w:t>
        </w:r>
        <w:r w:rsidR="00311F06">
          <w:rPr>
            <w:noProof/>
            <w:webHidden/>
          </w:rPr>
          <w:fldChar w:fldCharType="end"/>
        </w:r>
      </w:hyperlink>
    </w:p>
    <w:p w14:paraId="1E8B7AFC" w14:textId="39EB3D92" w:rsidR="00311F06" w:rsidRDefault="00C723CB">
      <w:pPr>
        <w:pStyle w:val="TableofFigures"/>
        <w:rPr>
          <w:rFonts w:asciiTheme="minorHAnsi" w:eastAsiaTheme="minorEastAsia" w:hAnsiTheme="minorHAnsi" w:cstheme="minorBidi"/>
          <w:noProof/>
        </w:rPr>
      </w:pPr>
      <w:hyperlink w:anchor="_Toc41684687" w:history="1">
        <w:r w:rsidR="00311F06" w:rsidRPr="00CB21FE">
          <w:rPr>
            <w:rStyle w:val="Hyperlink"/>
            <w:noProof/>
          </w:rPr>
          <w:t>Figure 4</w:t>
        </w:r>
        <w:r w:rsidR="00311F06" w:rsidRPr="00CB21FE">
          <w:rPr>
            <w:rStyle w:val="Hyperlink"/>
            <w:noProof/>
          </w:rPr>
          <w:noBreakHyphen/>
          <w:t>10: Process Level CoF Results (Colored Map)</w:t>
        </w:r>
        <w:r w:rsidR="00311F06">
          <w:rPr>
            <w:noProof/>
            <w:webHidden/>
          </w:rPr>
          <w:tab/>
        </w:r>
        <w:r w:rsidR="00311F06">
          <w:rPr>
            <w:noProof/>
            <w:webHidden/>
          </w:rPr>
          <w:fldChar w:fldCharType="begin"/>
        </w:r>
        <w:r w:rsidR="00311F06">
          <w:rPr>
            <w:noProof/>
            <w:webHidden/>
          </w:rPr>
          <w:instrText xml:space="preserve"> PAGEREF _Toc41684687 \h </w:instrText>
        </w:r>
        <w:r w:rsidR="00311F06">
          <w:rPr>
            <w:noProof/>
            <w:webHidden/>
          </w:rPr>
        </w:r>
        <w:r w:rsidR="00311F06">
          <w:rPr>
            <w:noProof/>
            <w:webHidden/>
          </w:rPr>
          <w:fldChar w:fldCharType="separate"/>
        </w:r>
        <w:r w:rsidR="00AA68F8">
          <w:rPr>
            <w:noProof/>
            <w:webHidden/>
          </w:rPr>
          <w:t>4-12</w:t>
        </w:r>
        <w:r w:rsidR="00311F06">
          <w:rPr>
            <w:noProof/>
            <w:webHidden/>
          </w:rPr>
          <w:fldChar w:fldCharType="end"/>
        </w:r>
      </w:hyperlink>
    </w:p>
    <w:p w14:paraId="67F9CB91" w14:textId="471880ED" w:rsidR="00311F06" w:rsidRDefault="00C723CB">
      <w:pPr>
        <w:pStyle w:val="TableofFigures"/>
        <w:rPr>
          <w:rFonts w:asciiTheme="minorHAnsi" w:eastAsiaTheme="minorEastAsia" w:hAnsiTheme="minorHAnsi" w:cstheme="minorBidi"/>
          <w:noProof/>
        </w:rPr>
      </w:pPr>
      <w:hyperlink w:anchor="_Toc41684688" w:history="1">
        <w:r w:rsidR="00311F06" w:rsidRPr="00CB21FE">
          <w:rPr>
            <w:rStyle w:val="Hyperlink"/>
            <w:noProof/>
          </w:rPr>
          <w:t>Figure 4</w:t>
        </w:r>
        <w:r w:rsidR="00311F06" w:rsidRPr="00CB21FE">
          <w:rPr>
            <w:rStyle w:val="Hyperlink"/>
            <w:noProof/>
          </w:rPr>
          <w:noBreakHyphen/>
          <w:t>11: Process Level CoF Results (Grayscale Map)</w:t>
        </w:r>
        <w:r w:rsidR="00311F06">
          <w:rPr>
            <w:noProof/>
            <w:webHidden/>
          </w:rPr>
          <w:tab/>
        </w:r>
        <w:r w:rsidR="00311F06">
          <w:rPr>
            <w:noProof/>
            <w:webHidden/>
          </w:rPr>
          <w:fldChar w:fldCharType="begin"/>
        </w:r>
        <w:r w:rsidR="00311F06">
          <w:rPr>
            <w:noProof/>
            <w:webHidden/>
          </w:rPr>
          <w:instrText xml:space="preserve"> PAGEREF _Toc41684688 \h </w:instrText>
        </w:r>
        <w:r w:rsidR="00311F06">
          <w:rPr>
            <w:noProof/>
            <w:webHidden/>
          </w:rPr>
        </w:r>
        <w:r w:rsidR="00311F06">
          <w:rPr>
            <w:noProof/>
            <w:webHidden/>
          </w:rPr>
          <w:fldChar w:fldCharType="separate"/>
        </w:r>
        <w:r w:rsidR="00AA68F8">
          <w:rPr>
            <w:noProof/>
            <w:webHidden/>
          </w:rPr>
          <w:t>4-13</w:t>
        </w:r>
        <w:r w:rsidR="00311F06">
          <w:rPr>
            <w:noProof/>
            <w:webHidden/>
          </w:rPr>
          <w:fldChar w:fldCharType="end"/>
        </w:r>
      </w:hyperlink>
    </w:p>
    <w:p w14:paraId="75037874" w14:textId="14B43630" w:rsidR="00311F06" w:rsidRDefault="00C723CB">
      <w:pPr>
        <w:pStyle w:val="TableofFigures"/>
        <w:rPr>
          <w:rFonts w:asciiTheme="minorHAnsi" w:eastAsiaTheme="minorEastAsia" w:hAnsiTheme="minorHAnsi" w:cstheme="minorBidi"/>
          <w:noProof/>
        </w:rPr>
      </w:pPr>
      <w:hyperlink w:anchor="_Toc41684689" w:history="1">
        <w:r w:rsidR="00311F06" w:rsidRPr="00CB21FE">
          <w:rPr>
            <w:rStyle w:val="Hyperlink"/>
            <w:noProof/>
          </w:rPr>
          <w:t>Figure 4</w:t>
        </w:r>
        <w:r w:rsidR="00311F06" w:rsidRPr="00CB21FE">
          <w:rPr>
            <w:rStyle w:val="Hyperlink"/>
            <w:noProof/>
          </w:rPr>
          <w:noBreakHyphen/>
          <w:t>12: Examples of Assets with High CoF</w:t>
        </w:r>
        <w:r w:rsidR="00311F06">
          <w:rPr>
            <w:noProof/>
            <w:webHidden/>
          </w:rPr>
          <w:tab/>
        </w:r>
        <w:r w:rsidR="00311F06">
          <w:rPr>
            <w:noProof/>
            <w:webHidden/>
          </w:rPr>
          <w:fldChar w:fldCharType="begin"/>
        </w:r>
        <w:r w:rsidR="00311F06">
          <w:rPr>
            <w:noProof/>
            <w:webHidden/>
          </w:rPr>
          <w:instrText xml:space="preserve"> PAGEREF _Toc41684689 \h </w:instrText>
        </w:r>
        <w:r w:rsidR="00311F06">
          <w:rPr>
            <w:noProof/>
            <w:webHidden/>
          </w:rPr>
        </w:r>
        <w:r w:rsidR="00311F06">
          <w:rPr>
            <w:noProof/>
            <w:webHidden/>
          </w:rPr>
          <w:fldChar w:fldCharType="separate"/>
        </w:r>
        <w:r w:rsidR="00AA68F8">
          <w:rPr>
            <w:noProof/>
            <w:webHidden/>
          </w:rPr>
          <w:t>4-13</w:t>
        </w:r>
        <w:r w:rsidR="00311F06">
          <w:rPr>
            <w:noProof/>
            <w:webHidden/>
          </w:rPr>
          <w:fldChar w:fldCharType="end"/>
        </w:r>
      </w:hyperlink>
    </w:p>
    <w:p w14:paraId="2130E0DF" w14:textId="7C9E1CAD" w:rsidR="00311F06" w:rsidRDefault="00C723CB">
      <w:pPr>
        <w:pStyle w:val="TableofFigures"/>
        <w:rPr>
          <w:rFonts w:asciiTheme="minorHAnsi" w:eastAsiaTheme="minorEastAsia" w:hAnsiTheme="minorHAnsi" w:cstheme="minorBidi"/>
          <w:noProof/>
        </w:rPr>
      </w:pPr>
      <w:hyperlink w:anchor="_Toc41684690" w:history="1">
        <w:r w:rsidR="00311F06" w:rsidRPr="00CB21FE">
          <w:rPr>
            <w:rStyle w:val="Hyperlink"/>
            <w:noProof/>
          </w:rPr>
          <w:t>Figure 4</w:t>
        </w:r>
        <w:r w:rsidR="00311F06" w:rsidRPr="00CB21FE">
          <w:rPr>
            <w:rStyle w:val="Hyperlink"/>
            <w:noProof/>
          </w:rPr>
          <w:noBreakHyphen/>
          <w:t>13: Business Risk Exposure Formula</w:t>
        </w:r>
        <w:r w:rsidR="00311F06">
          <w:rPr>
            <w:noProof/>
            <w:webHidden/>
          </w:rPr>
          <w:tab/>
        </w:r>
        <w:r w:rsidR="00311F06">
          <w:rPr>
            <w:noProof/>
            <w:webHidden/>
          </w:rPr>
          <w:fldChar w:fldCharType="begin"/>
        </w:r>
        <w:r w:rsidR="00311F06">
          <w:rPr>
            <w:noProof/>
            <w:webHidden/>
          </w:rPr>
          <w:instrText xml:space="preserve"> PAGEREF _Toc41684690 \h </w:instrText>
        </w:r>
        <w:r w:rsidR="00311F06">
          <w:rPr>
            <w:noProof/>
            <w:webHidden/>
          </w:rPr>
        </w:r>
        <w:r w:rsidR="00311F06">
          <w:rPr>
            <w:noProof/>
            <w:webHidden/>
          </w:rPr>
          <w:fldChar w:fldCharType="separate"/>
        </w:r>
        <w:r w:rsidR="00AA68F8">
          <w:rPr>
            <w:noProof/>
            <w:webHidden/>
          </w:rPr>
          <w:t>4-14</w:t>
        </w:r>
        <w:r w:rsidR="00311F06">
          <w:rPr>
            <w:noProof/>
            <w:webHidden/>
          </w:rPr>
          <w:fldChar w:fldCharType="end"/>
        </w:r>
      </w:hyperlink>
    </w:p>
    <w:p w14:paraId="6B2F7FAF" w14:textId="361F9A3F" w:rsidR="00311F06" w:rsidRDefault="00C723CB">
      <w:pPr>
        <w:pStyle w:val="TableofFigures"/>
        <w:rPr>
          <w:rFonts w:asciiTheme="minorHAnsi" w:eastAsiaTheme="minorEastAsia" w:hAnsiTheme="minorHAnsi" w:cstheme="minorBidi"/>
          <w:noProof/>
        </w:rPr>
      </w:pPr>
      <w:hyperlink w:anchor="_Toc41684691" w:history="1">
        <w:r w:rsidR="00311F06" w:rsidRPr="00CB21FE">
          <w:rPr>
            <w:rStyle w:val="Hyperlink"/>
            <w:noProof/>
          </w:rPr>
          <w:t>Figure 4</w:t>
        </w:r>
        <w:r w:rsidR="00311F06" w:rsidRPr="00CB21FE">
          <w:rPr>
            <w:rStyle w:val="Hyperlink"/>
            <w:noProof/>
          </w:rPr>
          <w:noBreakHyphen/>
          <w:t>14: Risk Matrix</w:t>
        </w:r>
        <w:r w:rsidR="00311F06">
          <w:rPr>
            <w:noProof/>
            <w:webHidden/>
          </w:rPr>
          <w:tab/>
        </w:r>
        <w:r w:rsidR="00311F06">
          <w:rPr>
            <w:noProof/>
            <w:webHidden/>
          </w:rPr>
          <w:fldChar w:fldCharType="begin"/>
        </w:r>
        <w:r w:rsidR="00311F06">
          <w:rPr>
            <w:noProof/>
            <w:webHidden/>
          </w:rPr>
          <w:instrText xml:space="preserve"> PAGEREF _Toc41684691 \h </w:instrText>
        </w:r>
        <w:r w:rsidR="00311F06">
          <w:rPr>
            <w:noProof/>
            <w:webHidden/>
          </w:rPr>
        </w:r>
        <w:r w:rsidR="00311F06">
          <w:rPr>
            <w:noProof/>
            <w:webHidden/>
          </w:rPr>
          <w:fldChar w:fldCharType="separate"/>
        </w:r>
        <w:r w:rsidR="00AA68F8">
          <w:rPr>
            <w:noProof/>
            <w:webHidden/>
          </w:rPr>
          <w:t>4-15</w:t>
        </w:r>
        <w:r w:rsidR="00311F06">
          <w:rPr>
            <w:noProof/>
            <w:webHidden/>
          </w:rPr>
          <w:fldChar w:fldCharType="end"/>
        </w:r>
      </w:hyperlink>
    </w:p>
    <w:p w14:paraId="18425104" w14:textId="79AE6986" w:rsidR="00311F06" w:rsidRDefault="00C723CB">
      <w:pPr>
        <w:pStyle w:val="TableofFigures"/>
        <w:rPr>
          <w:rFonts w:asciiTheme="minorHAnsi" w:eastAsiaTheme="minorEastAsia" w:hAnsiTheme="minorHAnsi" w:cstheme="minorBidi"/>
          <w:noProof/>
        </w:rPr>
      </w:pPr>
      <w:hyperlink w:anchor="_Toc41684692" w:history="1">
        <w:r w:rsidR="00311F06" w:rsidRPr="00CB21FE">
          <w:rPr>
            <w:rStyle w:val="Hyperlink"/>
            <w:noProof/>
          </w:rPr>
          <w:t>Figure 4</w:t>
        </w:r>
        <w:r w:rsidR="00311F06" w:rsidRPr="00CB21FE">
          <w:rPr>
            <w:rStyle w:val="Hyperlink"/>
            <w:noProof/>
          </w:rPr>
          <w:noBreakHyphen/>
          <w:t>15: Location-Based BRE Results (Colored Map)</w:t>
        </w:r>
        <w:r w:rsidR="00311F06">
          <w:rPr>
            <w:noProof/>
            <w:webHidden/>
          </w:rPr>
          <w:tab/>
        </w:r>
        <w:r w:rsidR="00311F06">
          <w:rPr>
            <w:noProof/>
            <w:webHidden/>
          </w:rPr>
          <w:fldChar w:fldCharType="begin"/>
        </w:r>
        <w:r w:rsidR="00311F06">
          <w:rPr>
            <w:noProof/>
            <w:webHidden/>
          </w:rPr>
          <w:instrText xml:space="preserve"> PAGEREF _Toc41684692 \h </w:instrText>
        </w:r>
        <w:r w:rsidR="00311F06">
          <w:rPr>
            <w:noProof/>
            <w:webHidden/>
          </w:rPr>
        </w:r>
        <w:r w:rsidR="00311F06">
          <w:rPr>
            <w:noProof/>
            <w:webHidden/>
          </w:rPr>
          <w:fldChar w:fldCharType="separate"/>
        </w:r>
        <w:r w:rsidR="00AA68F8">
          <w:rPr>
            <w:noProof/>
            <w:webHidden/>
          </w:rPr>
          <w:t>4-16</w:t>
        </w:r>
        <w:r w:rsidR="00311F06">
          <w:rPr>
            <w:noProof/>
            <w:webHidden/>
          </w:rPr>
          <w:fldChar w:fldCharType="end"/>
        </w:r>
      </w:hyperlink>
    </w:p>
    <w:p w14:paraId="432AC46B" w14:textId="04BFD7EB" w:rsidR="00311F06" w:rsidRDefault="00C723CB">
      <w:pPr>
        <w:pStyle w:val="TableofFigures"/>
        <w:rPr>
          <w:rFonts w:asciiTheme="minorHAnsi" w:eastAsiaTheme="minorEastAsia" w:hAnsiTheme="minorHAnsi" w:cstheme="minorBidi"/>
          <w:noProof/>
        </w:rPr>
      </w:pPr>
      <w:hyperlink w:anchor="_Toc41684693" w:history="1">
        <w:r w:rsidR="00311F06" w:rsidRPr="00CB21FE">
          <w:rPr>
            <w:rStyle w:val="Hyperlink"/>
            <w:noProof/>
          </w:rPr>
          <w:t>Figure 4</w:t>
        </w:r>
        <w:r w:rsidR="00311F06" w:rsidRPr="00CB21FE">
          <w:rPr>
            <w:rStyle w:val="Hyperlink"/>
            <w:noProof/>
          </w:rPr>
          <w:noBreakHyphen/>
          <w:t>16: Location-Based BRE Results (Grayscale Map)</w:t>
        </w:r>
        <w:r w:rsidR="00311F06">
          <w:rPr>
            <w:noProof/>
            <w:webHidden/>
          </w:rPr>
          <w:tab/>
        </w:r>
        <w:r w:rsidR="00311F06">
          <w:rPr>
            <w:noProof/>
            <w:webHidden/>
          </w:rPr>
          <w:fldChar w:fldCharType="begin"/>
        </w:r>
        <w:r w:rsidR="00311F06">
          <w:rPr>
            <w:noProof/>
            <w:webHidden/>
          </w:rPr>
          <w:instrText xml:space="preserve"> PAGEREF _Toc41684693 \h </w:instrText>
        </w:r>
        <w:r w:rsidR="00311F06">
          <w:rPr>
            <w:noProof/>
            <w:webHidden/>
          </w:rPr>
        </w:r>
        <w:r w:rsidR="00311F06">
          <w:rPr>
            <w:noProof/>
            <w:webHidden/>
          </w:rPr>
          <w:fldChar w:fldCharType="separate"/>
        </w:r>
        <w:r w:rsidR="00AA68F8">
          <w:rPr>
            <w:noProof/>
            <w:webHidden/>
          </w:rPr>
          <w:t>4-17</w:t>
        </w:r>
        <w:r w:rsidR="00311F06">
          <w:rPr>
            <w:noProof/>
            <w:webHidden/>
          </w:rPr>
          <w:fldChar w:fldCharType="end"/>
        </w:r>
      </w:hyperlink>
    </w:p>
    <w:p w14:paraId="5ABE1F07" w14:textId="6021AB2E" w:rsidR="00311F06" w:rsidRDefault="00C723CB">
      <w:pPr>
        <w:pStyle w:val="TableofFigures"/>
        <w:rPr>
          <w:rFonts w:asciiTheme="minorHAnsi" w:eastAsiaTheme="minorEastAsia" w:hAnsiTheme="minorHAnsi" w:cstheme="minorBidi"/>
          <w:noProof/>
        </w:rPr>
      </w:pPr>
      <w:hyperlink w:anchor="_Toc41684694" w:history="1">
        <w:r w:rsidR="00311F06" w:rsidRPr="00CB21FE">
          <w:rPr>
            <w:rStyle w:val="Hyperlink"/>
            <w:noProof/>
          </w:rPr>
          <w:t>Figure 4</w:t>
        </w:r>
        <w:r w:rsidR="00311F06" w:rsidRPr="00CB21FE">
          <w:rPr>
            <w:rStyle w:val="Hyperlink"/>
            <w:noProof/>
          </w:rPr>
          <w:noBreakHyphen/>
          <w:t>17: Asset Count by BRE Score</w:t>
        </w:r>
        <w:r w:rsidR="00311F06">
          <w:rPr>
            <w:noProof/>
            <w:webHidden/>
          </w:rPr>
          <w:tab/>
        </w:r>
        <w:r w:rsidR="00311F06">
          <w:rPr>
            <w:noProof/>
            <w:webHidden/>
          </w:rPr>
          <w:fldChar w:fldCharType="begin"/>
        </w:r>
        <w:r w:rsidR="00311F06">
          <w:rPr>
            <w:noProof/>
            <w:webHidden/>
          </w:rPr>
          <w:instrText xml:space="preserve"> PAGEREF _Toc41684694 \h </w:instrText>
        </w:r>
        <w:r w:rsidR="00311F06">
          <w:rPr>
            <w:noProof/>
            <w:webHidden/>
          </w:rPr>
        </w:r>
        <w:r w:rsidR="00311F06">
          <w:rPr>
            <w:noProof/>
            <w:webHidden/>
          </w:rPr>
          <w:fldChar w:fldCharType="separate"/>
        </w:r>
        <w:r w:rsidR="00AA68F8">
          <w:rPr>
            <w:noProof/>
            <w:webHidden/>
          </w:rPr>
          <w:t>4-17</w:t>
        </w:r>
        <w:r w:rsidR="00311F06">
          <w:rPr>
            <w:noProof/>
            <w:webHidden/>
          </w:rPr>
          <w:fldChar w:fldCharType="end"/>
        </w:r>
      </w:hyperlink>
    </w:p>
    <w:p w14:paraId="4AB9276F" w14:textId="4CD97D3E" w:rsidR="00311F06" w:rsidRDefault="00C723CB">
      <w:pPr>
        <w:pStyle w:val="TableofFigures"/>
        <w:rPr>
          <w:rFonts w:asciiTheme="minorHAnsi" w:eastAsiaTheme="minorEastAsia" w:hAnsiTheme="minorHAnsi" w:cstheme="minorBidi"/>
          <w:noProof/>
        </w:rPr>
      </w:pPr>
      <w:hyperlink w:anchor="_Toc41684695" w:history="1">
        <w:r w:rsidR="00311F06" w:rsidRPr="00CB21FE">
          <w:rPr>
            <w:rStyle w:val="Hyperlink"/>
            <w:noProof/>
          </w:rPr>
          <w:t>Figure 4</w:t>
        </w:r>
        <w:r w:rsidR="00311F06" w:rsidRPr="00CB21FE">
          <w:rPr>
            <w:rStyle w:val="Hyperlink"/>
            <w:noProof/>
          </w:rPr>
          <w:noBreakHyphen/>
          <w:t>18: Risk-Based Prioritization of Assets</w:t>
        </w:r>
        <w:r w:rsidR="00311F06">
          <w:rPr>
            <w:noProof/>
            <w:webHidden/>
          </w:rPr>
          <w:tab/>
        </w:r>
        <w:r w:rsidR="00311F06">
          <w:rPr>
            <w:noProof/>
            <w:webHidden/>
          </w:rPr>
          <w:fldChar w:fldCharType="begin"/>
        </w:r>
        <w:r w:rsidR="00311F06">
          <w:rPr>
            <w:noProof/>
            <w:webHidden/>
          </w:rPr>
          <w:instrText xml:space="preserve"> PAGEREF _Toc41684695 \h </w:instrText>
        </w:r>
        <w:r w:rsidR="00311F06">
          <w:rPr>
            <w:noProof/>
            <w:webHidden/>
          </w:rPr>
        </w:r>
        <w:r w:rsidR="00311F06">
          <w:rPr>
            <w:noProof/>
            <w:webHidden/>
          </w:rPr>
          <w:fldChar w:fldCharType="separate"/>
        </w:r>
        <w:r w:rsidR="00AA68F8">
          <w:rPr>
            <w:noProof/>
            <w:webHidden/>
          </w:rPr>
          <w:t>4-18</w:t>
        </w:r>
        <w:r w:rsidR="00311F06">
          <w:rPr>
            <w:noProof/>
            <w:webHidden/>
          </w:rPr>
          <w:fldChar w:fldCharType="end"/>
        </w:r>
      </w:hyperlink>
    </w:p>
    <w:p w14:paraId="3C2AA9A3" w14:textId="6994F768" w:rsidR="00311F06" w:rsidRDefault="00C723CB">
      <w:pPr>
        <w:pStyle w:val="TableofFigures"/>
        <w:rPr>
          <w:rFonts w:asciiTheme="minorHAnsi" w:eastAsiaTheme="minorEastAsia" w:hAnsiTheme="minorHAnsi" w:cstheme="minorBidi"/>
          <w:noProof/>
        </w:rPr>
      </w:pPr>
      <w:hyperlink w:anchor="_Toc41684696" w:history="1">
        <w:r w:rsidR="00311F06" w:rsidRPr="00CB21FE">
          <w:rPr>
            <w:rStyle w:val="Hyperlink"/>
            <w:noProof/>
          </w:rPr>
          <w:t>Figure 5</w:t>
        </w:r>
        <w:r w:rsidR="00311F06" w:rsidRPr="00CB21FE">
          <w:rPr>
            <w:rStyle w:val="Hyperlink"/>
            <w:noProof/>
          </w:rPr>
          <w:noBreakHyphen/>
          <w:t>1: Planning Assumption Setting</w:t>
        </w:r>
        <w:r w:rsidR="00311F06">
          <w:rPr>
            <w:noProof/>
            <w:webHidden/>
          </w:rPr>
          <w:tab/>
        </w:r>
        <w:r w:rsidR="00311F06">
          <w:rPr>
            <w:noProof/>
            <w:webHidden/>
          </w:rPr>
          <w:fldChar w:fldCharType="begin"/>
        </w:r>
        <w:r w:rsidR="00311F06">
          <w:rPr>
            <w:noProof/>
            <w:webHidden/>
          </w:rPr>
          <w:instrText xml:space="preserve"> PAGEREF _Toc41684696 \h </w:instrText>
        </w:r>
        <w:r w:rsidR="00311F06">
          <w:rPr>
            <w:noProof/>
            <w:webHidden/>
          </w:rPr>
        </w:r>
        <w:r w:rsidR="00311F06">
          <w:rPr>
            <w:noProof/>
            <w:webHidden/>
          </w:rPr>
          <w:fldChar w:fldCharType="separate"/>
        </w:r>
        <w:r w:rsidR="00AA68F8">
          <w:rPr>
            <w:noProof/>
            <w:webHidden/>
          </w:rPr>
          <w:t>5-1</w:t>
        </w:r>
        <w:r w:rsidR="00311F06">
          <w:rPr>
            <w:noProof/>
            <w:webHidden/>
          </w:rPr>
          <w:fldChar w:fldCharType="end"/>
        </w:r>
      </w:hyperlink>
    </w:p>
    <w:p w14:paraId="4BBAA3A9" w14:textId="5B4E8D5D" w:rsidR="00311F06" w:rsidRDefault="00C723CB">
      <w:pPr>
        <w:pStyle w:val="TableofFigures"/>
        <w:rPr>
          <w:rFonts w:asciiTheme="minorHAnsi" w:eastAsiaTheme="minorEastAsia" w:hAnsiTheme="minorHAnsi" w:cstheme="minorBidi"/>
          <w:noProof/>
        </w:rPr>
      </w:pPr>
      <w:hyperlink w:anchor="_Toc41684697" w:history="1">
        <w:r w:rsidR="00311F06" w:rsidRPr="00CB21FE">
          <w:rPr>
            <w:rStyle w:val="Hyperlink"/>
            <w:noProof/>
          </w:rPr>
          <w:t>Figure 5</w:t>
        </w:r>
        <w:r w:rsidR="00311F06" w:rsidRPr="00CB21FE">
          <w:rPr>
            <w:rStyle w:val="Hyperlink"/>
            <w:noProof/>
          </w:rPr>
          <w:noBreakHyphen/>
          <w:t>2: Projected Wastewater Flow</w:t>
        </w:r>
        <w:r w:rsidR="00311F06">
          <w:rPr>
            <w:noProof/>
            <w:webHidden/>
          </w:rPr>
          <w:tab/>
        </w:r>
        <w:r w:rsidR="00311F06">
          <w:rPr>
            <w:noProof/>
            <w:webHidden/>
          </w:rPr>
          <w:fldChar w:fldCharType="begin"/>
        </w:r>
        <w:r w:rsidR="00311F06">
          <w:rPr>
            <w:noProof/>
            <w:webHidden/>
          </w:rPr>
          <w:instrText xml:space="preserve"> PAGEREF _Toc41684697 \h </w:instrText>
        </w:r>
        <w:r w:rsidR="00311F06">
          <w:rPr>
            <w:noProof/>
            <w:webHidden/>
          </w:rPr>
        </w:r>
        <w:r w:rsidR="00311F06">
          <w:rPr>
            <w:noProof/>
            <w:webHidden/>
          </w:rPr>
          <w:fldChar w:fldCharType="separate"/>
        </w:r>
        <w:r w:rsidR="00AA68F8">
          <w:rPr>
            <w:noProof/>
            <w:webHidden/>
          </w:rPr>
          <w:t>5-2</w:t>
        </w:r>
        <w:r w:rsidR="00311F06">
          <w:rPr>
            <w:noProof/>
            <w:webHidden/>
          </w:rPr>
          <w:fldChar w:fldCharType="end"/>
        </w:r>
      </w:hyperlink>
    </w:p>
    <w:p w14:paraId="5225753E" w14:textId="53D3F3BF" w:rsidR="00311F06" w:rsidRDefault="00C723CB">
      <w:pPr>
        <w:pStyle w:val="TableofFigures"/>
        <w:rPr>
          <w:rFonts w:asciiTheme="minorHAnsi" w:eastAsiaTheme="minorEastAsia" w:hAnsiTheme="minorHAnsi" w:cstheme="minorBidi"/>
          <w:noProof/>
        </w:rPr>
      </w:pPr>
      <w:hyperlink w:anchor="_Toc41684698" w:history="1">
        <w:r w:rsidR="00311F06" w:rsidRPr="00CB21FE">
          <w:rPr>
            <w:rStyle w:val="Hyperlink"/>
            <w:noProof/>
          </w:rPr>
          <w:t>Figure 5</w:t>
        </w:r>
        <w:r w:rsidR="00311F06" w:rsidRPr="00CB21FE">
          <w:rPr>
            <w:rStyle w:val="Hyperlink"/>
            <w:noProof/>
          </w:rPr>
          <w:noBreakHyphen/>
          <w:t>3: Proposed Clean Water Factory Tertiary Treatment Facility</w:t>
        </w:r>
        <w:r w:rsidR="00311F06">
          <w:rPr>
            <w:noProof/>
            <w:webHidden/>
          </w:rPr>
          <w:tab/>
        </w:r>
        <w:r w:rsidR="00311F06">
          <w:rPr>
            <w:noProof/>
            <w:webHidden/>
          </w:rPr>
          <w:fldChar w:fldCharType="begin"/>
        </w:r>
        <w:r w:rsidR="00311F06">
          <w:rPr>
            <w:noProof/>
            <w:webHidden/>
          </w:rPr>
          <w:instrText xml:space="preserve"> PAGEREF _Toc41684698 \h </w:instrText>
        </w:r>
        <w:r w:rsidR="00311F06">
          <w:rPr>
            <w:noProof/>
            <w:webHidden/>
          </w:rPr>
        </w:r>
        <w:r w:rsidR="00311F06">
          <w:rPr>
            <w:noProof/>
            <w:webHidden/>
          </w:rPr>
          <w:fldChar w:fldCharType="separate"/>
        </w:r>
        <w:r w:rsidR="00AA68F8">
          <w:rPr>
            <w:noProof/>
            <w:webHidden/>
          </w:rPr>
          <w:t>5-4</w:t>
        </w:r>
        <w:r w:rsidR="00311F06">
          <w:rPr>
            <w:noProof/>
            <w:webHidden/>
          </w:rPr>
          <w:fldChar w:fldCharType="end"/>
        </w:r>
      </w:hyperlink>
    </w:p>
    <w:p w14:paraId="020FA61E" w14:textId="3C546711" w:rsidR="00311F06" w:rsidRDefault="00C723CB">
      <w:pPr>
        <w:pStyle w:val="TableofFigures"/>
        <w:rPr>
          <w:rFonts w:asciiTheme="minorHAnsi" w:eastAsiaTheme="minorEastAsia" w:hAnsiTheme="minorHAnsi" w:cstheme="minorBidi"/>
          <w:noProof/>
        </w:rPr>
      </w:pPr>
      <w:hyperlink w:anchor="_Toc41684699" w:history="1">
        <w:r w:rsidR="00311F06" w:rsidRPr="00CB21FE">
          <w:rPr>
            <w:rStyle w:val="Hyperlink"/>
            <w:noProof/>
          </w:rPr>
          <w:t>Figure 5</w:t>
        </w:r>
        <w:r w:rsidR="00311F06" w:rsidRPr="00CB21FE">
          <w:rPr>
            <w:rStyle w:val="Hyperlink"/>
            <w:noProof/>
          </w:rPr>
          <w:noBreakHyphen/>
          <w:t>4: RIX Flows and Discharge Obligations to the Santa Ana River: August 2018 – July 2019</w:t>
        </w:r>
        <w:r w:rsidR="00311F06">
          <w:rPr>
            <w:noProof/>
            <w:webHidden/>
          </w:rPr>
          <w:tab/>
        </w:r>
        <w:r w:rsidR="00311F06">
          <w:rPr>
            <w:noProof/>
            <w:webHidden/>
          </w:rPr>
          <w:fldChar w:fldCharType="begin"/>
        </w:r>
        <w:r w:rsidR="00311F06">
          <w:rPr>
            <w:noProof/>
            <w:webHidden/>
          </w:rPr>
          <w:instrText xml:space="preserve"> PAGEREF _Toc41684699 \h </w:instrText>
        </w:r>
        <w:r w:rsidR="00311F06">
          <w:rPr>
            <w:noProof/>
            <w:webHidden/>
          </w:rPr>
        </w:r>
        <w:r w:rsidR="00311F06">
          <w:rPr>
            <w:noProof/>
            <w:webHidden/>
          </w:rPr>
          <w:fldChar w:fldCharType="separate"/>
        </w:r>
        <w:r w:rsidR="00AA68F8">
          <w:rPr>
            <w:noProof/>
            <w:webHidden/>
          </w:rPr>
          <w:t>5-7</w:t>
        </w:r>
        <w:r w:rsidR="00311F06">
          <w:rPr>
            <w:noProof/>
            <w:webHidden/>
          </w:rPr>
          <w:fldChar w:fldCharType="end"/>
        </w:r>
      </w:hyperlink>
    </w:p>
    <w:p w14:paraId="2D64712A" w14:textId="40195820" w:rsidR="00311F06" w:rsidRDefault="00C723CB">
      <w:pPr>
        <w:pStyle w:val="TableofFigures"/>
        <w:rPr>
          <w:rFonts w:asciiTheme="minorHAnsi" w:eastAsiaTheme="minorEastAsia" w:hAnsiTheme="minorHAnsi" w:cstheme="minorBidi"/>
          <w:noProof/>
        </w:rPr>
      </w:pPr>
      <w:hyperlink w:anchor="_Toc41684700" w:history="1">
        <w:r w:rsidR="00311F06" w:rsidRPr="00CB21FE">
          <w:rPr>
            <w:rStyle w:val="Hyperlink"/>
            <w:noProof/>
          </w:rPr>
          <w:t>Figure 5</w:t>
        </w:r>
        <w:r w:rsidR="00311F06" w:rsidRPr="00CB21FE">
          <w:rPr>
            <w:rStyle w:val="Hyperlink"/>
            <w:noProof/>
          </w:rPr>
          <w:noBreakHyphen/>
          <w:t>5: RIX Flows to the Santa Ana River: 2040 with Projected Flows from SBWRP and Colton</w:t>
        </w:r>
        <w:r w:rsidR="00311F06">
          <w:rPr>
            <w:noProof/>
            <w:webHidden/>
          </w:rPr>
          <w:tab/>
        </w:r>
        <w:r w:rsidR="00311F06">
          <w:rPr>
            <w:noProof/>
            <w:webHidden/>
          </w:rPr>
          <w:fldChar w:fldCharType="begin"/>
        </w:r>
        <w:r w:rsidR="00311F06">
          <w:rPr>
            <w:noProof/>
            <w:webHidden/>
          </w:rPr>
          <w:instrText xml:space="preserve"> PAGEREF _Toc41684700 \h </w:instrText>
        </w:r>
        <w:r w:rsidR="00311F06">
          <w:rPr>
            <w:noProof/>
            <w:webHidden/>
          </w:rPr>
        </w:r>
        <w:r w:rsidR="00311F06">
          <w:rPr>
            <w:noProof/>
            <w:webHidden/>
          </w:rPr>
          <w:fldChar w:fldCharType="separate"/>
        </w:r>
        <w:r w:rsidR="00AA68F8">
          <w:rPr>
            <w:noProof/>
            <w:webHidden/>
          </w:rPr>
          <w:t>5-8</w:t>
        </w:r>
        <w:r w:rsidR="00311F06">
          <w:rPr>
            <w:noProof/>
            <w:webHidden/>
          </w:rPr>
          <w:fldChar w:fldCharType="end"/>
        </w:r>
      </w:hyperlink>
    </w:p>
    <w:p w14:paraId="01562ECE" w14:textId="40D270AE" w:rsidR="00311F06" w:rsidRDefault="00C723CB">
      <w:pPr>
        <w:pStyle w:val="TableofFigures"/>
        <w:rPr>
          <w:rFonts w:asciiTheme="minorHAnsi" w:eastAsiaTheme="minorEastAsia" w:hAnsiTheme="minorHAnsi" w:cstheme="minorBidi"/>
          <w:noProof/>
        </w:rPr>
      </w:pPr>
      <w:hyperlink w:anchor="_Toc41684701" w:history="1">
        <w:r w:rsidR="00311F06" w:rsidRPr="00CB21FE">
          <w:rPr>
            <w:rStyle w:val="Hyperlink"/>
            <w:noProof/>
          </w:rPr>
          <w:t>Figure 5</w:t>
        </w:r>
        <w:r w:rsidR="00311F06" w:rsidRPr="00CB21FE">
          <w:rPr>
            <w:rStyle w:val="Hyperlink"/>
            <w:noProof/>
          </w:rPr>
          <w:noBreakHyphen/>
          <w:t>6: Site Drainage Areas</w:t>
        </w:r>
        <w:r w:rsidR="00311F06">
          <w:rPr>
            <w:noProof/>
            <w:webHidden/>
          </w:rPr>
          <w:tab/>
        </w:r>
        <w:r w:rsidR="00311F06">
          <w:rPr>
            <w:noProof/>
            <w:webHidden/>
          </w:rPr>
          <w:fldChar w:fldCharType="begin"/>
        </w:r>
        <w:r w:rsidR="00311F06">
          <w:rPr>
            <w:noProof/>
            <w:webHidden/>
          </w:rPr>
          <w:instrText xml:space="preserve"> PAGEREF _Toc41684701 \h </w:instrText>
        </w:r>
        <w:r w:rsidR="00311F06">
          <w:rPr>
            <w:noProof/>
            <w:webHidden/>
          </w:rPr>
        </w:r>
        <w:r w:rsidR="00311F06">
          <w:rPr>
            <w:noProof/>
            <w:webHidden/>
          </w:rPr>
          <w:fldChar w:fldCharType="separate"/>
        </w:r>
        <w:r w:rsidR="00AA68F8">
          <w:rPr>
            <w:noProof/>
            <w:webHidden/>
          </w:rPr>
          <w:t>5-9</w:t>
        </w:r>
        <w:r w:rsidR="00311F06">
          <w:rPr>
            <w:noProof/>
            <w:webHidden/>
          </w:rPr>
          <w:fldChar w:fldCharType="end"/>
        </w:r>
      </w:hyperlink>
    </w:p>
    <w:p w14:paraId="624E5772" w14:textId="0F2E65B6" w:rsidR="00311F06" w:rsidRDefault="00C723CB">
      <w:pPr>
        <w:pStyle w:val="TableofFigures"/>
        <w:rPr>
          <w:rFonts w:asciiTheme="minorHAnsi" w:eastAsiaTheme="minorEastAsia" w:hAnsiTheme="minorHAnsi" w:cstheme="minorBidi"/>
          <w:noProof/>
        </w:rPr>
      </w:pPr>
      <w:hyperlink w:anchor="_Toc41684702" w:history="1">
        <w:r w:rsidR="00311F06" w:rsidRPr="00CB21FE">
          <w:rPr>
            <w:rStyle w:val="Hyperlink"/>
            <w:noProof/>
          </w:rPr>
          <w:t>Figure 5</w:t>
        </w:r>
        <w:r w:rsidR="00311F06" w:rsidRPr="00CB21FE">
          <w:rPr>
            <w:rStyle w:val="Hyperlink"/>
            <w:noProof/>
          </w:rPr>
          <w:noBreakHyphen/>
          <w:t>7: Water Data Library Wells at SBWRP</w:t>
        </w:r>
        <w:r w:rsidR="00311F06">
          <w:rPr>
            <w:noProof/>
            <w:webHidden/>
          </w:rPr>
          <w:tab/>
        </w:r>
        <w:r w:rsidR="00311F06">
          <w:rPr>
            <w:noProof/>
            <w:webHidden/>
          </w:rPr>
          <w:fldChar w:fldCharType="begin"/>
        </w:r>
        <w:r w:rsidR="00311F06">
          <w:rPr>
            <w:noProof/>
            <w:webHidden/>
          </w:rPr>
          <w:instrText xml:space="preserve"> PAGEREF _Toc41684702 \h </w:instrText>
        </w:r>
        <w:r w:rsidR="00311F06">
          <w:rPr>
            <w:noProof/>
            <w:webHidden/>
          </w:rPr>
        </w:r>
        <w:r w:rsidR="00311F06">
          <w:rPr>
            <w:noProof/>
            <w:webHidden/>
          </w:rPr>
          <w:fldChar w:fldCharType="separate"/>
        </w:r>
        <w:r w:rsidR="00AA68F8">
          <w:rPr>
            <w:noProof/>
            <w:webHidden/>
          </w:rPr>
          <w:t>5-12</w:t>
        </w:r>
        <w:r w:rsidR="00311F06">
          <w:rPr>
            <w:noProof/>
            <w:webHidden/>
          </w:rPr>
          <w:fldChar w:fldCharType="end"/>
        </w:r>
      </w:hyperlink>
    </w:p>
    <w:p w14:paraId="727D9C9C" w14:textId="6FAB8EBB" w:rsidR="00311F06" w:rsidRDefault="00C723CB">
      <w:pPr>
        <w:pStyle w:val="TableofFigures"/>
        <w:rPr>
          <w:rFonts w:asciiTheme="minorHAnsi" w:eastAsiaTheme="minorEastAsia" w:hAnsiTheme="minorHAnsi" w:cstheme="minorBidi"/>
          <w:noProof/>
        </w:rPr>
      </w:pPr>
      <w:hyperlink w:anchor="_Toc41684703" w:history="1">
        <w:r w:rsidR="00311F06" w:rsidRPr="00CB21FE">
          <w:rPr>
            <w:rStyle w:val="Hyperlink"/>
            <w:noProof/>
          </w:rPr>
          <w:t>Figure 5</w:t>
        </w:r>
        <w:r w:rsidR="00311F06" w:rsidRPr="00CB21FE">
          <w:rPr>
            <w:rStyle w:val="Hyperlink"/>
            <w:noProof/>
          </w:rPr>
          <w:noBreakHyphen/>
          <w:t>8: Water Data Library Wells at SBWRP</w:t>
        </w:r>
        <w:r w:rsidR="00311F06">
          <w:rPr>
            <w:noProof/>
            <w:webHidden/>
          </w:rPr>
          <w:tab/>
        </w:r>
        <w:r w:rsidR="00311F06">
          <w:rPr>
            <w:noProof/>
            <w:webHidden/>
          </w:rPr>
          <w:fldChar w:fldCharType="begin"/>
        </w:r>
        <w:r w:rsidR="00311F06">
          <w:rPr>
            <w:noProof/>
            <w:webHidden/>
          </w:rPr>
          <w:instrText xml:space="preserve"> PAGEREF _Toc41684703 \h </w:instrText>
        </w:r>
        <w:r w:rsidR="00311F06">
          <w:rPr>
            <w:noProof/>
            <w:webHidden/>
          </w:rPr>
        </w:r>
        <w:r w:rsidR="00311F06">
          <w:rPr>
            <w:noProof/>
            <w:webHidden/>
          </w:rPr>
          <w:fldChar w:fldCharType="separate"/>
        </w:r>
        <w:r w:rsidR="00AA68F8">
          <w:rPr>
            <w:noProof/>
            <w:webHidden/>
          </w:rPr>
          <w:t>5-12</w:t>
        </w:r>
        <w:r w:rsidR="00311F06">
          <w:rPr>
            <w:noProof/>
            <w:webHidden/>
          </w:rPr>
          <w:fldChar w:fldCharType="end"/>
        </w:r>
      </w:hyperlink>
    </w:p>
    <w:p w14:paraId="57EDFD10" w14:textId="56C4DAA1" w:rsidR="00311F06" w:rsidRDefault="00C723CB">
      <w:pPr>
        <w:pStyle w:val="TableofFigures"/>
        <w:rPr>
          <w:rFonts w:asciiTheme="minorHAnsi" w:eastAsiaTheme="minorEastAsia" w:hAnsiTheme="minorHAnsi" w:cstheme="minorBidi"/>
          <w:noProof/>
        </w:rPr>
      </w:pPr>
      <w:hyperlink w:anchor="_Toc41684704" w:history="1">
        <w:r w:rsidR="00311F06" w:rsidRPr="00CB21FE">
          <w:rPr>
            <w:rStyle w:val="Hyperlink"/>
            <w:noProof/>
          </w:rPr>
          <w:t>Figure 6</w:t>
        </w:r>
        <w:r w:rsidR="00311F06" w:rsidRPr="00CB21FE">
          <w:rPr>
            <w:rStyle w:val="Hyperlink"/>
            <w:noProof/>
          </w:rPr>
          <w:noBreakHyphen/>
          <w:t>1: SBWRP Population Projections</w:t>
        </w:r>
        <w:r w:rsidR="00311F06">
          <w:rPr>
            <w:noProof/>
            <w:webHidden/>
          </w:rPr>
          <w:tab/>
        </w:r>
        <w:r w:rsidR="00311F06">
          <w:rPr>
            <w:noProof/>
            <w:webHidden/>
          </w:rPr>
          <w:fldChar w:fldCharType="begin"/>
        </w:r>
        <w:r w:rsidR="00311F06">
          <w:rPr>
            <w:noProof/>
            <w:webHidden/>
          </w:rPr>
          <w:instrText xml:space="preserve"> PAGEREF _Toc41684704 \h </w:instrText>
        </w:r>
        <w:r w:rsidR="00311F06">
          <w:rPr>
            <w:noProof/>
            <w:webHidden/>
          </w:rPr>
        </w:r>
        <w:r w:rsidR="00311F06">
          <w:rPr>
            <w:noProof/>
            <w:webHidden/>
          </w:rPr>
          <w:fldChar w:fldCharType="separate"/>
        </w:r>
        <w:r w:rsidR="00AA68F8">
          <w:rPr>
            <w:noProof/>
            <w:webHidden/>
          </w:rPr>
          <w:t>6-2</w:t>
        </w:r>
        <w:r w:rsidR="00311F06">
          <w:rPr>
            <w:noProof/>
            <w:webHidden/>
          </w:rPr>
          <w:fldChar w:fldCharType="end"/>
        </w:r>
      </w:hyperlink>
    </w:p>
    <w:p w14:paraId="60123A55" w14:textId="148F115E" w:rsidR="00311F06" w:rsidRDefault="00C723CB">
      <w:pPr>
        <w:pStyle w:val="TableofFigures"/>
        <w:rPr>
          <w:rFonts w:asciiTheme="minorHAnsi" w:eastAsiaTheme="minorEastAsia" w:hAnsiTheme="minorHAnsi" w:cstheme="minorBidi"/>
          <w:noProof/>
        </w:rPr>
      </w:pPr>
      <w:hyperlink w:anchor="_Toc41684705" w:history="1">
        <w:r w:rsidR="00311F06" w:rsidRPr="00CB21FE">
          <w:rPr>
            <w:rStyle w:val="Hyperlink"/>
            <w:noProof/>
          </w:rPr>
          <w:t>Figure 6</w:t>
        </w:r>
        <w:r w:rsidR="00311F06" w:rsidRPr="00CB21FE">
          <w:rPr>
            <w:rStyle w:val="Hyperlink"/>
            <w:noProof/>
          </w:rPr>
          <w:noBreakHyphen/>
          <w:t>2: SBWRP Historic Flow</w:t>
        </w:r>
        <w:r w:rsidR="00311F06">
          <w:rPr>
            <w:noProof/>
            <w:webHidden/>
          </w:rPr>
          <w:tab/>
        </w:r>
        <w:r w:rsidR="00311F06">
          <w:rPr>
            <w:noProof/>
            <w:webHidden/>
          </w:rPr>
          <w:fldChar w:fldCharType="begin"/>
        </w:r>
        <w:r w:rsidR="00311F06">
          <w:rPr>
            <w:noProof/>
            <w:webHidden/>
          </w:rPr>
          <w:instrText xml:space="preserve"> PAGEREF _Toc41684705 \h </w:instrText>
        </w:r>
        <w:r w:rsidR="00311F06">
          <w:rPr>
            <w:noProof/>
            <w:webHidden/>
          </w:rPr>
        </w:r>
        <w:r w:rsidR="00311F06">
          <w:rPr>
            <w:noProof/>
            <w:webHidden/>
          </w:rPr>
          <w:fldChar w:fldCharType="separate"/>
        </w:r>
        <w:r w:rsidR="00AA68F8">
          <w:rPr>
            <w:noProof/>
            <w:webHidden/>
          </w:rPr>
          <w:t>6-3</w:t>
        </w:r>
        <w:r w:rsidR="00311F06">
          <w:rPr>
            <w:noProof/>
            <w:webHidden/>
          </w:rPr>
          <w:fldChar w:fldCharType="end"/>
        </w:r>
      </w:hyperlink>
    </w:p>
    <w:p w14:paraId="3654C1D2" w14:textId="5F46D8ED" w:rsidR="00311F06" w:rsidRDefault="00C723CB">
      <w:pPr>
        <w:pStyle w:val="TableofFigures"/>
        <w:rPr>
          <w:rFonts w:asciiTheme="minorHAnsi" w:eastAsiaTheme="minorEastAsia" w:hAnsiTheme="minorHAnsi" w:cstheme="minorBidi"/>
          <w:noProof/>
        </w:rPr>
      </w:pPr>
      <w:hyperlink w:anchor="_Toc41684706" w:history="1">
        <w:r w:rsidR="00311F06" w:rsidRPr="00CB21FE">
          <w:rPr>
            <w:rStyle w:val="Hyperlink"/>
            <w:noProof/>
          </w:rPr>
          <w:t>Figure 6</w:t>
        </w:r>
        <w:r w:rsidR="00311F06" w:rsidRPr="00CB21FE">
          <w:rPr>
            <w:rStyle w:val="Hyperlink"/>
            <w:noProof/>
          </w:rPr>
          <w:noBreakHyphen/>
          <w:t>3: SBWRP Influent BOD Concentration</w:t>
        </w:r>
        <w:r w:rsidR="00311F06">
          <w:rPr>
            <w:noProof/>
            <w:webHidden/>
          </w:rPr>
          <w:tab/>
        </w:r>
        <w:r w:rsidR="00311F06">
          <w:rPr>
            <w:noProof/>
            <w:webHidden/>
          </w:rPr>
          <w:fldChar w:fldCharType="begin"/>
        </w:r>
        <w:r w:rsidR="00311F06">
          <w:rPr>
            <w:noProof/>
            <w:webHidden/>
          </w:rPr>
          <w:instrText xml:space="preserve"> PAGEREF _Toc41684706 \h </w:instrText>
        </w:r>
        <w:r w:rsidR="00311F06">
          <w:rPr>
            <w:noProof/>
            <w:webHidden/>
          </w:rPr>
        </w:r>
        <w:r w:rsidR="00311F06">
          <w:rPr>
            <w:noProof/>
            <w:webHidden/>
          </w:rPr>
          <w:fldChar w:fldCharType="separate"/>
        </w:r>
        <w:r w:rsidR="00AA68F8">
          <w:rPr>
            <w:noProof/>
            <w:webHidden/>
          </w:rPr>
          <w:t>6-5</w:t>
        </w:r>
        <w:r w:rsidR="00311F06">
          <w:rPr>
            <w:noProof/>
            <w:webHidden/>
          </w:rPr>
          <w:fldChar w:fldCharType="end"/>
        </w:r>
      </w:hyperlink>
    </w:p>
    <w:p w14:paraId="6C9C6130" w14:textId="70DB6500" w:rsidR="00311F06" w:rsidRDefault="00C723CB">
      <w:pPr>
        <w:pStyle w:val="TableofFigures"/>
        <w:rPr>
          <w:rFonts w:asciiTheme="minorHAnsi" w:eastAsiaTheme="minorEastAsia" w:hAnsiTheme="minorHAnsi" w:cstheme="minorBidi"/>
          <w:noProof/>
        </w:rPr>
      </w:pPr>
      <w:hyperlink w:anchor="_Toc41684707" w:history="1">
        <w:r w:rsidR="00311F06" w:rsidRPr="00CB21FE">
          <w:rPr>
            <w:rStyle w:val="Hyperlink"/>
            <w:noProof/>
          </w:rPr>
          <w:t>Figure 6</w:t>
        </w:r>
        <w:r w:rsidR="00311F06" w:rsidRPr="00CB21FE">
          <w:rPr>
            <w:rStyle w:val="Hyperlink"/>
            <w:noProof/>
          </w:rPr>
          <w:noBreakHyphen/>
          <w:t>4: SBWRP Influent TSS Concentration</w:t>
        </w:r>
        <w:r w:rsidR="00311F06">
          <w:rPr>
            <w:noProof/>
            <w:webHidden/>
          </w:rPr>
          <w:tab/>
        </w:r>
        <w:r w:rsidR="00311F06">
          <w:rPr>
            <w:noProof/>
            <w:webHidden/>
          </w:rPr>
          <w:fldChar w:fldCharType="begin"/>
        </w:r>
        <w:r w:rsidR="00311F06">
          <w:rPr>
            <w:noProof/>
            <w:webHidden/>
          </w:rPr>
          <w:instrText xml:space="preserve"> PAGEREF _Toc41684707 \h </w:instrText>
        </w:r>
        <w:r w:rsidR="00311F06">
          <w:rPr>
            <w:noProof/>
            <w:webHidden/>
          </w:rPr>
        </w:r>
        <w:r w:rsidR="00311F06">
          <w:rPr>
            <w:noProof/>
            <w:webHidden/>
          </w:rPr>
          <w:fldChar w:fldCharType="separate"/>
        </w:r>
        <w:r w:rsidR="00AA68F8">
          <w:rPr>
            <w:noProof/>
            <w:webHidden/>
          </w:rPr>
          <w:t>6-6</w:t>
        </w:r>
        <w:r w:rsidR="00311F06">
          <w:rPr>
            <w:noProof/>
            <w:webHidden/>
          </w:rPr>
          <w:fldChar w:fldCharType="end"/>
        </w:r>
      </w:hyperlink>
    </w:p>
    <w:p w14:paraId="46496EB7" w14:textId="4A06333A" w:rsidR="00311F06" w:rsidRDefault="00C723CB">
      <w:pPr>
        <w:pStyle w:val="TableofFigures"/>
        <w:rPr>
          <w:rFonts w:asciiTheme="minorHAnsi" w:eastAsiaTheme="minorEastAsia" w:hAnsiTheme="minorHAnsi" w:cstheme="minorBidi"/>
          <w:noProof/>
        </w:rPr>
      </w:pPr>
      <w:hyperlink w:anchor="_Toc41684708" w:history="1">
        <w:r w:rsidR="00311F06" w:rsidRPr="00CB21FE">
          <w:rPr>
            <w:rStyle w:val="Hyperlink"/>
            <w:noProof/>
          </w:rPr>
          <w:t>Figure 6</w:t>
        </w:r>
        <w:r w:rsidR="00311F06" w:rsidRPr="00CB21FE">
          <w:rPr>
            <w:rStyle w:val="Hyperlink"/>
            <w:noProof/>
          </w:rPr>
          <w:noBreakHyphen/>
          <w:t>5: SBWRP Influent Ammonia Concentration</w:t>
        </w:r>
        <w:r w:rsidR="00311F06">
          <w:rPr>
            <w:noProof/>
            <w:webHidden/>
          </w:rPr>
          <w:tab/>
        </w:r>
        <w:r w:rsidR="00311F06">
          <w:rPr>
            <w:noProof/>
            <w:webHidden/>
          </w:rPr>
          <w:fldChar w:fldCharType="begin"/>
        </w:r>
        <w:r w:rsidR="00311F06">
          <w:rPr>
            <w:noProof/>
            <w:webHidden/>
          </w:rPr>
          <w:instrText xml:space="preserve"> PAGEREF _Toc41684708 \h </w:instrText>
        </w:r>
        <w:r w:rsidR="00311F06">
          <w:rPr>
            <w:noProof/>
            <w:webHidden/>
          </w:rPr>
        </w:r>
        <w:r w:rsidR="00311F06">
          <w:rPr>
            <w:noProof/>
            <w:webHidden/>
          </w:rPr>
          <w:fldChar w:fldCharType="separate"/>
        </w:r>
        <w:r w:rsidR="00AA68F8">
          <w:rPr>
            <w:noProof/>
            <w:webHidden/>
          </w:rPr>
          <w:t>6-7</w:t>
        </w:r>
        <w:r w:rsidR="00311F06">
          <w:rPr>
            <w:noProof/>
            <w:webHidden/>
          </w:rPr>
          <w:fldChar w:fldCharType="end"/>
        </w:r>
      </w:hyperlink>
    </w:p>
    <w:p w14:paraId="0A293B20" w14:textId="630F944F" w:rsidR="00311F06" w:rsidRDefault="00C723CB">
      <w:pPr>
        <w:pStyle w:val="TableofFigures"/>
        <w:rPr>
          <w:rFonts w:asciiTheme="minorHAnsi" w:eastAsiaTheme="minorEastAsia" w:hAnsiTheme="minorHAnsi" w:cstheme="minorBidi"/>
          <w:noProof/>
        </w:rPr>
      </w:pPr>
      <w:hyperlink w:anchor="_Toc41684709" w:history="1">
        <w:r w:rsidR="00311F06" w:rsidRPr="00CB21FE">
          <w:rPr>
            <w:rStyle w:val="Hyperlink"/>
            <w:noProof/>
          </w:rPr>
          <w:t>Figure 7</w:t>
        </w:r>
        <w:r w:rsidR="00311F06" w:rsidRPr="00CB21FE">
          <w:rPr>
            <w:rStyle w:val="Hyperlink"/>
            <w:noProof/>
          </w:rPr>
          <w:noBreakHyphen/>
          <w:t>1: Inland Empire Brine Line Collection Stations</w:t>
        </w:r>
        <w:r w:rsidR="00311F06">
          <w:rPr>
            <w:noProof/>
            <w:webHidden/>
          </w:rPr>
          <w:tab/>
        </w:r>
        <w:r w:rsidR="00311F06">
          <w:rPr>
            <w:noProof/>
            <w:webHidden/>
          </w:rPr>
          <w:fldChar w:fldCharType="begin"/>
        </w:r>
        <w:r w:rsidR="00311F06">
          <w:rPr>
            <w:noProof/>
            <w:webHidden/>
          </w:rPr>
          <w:instrText xml:space="preserve"> PAGEREF _Toc41684709 \h </w:instrText>
        </w:r>
        <w:r w:rsidR="00311F06">
          <w:rPr>
            <w:noProof/>
            <w:webHidden/>
          </w:rPr>
        </w:r>
        <w:r w:rsidR="00311F06">
          <w:rPr>
            <w:noProof/>
            <w:webHidden/>
          </w:rPr>
          <w:fldChar w:fldCharType="separate"/>
        </w:r>
        <w:r w:rsidR="00AA68F8">
          <w:rPr>
            <w:noProof/>
            <w:webHidden/>
          </w:rPr>
          <w:t>7-4</w:t>
        </w:r>
        <w:r w:rsidR="00311F06">
          <w:rPr>
            <w:noProof/>
            <w:webHidden/>
          </w:rPr>
          <w:fldChar w:fldCharType="end"/>
        </w:r>
      </w:hyperlink>
    </w:p>
    <w:p w14:paraId="6ACDE987" w14:textId="516ADBC9" w:rsidR="00311F06" w:rsidRDefault="00C723CB">
      <w:pPr>
        <w:pStyle w:val="TableofFigures"/>
        <w:rPr>
          <w:rFonts w:asciiTheme="minorHAnsi" w:eastAsiaTheme="minorEastAsia" w:hAnsiTheme="minorHAnsi" w:cstheme="minorBidi"/>
          <w:noProof/>
        </w:rPr>
      </w:pPr>
      <w:hyperlink w:anchor="_Toc41684710" w:history="1">
        <w:r w:rsidR="00311F06" w:rsidRPr="00CB21FE">
          <w:rPr>
            <w:rStyle w:val="Hyperlink"/>
            <w:noProof/>
          </w:rPr>
          <w:t>Figure 7</w:t>
        </w:r>
        <w:r w:rsidR="00311F06" w:rsidRPr="00CB21FE">
          <w:rPr>
            <w:rStyle w:val="Hyperlink"/>
            <w:noProof/>
          </w:rPr>
          <w:noBreakHyphen/>
          <w:t>2: Sensitive Receptors</w:t>
        </w:r>
        <w:r w:rsidR="00311F06">
          <w:rPr>
            <w:noProof/>
            <w:webHidden/>
          </w:rPr>
          <w:tab/>
        </w:r>
        <w:r w:rsidR="00311F06">
          <w:rPr>
            <w:noProof/>
            <w:webHidden/>
          </w:rPr>
          <w:fldChar w:fldCharType="begin"/>
        </w:r>
        <w:r w:rsidR="00311F06">
          <w:rPr>
            <w:noProof/>
            <w:webHidden/>
          </w:rPr>
          <w:instrText xml:space="preserve"> PAGEREF _Toc41684710 \h </w:instrText>
        </w:r>
        <w:r w:rsidR="00311F06">
          <w:rPr>
            <w:noProof/>
            <w:webHidden/>
          </w:rPr>
        </w:r>
        <w:r w:rsidR="00311F06">
          <w:rPr>
            <w:noProof/>
            <w:webHidden/>
          </w:rPr>
          <w:fldChar w:fldCharType="separate"/>
        </w:r>
        <w:r w:rsidR="00AA68F8">
          <w:rPr>
            <w:noProof/>
            <w:webHidden/>
          </w:rPr>
          <w:t>7-14</w:t>
        </w:r>
        <w:r w:rsidR="00311F06">
          <w:rPr>
            <w:noProof/>
            <w:webHidden/>
          </w:rPr>
          <w:fldChar w:fldCharType="end"/>
        </w:r>
      </w:hyperlink>
    </w:p>
    <w:p w14:paraId="7884D501" w14:textId="1211BEDF" w:rsidR="00311F06" w:rsidRDefault="00C723CB">
      <w:pPr>
        <w:pStyle w:val="TableofFigures"/>
        <w:rPr>
          <w:rFonts w:asciiTheme="minorHAnsi" w:eastAsiaTheme="minorEastAsia" w:hAnsiTheme="minorHAnsi" w:cstheme="minorBidi"/>
          <w:noProof/>
        </w:rPr>
      </w:pPr>
      <w:hyperlink w:anchor="_Toc41684711" w:history="1">
        <w:r w:rsidR="00311F06" w:rsidRPr="00CB21FE">
          <w:rPr>
            <w:rStyle w:val="Hyperlink"/>
            <w:noProof/>
          </w:rPr>
          <w:t>Figure 8</w:t>
        </w:r>
        <w:r w:rsidR="00311F06" w:rsidRPr="00CB21FE">
          <w:rPr>
            <w:rStyle w:val="Hyperlink"/>
            <w:noProof/>
          </w:rPr>
          <w:noBreakHyphen/>
          <w:t>1: Digester Hydraulic Retention Time (30-day average)</w:t>
        </w:r>
        <w:r w:rsidR="00311F06">
          <w:rPr>
            <w:noProof/>
            <w:webHidden/>
          </w:rPr>
          <w:tab/>
        </w:r>
        <w:r w:rsidR="00311F06">
          <w:rPr>
            <w:noProof/>
            <w:webHidden/>
          </w:rPr>
          <w:fldChar w:fldCharType="begin"/>
        </w:r>
        <w:r w:rsidR="00311F06">
          <w:rPr>
            <w:noProof/>
            <w:webHidden/>
          </w:rPr>
          <w:instrText xml:space="preserve"> PAGEREF _Toc41684711 \h </w:instrText>
        </w:r>
        <w:r w:rsidR="00311F06">
          <w:rPr>
            <w:noProof/>
            <w:webHidden/>
          </w:rPr>
        </w:r>
        <w:r w:rsidR="00311F06">
          <w:rPr>
            <w:noProof/>
            <w:webHidden/>
          </w:rPr>
          <w:fldChar w:fldCharType="separate"/>
        </w:r>
        <w:r w:rsidR="00AA68F8">
          <w:rPr>
            <w:noProof/>
            <w:webHidden/>
          </w:rPr>
          <w:t>8-7</w:t>
        </w:r>
        <w:r w:rsidR="00311F06">
          <w:rPr>
            <w:noProof/>
            <w:webHidden/>
          </w:rPr>
          <w:fldChar w:fldCharType="end"/>
        </w:r>
      </w:hyperlink>
    </w:p>
    <w:p w14:paraId="1AEC7609" w14:textId="5E3264F6" w:rsidR="00311F06" w:rsidRDefault="00C723CB">
      <w:pPr>
        <w:pStyle w:val="TableofFigures"/>
        <w:rPr>
          <w:rFonts w:asciiTheme="minorHAnsi" w:eastAsiaTheme="minorEastAsia" w:hAnsiTheme="minorHAnsi" w:cstheme="minorBidi"/>
          <w:noProof/>
        </w:rPr>
      </w:pPr>
      <w:hyperlink w:anchor="_Toc41684712" w:history="1">
        <w:r w:rsidR="00311F06" w:rsidRPr="00CB21FE">
          <w:rPr>
            <w:rStyle w:val="Hyperlink"/>
            <w:noProof/>
          </w:rPr>
          <w:t>Figure 10</w:t>
        </w:r>
        <w:r w:rsidR="00311F06" w:rsidRPr="00CB21FE">
          <w:rPr>
            <w:rStyle w:val="Hyperlink"/>
            <w:noProof/>
          </w:rPr>
          <w:noBreakHyphen/>
          <w:t>1: Peak Wet Weather Flow Event (2/14/2019)</w:t>
        </w:r>
        <w:r w:rsidR="00311F06">
          <w:rPr>
            <w:noProof/>
            <w:webHidden/>
          </w:rPr>
          <w:tab/>
        </w:r>
        <w:r w:rsidR="00311F06">
          <w:rPr>
            <w:noProof/>
            <w:webHidden/>
          </w:rPr>
          <w:fldChar w:fldCharType="begin"/>
        </w:r>
        <w:r w:rsidR="00311F06">
          <w:rPr>
            <w:noProof/>
            <w:webHidden/>
          </w:rPr>
          <w:instrText xml:space="preserve"> PAGEREF _Toc41684712 \h </w:instrText>
        </w:r>
        <w:r w:rsidR="00311F06">
          <w:rPr>
            <w:noProof/>
            <w:webHidden/>
          </w:rPr>
        </w:r>
        <w:r w:rsidR="00311F06">
          <w:rPr>
            <w:noProof/>
            <w:webHidden/>
          </w:rPr>
          <w:fldChar w:fldCharType="separate"/>
        </w:r>
        <w:r w:rsidR="00AA68F8">
          <w:rPr>
            <w:noProof/>
            <w:webHidden/>
          </w:rPr>
          <w:t>10-5</w:t>
        </w:r>
        <w:r w:rsidR="00311F06">
          <w:rPr>
            <w:noProof/>
            <w:webHidden/>
          </w:rPr>
          <w:fldChar w:fldCharType="end"/>
        </w:r>
      </w:hyperlink>
    </w:p>
    <w:p w14:paraId="7C78F5AE" w14:textId="23E933F6" w:rsidR="00311F06" w:rsidRDefault="00C723CB">
      <w:pPr>
        <w:pStyle w:val="TableofFigures"/>
        <w:rPr>
          <w:rFonts w:asciiTheme="minorHAnsi" w:eastAsiaTheme="minorEastAsia" w:hAnsiTheme="minorHAnsi" w:cstheme="minorBidi"/>
          <w:noProof/>
        </w:rPr>
      </w:pPr>
      <w:hyperlink w:anchor="_Toc41684713" w:history="1">
        <w:r w:rsidR="00311F06" w:rsidRPr="00CB21FE">
          <w:rPr>
            <w:rStyle w:val="Hyperlink"/>
            <w:noProof/>
          </w:rPr>
          <w:t>Figure 10</w:t>
        </w:r>
        <w:r w:rsidR="00311F06" w:rsidRPr="00CB21FE">
          <w:rPr>
            <w:rStyle w:val="Hyperlink"/>
            <w:noProof/>
          </w:rPr>
          <w:noBreakHyphen/>
          <w:t>2: Unit 1, Unit 2N, Unit 2S and NRC Asset R&amp;R Costs</w:t>
        </w:r>
        <w:r w:rsidR="00311F06">
          <w:rPr>
            <w:noProof/>
            <w:webHidden/>
          </w:rPr>
          <w:tab/>
        </w:r>
        <w:r w:rsidR="00311F06">
          <w:rPr>
            <w:noProof/>
            <w:webHidden/>
          </w:rPr>
          <w:fldChar w:fldCharType="begin"/>
        </w:r>
        <w:r w:rsidR="00311F06">
          <w:rPr>
            <w:noProof/>
            <w:webHidden/>
          </w:rPr>
          <w:instrText xml:space="preserve"> PAGEREF _Toc41684713 \h </w:instrText>
        </w:r>
        <w:r w:rsidR="00311F06">
          <w:rPr>
            <w:noProof/>
            <w:webHidden/>
          </w:rPr>
        </w:r>
        <w:r w:rsidR="00311F06">
          <w:rPr>
            <w:noProof/>
            <w:webHidden/>
          </w:rPr>
          <w:fldChar w:fldCharType="separate"/>
        </w:r>
        <w:r w:rsidR="00AA68F8">
          <w:rPr>
            <w:noProof/>
            <w:webHidden/>
          </w:rPr>
          <w:t>10-12</w:t>
        </w:r>
        <w:r w:rsidR="00311F06">
          <w:rPr>
            <w:noProof/>
            <w:webHidden/>
          </w:rPr>
          <w:fldChar w:fldCharType="end"/>
        </w:r>
      </w:hyperlink>
    </w:p>
    <w:p w14:paraId="4776202D" w14:textId="4387B189" w:rsidR="00311F06" w:rsidRDefault="00C723CB">
      <w:pPr>
        <w:pStyle w:val="TableofFigures"/>
        <w:rPr>
          <w:rFonts w:asciiTheme="minorHAnsi" w:eastAsiaTheme="minorEastAsia" w:hAnsiTheme="minorHAnsi" w:cstheme="minorBidi"/>
          <w:noProof/>
        </w:rPr>
      </w:pPr>
      <w:hyperlink w:anchor="_Toc41684714" w:history="1">
        <w:r w:rsidR="00311F06" w:rsidRPr="00CB21FE">
          <w:rPr>
            <w:rStyle w:val="Hyperlink"/>
            <w:noProof/>
          </w:rPr>
          <w:t>Figure 10</w:t>
        </w:r>
        <w:r w:rsidR="00311F06" w:rsidRPr="00CB21FE">
          <w:rPr>
            <w:rStyle w:val="Hyperlink"/>
            <w:noProof/>
          </w:rPr>
          <w:noBreakHyphen/>
          <w:t>3: Unit 3 Expansion and Completion Project</w:t>
        </w:r>
        <w:r w:rsidR="00311F06">
          <w:rPr>
            <w:noProof/>
            <w:webHidden/>
          </w:rPr>
          <w:tab/>
        </w:r>
        <w:r w:rsidR="00311F06">
          <w:rPr>
            <w:noProof/>
            <w:webHidden/>
          </w:rPr>
          <w:fldChar w:fldCharType="begin"/>
        </w:r>
        <w:r w:rsidR="00311F06">
          <w:rPr>
            <w:noProof/>
            <w:webHidden/>
          </w:rPr>
          <w:instrText xml:space="preserve"> PAGEREF _Toc41684714 \h </w:instrText>
        </w:r>
        <w:r w:rsidR="00311F06">
          <w:rPr>
            <w:noProof/>
            <w:webHidden/>
          </w:rPr>
        </w:r>
        <w:r w:rsidR="00311F06">
          <w:rPr>
            <w:noProof/>
            <w:webHidden/>
          </w:rPr>
          <w:fldChar w:fldCharType="separate"/>
        </w:r>
        <w:r w:rsidR="00AA68F8">
          <w:rPr>
            <w:noProof/>
            <w:webHidden/>
          </w:rPr>
          <w:t>10-13</w:t>
        </w:r>
        <w:r w:rsidR="00311F06">
          <w:rPr>
            <w:noProof/>
            <w:webHidden/>
          </w:rPr>
          <w:fldChar w:fldCharType="end"/>
        </w:r>
      </w:hyperlink>
    </w:p>
    <w:p w14:paraId="19BD43E1" w14:textId="2B437AF8" w:rsidR="00311F06" w:rsidRDefault="00C723CB">
      <w:pPr>
        <w:pStyle w:val="TableofFigures"/>
        <w:rPr>
          <w:rFonts w:asciiTheme="minorHAnsi" w:eastAsiaTheme="minorEastAsia" w:hAnsiTheme="minorHAnsi" w:cstheme="minorBidi"/>
          <w:noProof/>
        </w:rPr>
      </w:pPr>
      <w:hyperlink w:anchor="_Toc41684715" w:history="1">
        <w:r w:rsidR="00311F06" w:rsidRPr="00CB21FE">
          <w:rPr>
            <w:rStyle w:val="Hyperlink"/>
            <w:noProof/>
          </w:rPr>
          <w:t>Figure 10</w:t>
        </w:r>
        <w:r w:rsidR="00311F06" w:rsidRPr="00CB21FE">
          <w:rPr>
            <w:rStyle w:val="Hyperlink"/>
            <w:noProof/>
          </w:rPr>
          <w:noBreakHyphen/>
          <w:t>4: Unit 3 Expansion and Completion Project Timing and Avoided R&amp;R</w:t>
        </w:r>
        <w:r w:rsidR="00311F06">
          <w:rPr>
            <w:noProof/>
            <w:webHidden/>
          </w:rPr>
          <w:tab/>
        </w:r>
        <w:r w:rsidR="00311F06">
          <w:rPr>
            <w:noProof/>
            <w:webHidden/>
          </w:rPr>
          <w:fldChar w:fldCharType="begin"/>
        </w:r>
        <w:r w:rsidR="00311F06">
          <w:rPr>
            <w:noProof/>
            <w:webHidden/>
          </w:rPr>
          <w:instrText xml:space="preserve"> PAGEREF _Toc41684715 \h </w:instrText>
        </w:r>
        <w:r w:rsidR="00311F06">
          <w:rPr>
            <w:noProof/>
            <w:webHidden/>
          </w:rPr>
        </w:r>
        <w:r w:rsidR="00311F06">
          <w:rPr>
            <w:noProof/>
            <w:webHidden/>
          </w:rPr>
          <w:fldChar w:fldCharType="separate"/>
        </w:r>
        <w:r w:rsidR="00AA68F8">
          <w:rPr>
            <w:noProof/>
            <w:webHidden/>
          </w:rPr>
          <w:t>10-15</w:t>
        </w:r>
        <w:r w:rsidR="00311F06">
          <w:rPr>
            <w:noProof/>
            <w:webHidden/>
          </w:rPr>
          <w:fldChar w:fldCharType="end"/>
        </w:r>
      </w:hyperlink>
    </w:p>
    <w:p w14:paraId="0CE1C6F0" w14:textId="34BB6773" w:rsidR="00311F06" w:rsidRDefault="00C723CB">
      <w:pPr>
        <w:pStyle w:val="TableofFigures"/>
        <w:rPr>
          <w:rFonts w:asciiTheme="minorHAnsi" w:eastAsiaTheme="minorEastAsia" w:hAnsiTheme="minorHAnsi" w:cstheme="minorBidi"/>
          <w:noProof/>
        </w:rPr>
      </w:pPr>
      <w:hyperlink w:anchor="_Toc41684716" w:history="1">
        <w:r w:rsidR="00311F06" w:rsidRPr="00CB21FE">
          <w:rPr>
            <w:rStyle w:val="Hyperlink"/>
            <w:noProof/>
          </w:rPr>
          <w:t>Figure 11</w:t>
        </w:r>
        <w:r w:rsidR="00311F06" w:rsidRPr="00CB21FE">
          <w:rPr>
            <w:rStyle w:val="Hyperlink"/>
            <w:noProof/>
          </w:rPr>
          <w:noBreakHyphen/>
          <w:t>1: CIP Implementation Road Map</w:t>
        </w:r>
        <w:r w:rsidR="00311F06">
          <w:rPr>
            <w:noProof/>
            <w:webHidden/>
          </w:rPr>
          <w:tab/>
        </w:r>
        <w:r w:rsidR="00311F06">
          <w:rPr>
            <w:noProof/>
            <w:webHidden/>
          </w:rPr>
          <w:fldChar w:fldCharType="begin"/>
        </w:r>
        <w:r w:rsidR="00311F06">
          <w:rPr>
            <w:noProof/>
            <w:webHidden/>
          </w:rPr>
          <w:instrText xml:space="preserve"> PAGEREF _Toc41684716 \h </w:instrText>
        </w:r>
        <w:r w:rsidR="00311F06">
          <w:rPr>
            <w:noProof/>
            <w:webHidden/>
          </w:rPr>
        </w:r>
        <w:r w:rsidR="00311F06">
          <w:rPr>
            <w:noProof/>
            <w:webHidden/>
          </w:rPr>
          <w:fldChar w:fldCharType="separate"/>
        </w:r>
        <w:r w:rsidR="00AA68F8">
          <w:rPr>
            <w:noProof/>
            <w:webHidden/>
          </w:rPr>
          <w:t>11-5</w:t>
        </w:r>
        <w:r w:rsidR="00311F06">
          <w:rPr>
            <w:noProof/>
            <w:webHidden/>
          </w:rPr>
          <w:fldChar w:fldCharType="end"/>
        </w:r>
      </w:hyperlink>
    </w:p>
    <w:p w14:paraId="4C99A181" w14:textId="068488E7" w:rsidR="00311F06" w:rsidRDefault="00C723CB">
      <w:pPr>
        <w:pStyle w:val="TableofFigures"/>
        <w:rPr>
          <w:rFonts w:asciiTheme="minorHAnsi" w:eastAsiaTheme="minorEastAsia" w:hAnsiTheme="minorHAnsi" w:cstheme="minorBidi"/>
          <w:noProof/>
        </w:rPr>
      </w:pPr>
      <w:hyperlink w:anchor="_Toc41684717" w:history="1">
        <w:r w:rsidR="00311F06" w:rsidRPr="00CB21FE">
          <w:rPr>
            <w:rStyle w:val="Hyperlink"/>
            <w:noProof/>
          </w:rPr>
          <w:t>Figure 11</w:t>
        </w:r>
        <w:r w:rsidR="00311F06" w:rsidRPr="00CB21FE">
          <w:rPr>
            <w:rStyle w:val="Hyperlink"/>
            <w:noProof/>
          </w:rPr>
          <w:noBreakHyphen/>
          <w:t>2: Unit 3 Expansion and Completion (Phased) with R&amp;R avoided</w:t>
        </w:r>
        <w:r w:rsidR="00311F06">
          <w:rPr>
            <w:noProof/>
            <w:webHidden/>
          </w:rPr>
          <w:tab/>
        </w:r>
        <w:r w:rsidR="00311F06">
          <w:rPr>
            <w:noProof/>
            <w:webHidden/>
          </w:rPr>
          <w:fldChar w:fldCharType="begin"/>
        </w:r>
        <w:r w:rsidR="00311F06">
          <w:rPr>
            <w:noProof/>
            <w:webHidden/>
          </w:rPr>
          <w:instrText xml:space="preserve"> PAGEREF _Toc41684717 \h </w:instrText>
        </w:r>
        <w:r w:rsidR="00311F06">
          <w:rPr>
            <w:noProof/>
            <w:webHidden/>
          </w:rPr>
        </w:r>
        <w:r w:rsidR="00311F06">
          <w:rPr>
            <w:noProof/>
            <w:webHidden/>
          </w:rPr>
          <w:fldChar w:fldCharType="separate"/>
        </w:r>
        <w:r w:rsidR="00AA68F8">
          <w:rPr>
            <w:noProof/>
            <w:webHidden/>
          </w:rPr>
          <w:t>11-7</w:t>
        </w:r>
        <w:r w:rsidR="00311F06">
          <w:rPr>
            <w:noProof/>
            <w:webHidden/>
          </w:rPr>
          <w:fldChar w:fldCharType="end"/>
        </w:r>
      </w:hyperlink>
    </w:p>
    <w:p w14:paraId="3CD5B42B" w14:textId="70A95F46" w:rsidR="00311F06" w:rsidRDefault="00C723CB">
      <w:pPr>
        <w:pStyle w:val="TableofFigures"/>
        <w:rPr>
          <w:rFonts w:asciiTheme="minorHAnsi" w:eastAsiaTheme="minorEastAsia" w:hAnsiTheme="minorHAnsi" w:cstheme="minorBidi"/>
          <w:noProof/>
        </w:rPr>
      </w:pPr>
      <w:hyperlink w:anchor="_Toc41684718" w:history="1">
        <w:r w:rsidR="00311F06" w:rsidRPr="00CB21FE">
          <w:rPr>
            <w:rStyle w:val="Hyperlink"/>
            <w:noProof/>
          </w:rPr>
          <w:t>Figure 11</w:t>
        </w:r>
        <w:r w:rsidR="00311F06" w:rsidRPr="00CB21FE">
          <w:rPr>
            <w:rStyle w:val="Hyperlink"/>
            <w:noProof/>
          </w:rPr>
          <w:noBreakHyphen/>
          <w:t>3: Cost Comparison with and without Phased Unit 3 Expansion</w:t>
        </w:r>
        <w:r w:rsidR="00311F06">
          <w:rPr>
            <w:noProof/>
            <w:webHidden/>
          </w:rPr>
          <w:tab/>
        </w:r>
        <w:r w:rsidR="00311F06">
          <w:rPr>
            <w:noProof/>
            <w:webHidden/>
          </w:rPr>
          <w:fldChar w:fldCharType="begin"/>
        </w:r>
        <w:r w:rsidR="00311F06">
          <w:rPr>
            <w:noProof/>
            <w:webHidden/>
          </w:rPr>
          <w:instrText xml:space="preserve"> PAGEREF _Toc41684718 \h </w:instrText>
        </w:r>
        <w:r w:rsidR="00311F06">
          <w:rPr>
            <w:noProof/>
            <w:webHidden/>
          </w:rPr>
        </w:r>
        <w:r w:rsidR="00311F06">
          <w:rPr>
            <w:noProof/>
            <w:webHidden/>
          </w:rPr>
          <w:fldChar w:fldCharType="separate"/>
        </w:r>
        <w:r w:rsidR="00AA68F8">
          <w:rPr>
            <w:noProof/>
            <w:webHidden/>
          </w:rPr>
          <w:t>11-8</w:t>
        </w:r>
        <w:r w:rsidR="00311F06">
          <w:rPr>
            <w:noProof/>
            <w:webHidden/>
          </w:rPr>
          <w:fldChar w:fldCharType="end"/>
        </w:r>
      </w:hyperlink>
    </w:p>
    <w:p w14:paraId="6D6DBB72" w14:textId="4E1B3277" w:rsidR="00311F06" w:rsidRDefault="00C723CB">
      <w:pPr>
        <w:pStyle w:val="TableofFigures"/>
        <w:rPr>
          <w:rFonts w:asciiTheme="minorHAnsi" w:eastAsiaTheme="minorEastAsia" w:hAnsiTheme="minorHAnsi" w:cstheme="minorBidi"/>
          <w:noProof/>
        </w:rPr>
      </w:pPr>
      <w:hyperlink w:anchor="_Toc41684719" w:history="1">
        <w:r w:rsidR="00311F06" w:rsidRPr="00CB21FE">
          <w:rPr>
            <w:rStyle w:val="Hyperlink"/>
            <w:noProof/>
          </w:rPr>
          <w:t>Figure 11</w:t>
        </w:r>
        <w:r w:rsidR="00311F06" w:rsidRPr="00CB21FE">
          <w:rPr>
            <w:rStyle w:val="Hyperlink"/>
            <w:noProof/>
          </w:rPr>
          <w:noBreakHyphen/>
          <w:t>4: Total Near-Term Recommended Project and R&amp;R Costs – 5 Year</w:t>
        </w:r>
        <w:r w:rsidR="00311F06">
          <w:rPr>
            <w:noProof/>
            <w:webHidden/>
          </w:rPr>
          <w:tab/>
        </w:r>
        <w:r w:rsidR="00311F06">
          <w:rPr>
            <w:noProof/>
            <w:webHidden/>
          </w:rPr>
          <w:fldChar w:fldCharType="begin"/>
        </w:r>
        <w:r w:rsidR="00311F06">
          <w:rPr>
            <w:noProof/>
            <w:webHidden/>
          </w:rPr>
          <w:instrText xml:space="preserve"> PAGEREF _Toc41684719 \h </w:instrText>
        </w:r>
        <w:r w:rsidR="00311F06">
          <w:rPr>
            <w:noProof/>
            <w:webHidden/>
          </w:rPr>
        </w:r>
        <w:r w:rsidR="00311F06">
          <w:rPr>
            <w:noProof/>
            <w:webHidden/>
          </w:rPr>
          <w:fldChar w:fldCharType="separate"/>
        </w:r>
        <w:r w:rsidR="00AA68F8">
          <w:rPr>
            <w:noProof/>
            <w:webHidden/>
          </w:rPr>
          <w:t>11-10</w:t>
        </w:r>
        <w:r w:rsidR="00311F06">
          <w:rPr>
            <w:noProof/>
            <w:webHidden/>
          </w:rPr>
          <w:fldChar w:fldCharType="end"/>
        </w:r>
      </w:hyperlink>
    </w:p>
    <w:p w14:paraId="25BCFED9" w14:textId="3676901A" w:rsidR="00311F06" w:rsidRDefault="00C723CB">
      <w:pPr>
        <w:pStyle w:val="TableofFigures"/>
        <w:rPr>
          <w:rFonts w:asciiTheme="minorHAnsi" w:eastAsiaTheme="minorEastAsia" w:hAnsiTheme="minorHAnsi" w:cstheme="minorBidi"/>
          <w:noProof/>
        </w:rPr>
      </w:pPr>
      <w:hyperlink w:anchor="_Toc41684720" w:history="1">
        <w:r w:rsidR="00311F06" w:rsidRPr="00CB21FE">
          <w:rPr>
            <w:rStyle w:val="Hyperlink"/>
            <w:noProof/>
          </w:rPr>
          <w:t>Figure 11</w:t>
        </w:r>
        <w:r w:rsidR="00311F06" w:rsidRPr="00CB21FE">
          <w:rPr>
            <w:rStyle w:val="Hyperlink"/>
            <w:noProof/>
          </w:rPr>
          <w:noBreakHyphen/>
          <w:t>5: Total Recommended Project and R&amp;R Costs – 20 Year</w:t>
        </w:r>
        <w:r w:rsidR="00311F06">
          <w:rPr>
            <w:noProof/>
            <w:webHidden/>
          </w:rPr>
          <w:tab/>
        </w:r>
        <w:r w:rsidR="00311F06">
          <w:rPr>
            <w:noProof/>
            <w:webHidden/>
          </w:rPr>
          <w:fldChar w:fldCharType="begin"/>
        </w:r>
        <w:r w:rsidR="00311F06">
          <w:rPr>
            <w:noProof/>
            <w:webHidden/>
          </w:rPr>
          <w:instrText xml:space="preserve"> PAGEREF _Toc41684720 \h </w:instrText>
        </w:r>
        <w:r w:rsidR="00311F06">
          <w:rPr>
            <w:noProof/>
            <w:webHidden/>
          </w:rPr>
        </w:r>
        <w:r w:rsidR="00311F06">
          <w:rPr>
            <w:noProof/>
            <w:webHidden/>
          </w:rPr>
          <w:fldChar w:fldCharType="separate"/>
        </w:r>
        <w:r w:rsidR="00AA68F8">
          <w:rPr>
            <w:noProof/>
            <w:webHidden/>
          </w:rPr>
          <w:t>11-14</w:t>
        </w:r>
        <w:r w:rsidR="00311F06">
          <w:rPr>
            <w:noProof/>
            <w:webHidden/>
          </w:rPr>
          <w:fldChar w:fldCharType="end"/>
        </w:r>
      </w:hyperlink>
    </w:p>
    <w:p w14:paraId="3C514923" w14:textId="5E899D2D" w:rsidR="00A878FB" w:rsidRPr="008A0812" w:rsidRDefault="00AF40CB" w:rsidP="00D734C4">
      <w:pPr>
        <w:spacing w:after="120"/>
        <w:sectPr w:rsidR="00A878FB" w:rsidRPr="008A0812" w:rsidSect="009007C5">
          <w:headerReference w:type="default" r:id="rId12"/>
          <w:footerReference w:type="default" r:id="rId13"/>
          <w:footnotePr>
            <w:numRestart w:val="eachPage"/>
          </w:footnotePr>
          <w:endnotePr>
            <w:numFmt w:val="decimal"/>
          </w:endnotePr>
          <w:pgSz w:w="12240" w:h="15840" w:code="1"/>
          <w:pgMar w:top="1800" w:right="1440" w:bottom="1440" w:left="1440" w:header="720" w:footer="360" w:gutter="0"/>
          <w:pgNumType w:fmt="lowerRoman" w:start="1"/>
          <w:cols w:space="720"/>
          <w:noEndnote/>
          <w:docGrid w:linePitch="299"/>
        </w:sectPr>
      </w:pPr>
      <w:r w:rsidRPr="008A0812">
        <w:fldChar w:fldCharType="end"/>
      </w:r>
    </w:p>
    <w:p w14:paraId="7397DDCD" w14:textId="55EAB5F1" w:rsidR="005A3D70" w:rsidRPr="008A0812" w:rsidRDefault="002F0057" w:rsidP="002F0057">
      <w:pPr>
        <w:spacing w:after="120"/>
        <w:jc w:val="center"/>
        <w:rPr>
          <w:b/>
          <w:sz w:val="28"/>
          <w:szCs w:val="28"/>
        </w:rPr>
      </w:pPr>
      <w:r w:rsidRPr="008A0812">
        <w:rPr>
          <w:b/>
          <w:sz w:val="28"/>
          <w:szCs w:val="28"/>
        </w:rPr>
        <w:t>EXHIBITS</w:t>
      </w:r>
    </w:p>
    <w:p w14:paraId="39532055" w14:textId="77777777" w:rsidR="00AF40CB" w:rsidRPr="008A0812" w:rsidRDefault="00EE6E68">
      <w:pPr>
        <w:pStyle w:val="TOC1"/>
        <w:tabs>
          <w:tab w:val="left" w:pos="1440"/>
        </w:tabs>
        <w:rPr>
          <w:rFonts w:asciiTheme="minorHAnsi" w:eastAsiaTheme="minorEastAsia" w:hAnsiTheme="minorHAnsi" w:cstheme="minorBidi"/>
          <w:bCs w:val="0"/>
        </w:rPr>
      </w:pPr>
      <w:r w:rsidRPr="008A0812">
        <w:rPr>
          <w:bCs w:val="0"/>
        </w:rPr>
        <w:fldChar w:fldCharType="begin"/>
      </w:r>
      <w:r w:rsidRPr="008A0812">
        <w:rPr>
          <w:bCs w:val="0"/>
        </w:rPr>
        <w:instrText xml:space="preserve"> TOC \n \p " " \t "Title,1" </w:instrText>
      </w:r>
      <w:r w:rsidRPr="008A0812">
        <w:rPr>
          <w:bCs w:val="0"/>
        </w:rPr>
        <w:fldChar w:fldCharType="separate"/>
      </w:r>
      <w:r w:rsidR="00AF40CB" w:rsidRPr="008A0812">
        <w:t>Exhibit 1:</w:t>
      </w:r>
      <w:r w:rsidR="00AF40CB" w:rsidRPr="008A0812">
        <w:rPr>
          <w:rFonts w:asciiTheme="minorHAnsi" w:eastAsiaTheme="minorEastAsia" w:hAnsiTheme="minorHAnsi" w:cstheme="minorBidi"/>
          <w:bCs w:val="0"/>
        </w:rPr>
        <w:tab/>
      </w:r>
      <w:r w:rsidR="00AF40CB" w:rsidRPr="008A0812">
        <w:t>Site Plan</w:t>
      </w:r>
    </w:p>
    <w:p w14:paraId="450C3C56" w14:textId="77777777" w:rsidR="00AF40CB" w:rsidRPr="008A0812" w:rsidRDefault="00AF40CB">
      <w:pPr>
        <w:pStyle w:val="TOC1"/>
        <w:tabs>
          <w:tab w:val="left" w:pos="1440"/>
        </w:tabs>
        <w:rPr>
          <w:rFonts w:asciiTheme="minorHAnsi" w:eastAsiaTheme="minorEastAsia" w:hAnsiTheme="minorHAnsi" w:cstheme="minorBidi"/>
          <w:bCs w:val="0"/>
        </w:rPr>
      </w:pPr>
      <w:r w:rsidRPr="008A0812">
        <w:t>Exhibit 2:</w:t>
      </w:r>
      <w:r w:rsidRPr="008A0812">
        <w:rPr>
          <w:rFonts w:asciiTheme="minorHAnsi" w:eastAsiaTheme="minorEastAsia" w:hAnsiTheme="minorHAnsi" w:cstheme="minorBidi"/>
          <w:bCs w:val="0"/>
        </w:rPr>
        <w:tab/>
      </w:r>
      <w:r w:rsidRPr="008A0812">
        <w:t>Process Flow Diagram</w:t>
      </w:r>
    </w:p>
    <w:p w14:paraId="017398D2" w14:textId="77777777" w:rsidR="00AF40CB" w:rsidRPr="008A0812" w:rsidRDefault="00AF40CB">
      <w:pPr>
        <w:pStyle w:val="TOC1"/>
        <w:tabs>
          <w:tab w:val="left" w:pos="1440"/>
        </w:tabs>
        <w:rPr>
          <w:rFonts w:asciiTheme="minorHAnsi" w:eastAsiaTheme="minorEastAsia" w:hAnsiTheme="minorHAnsi" w:cstheme="minorBidi"/>
          <w:bCs w:val="0"/>
        </w:rPr>
      </w:pPr>
      <w:r w:rsidRPr="008A0812">
        <w:t>Exhibit 3:</w:t>
      </w:r>
      <w:r w:rsidRPr="008A0812">
        <w:rPr>
          <w:rFonts w:asciiTheme="minorHAnsi" w:eastAsiaTheme="minorEastAsia" w:hAnsiTheme="minorHAnsi" w:cstheme="minorBidi"/>
          <w:bCs w:val="0"/>
        </w:rPr>
        <w:tab/>
      </w:r>
      <w:r w:rsidRPr="008A0812">
        <w:t>FEMA Flood Insurance Rate Map, Panel 8683 of 9375</w:t>
      </w:r>
    </w:p>
    <w:p w14:paraId="1EAC0B70" w14:textId="4ABA6124" w:rsidR="00A878FB" w:rsidRPr="008A0812" w:rsidRDefault="00EE6E68" w:rsidP="00D734C4">
      <w:pPr>
        <w:spacing w:after="120"/>
      </w:pPr>
      <w:r w:rsidRPr="008A0812">
        <w:rPr>
          <w:bCs/>
          <w:noProof/>
        </w:rPr>
        <w:fldChar w:fldCharType="end"/>
      </w:r>
    </w:p>
    <w:p w14:paraId="425DD659" w14:textId="44C38499" w:rsidR="005920CD" w:rsidRPr="008A0812" w:rsidRDefault="005920CD" w:rsidP="002F0057">
      <w:pPr>
        <w:spacing w:after="120"/>
        <w:jc w:val="center"/>
        <w:rPr>
          <w:b/>
          <w:sz w:val="28"/>
          <w:szCs w:val="28"/>
        </w:rPr>
      </w:pPr>
      <w:r w:rsidRPr="008A0812">
        <w:rPr>
          <w:b/>
          <w:sz w:val="28"/>
          <w:szCs w:val="28"/>
        </w:rPr>
        <w:t>APPENDICES</w:t>
      </w:r>
    </w:p>
    <w:bookmarkStart w:id="0" w:name="_Hlk23915512"/>
    <w:p w14:paraId="0EEED086" w14:textId="31E2E4CA" w:rsidR="00AF40CB" w:rsidRPr="008A0812" w:rsidRDefault="005920CD">
      <w:pPr>
        <w:pStyle w:val="TableofFigures"/>
        <w:rPr>
          <w:rFonts w:asciiTheme="minorHAnsi" w:eastAsiaTheme="minorEastAsia" w:hAnsiTheme="minorHAnsi" w:cstheme="minorBidi"/>
          <w:noProof/>
        </w:rPr>
      </w:pPr>
      <w:r w:rsidRPr="008A0812">
        <w:fldChar w:fldCharType="begin"/>
      </w:r>
      <w:r w:rsidRPr="008A0812">
        <w:instrText xml:space="preserve"> TOC \n \p " " \h \z \t "Appendix Heading" \c </w:instrText>
      </w:r>
      <w:r w:rsidRPr="008A0812">
        <w:fldChar w:fldCharType="separate"/>
      </w:r>
      <w:hyperlink w:anchor="_Toc36413813" w:history="1">
        <w:r w:rsidR="00AF40CB" w:rsidRPr="008A0812">
          <w:rPr>
            <w:rStyle w:val="Hyperlink"/>
            <w:noProof/>
          </w:rPr>
          <w:t>Appendix A:</w:t>
        </w:r>
        <w:r w:rsidR="00AF40CB" w:rsidRPr="008A0812">
          <w:rPr>
            <w:rFonts w:asciiTheme="minorHAnsi" w:eastAsiaTheme="minorEastAsia" w:hAnsiTheme="minorHAnsi" w:cstheme="minorBidi"/>
            <w:noProof/>
          </w:rPr>
          <w:tab/>
        </w:r>
        <w:r w:rsidR="00AF40CB" w:rsidRPr="008A0812">
          <w:rPr>
            <w:rStyle w:val="Hyperlink"/>
            <w:noProof/>
          </w:rPr>
          <w:t>Total Dissolved Solids and Total Inorganic Nitrogen Assessment Technical Memorandum – Draft</w:t>
        </w:r>
      </w:hyperlink>
    </w:p>
    <w:p w14:paraId="7AC26231" w14:textId="28ECADBA" w:rsidR="00AF40CB" w:rsidRPr="008A0812" w:rsidRDefault="00C723CB">
      <w:pPr>
        <w:pStyle w:val="TableofFigures"/>
        <w:rPr>
          <w:rFonts w:asciiTheme="minorHAnsi" w:eastAsiaTheme="minorEastAsia" w:hAnsiTheme="minorHAnsi" w:cstheme="minorBidi"/>
          <w:noProof/>
        </w:rPr>
      </w:pPr>
      <w:hyperlink w:anchor="_Toc36413814" w:history="1">
        <w:r w:rsidR="00AF40CB" w:rsidRPr="008A0812">
          <w:rPr>
            <w:rStyle w:val="Hyperlink"/>
            <w:noProof/>
          </w:rPr>
          <w:t>Appendix B:</w:t>
        </w:r>
        <w:r w:rsidR="00AF40CB" w:rsidRPr="008A0812">
          <w:rPr>
            <w:rFonts w:asciiTheme="minorHAnsi" w:eastAsiaTheme="minorEastAsia" w:hAnsiTheme="minorHAnsi" w:cstheme="minorBidi"/>
            <w:noProof/>
          </w:rPr>
          <w:tab/>
        </w:r>
        <w:r w:rsidR="00AF40CB" w:rsidRPr="008A0812">
          <w:rPr>
            <w:rStyle w:val="Hyperlink"/>
            <w:noProof/>
          </w:rPr>
          <w:t>Condition Assessment Appendices (2 combined)</w:t>
        </w:r>
      </w:hyperlink>
    </w:p>
    <w:p w14:paraId="0E3DF6E0" w14:textId="7283737D" w:rsidR="00AF40CB" w:rsidRPr="008A0812" w:rsidRDefault="00C723CB">
      <w:pPr>
        <w:pStyle w:val="TableofFigures"/>
        <w:rPr>
          <w:rFonts w:asciiTheme="minorHAnsi" w:eastAsiaTheme="minorEastAsia" w:hAnsiTheme="minorHAnsi" w:cstheme="minorBidi"/>
          <w:noProof/>
        </w:rPr>
      </w:pPr>
      <w:hyperlink w:anchor="_Toc36413815" w:history="1">
        <w:r w:rsidR="00AF40CB" w:rsidRPr="008A0812">
          <w:rPr>
            <w:rStyle w:val="Hyperlink"/>
            <w:noProof/>
          </w:rPr>
          <w:t xml:space="preserve">Appendix C: </w:t>
        </w:r>
        <w:r w:rsidR="00AF40CB" w:rsidRPr="008A0812">
          <w:rPr>
            <w:rFonts w:asciiTheme="minorHAnsi" w:eastAsiaTheme="minorEastAsia" w:hAnsiTheme="minorHAnsi" w:cstheme="minorBidi"/>
            <w:noProof/>
          </w:rPr>
          <w:tab/>
        </w:r>
        <w:r w:rsidR="00AF40CB" w:rsidRPr="008A0812">
          <w:rPr>
            <w:rStyle w:val="Hyperlink"/>
            <w:noProof/>
          </w:rPr>
          <w:t>Risk Assessment Appendices (4 combined)</w:t>
        </w:r>
      </w:hyperlink>
    </w:p>
    <w:p w14:paraId="7A34B9A0" w14:textId="6D671455" w:rsidR="00AF40CB" w:rsidRPr="008A0812" w:rsidRDefault="00C723CB">
      <w:pPr>
        <w:pStyle w:val="TableofFigures"/>
        <w:rPr>
          <w:rFonts w:asciiTheme="minorHAnsi" w:eastAsiaTheme="minorEastAsia" w:hAnsiTheme="minorHAnsi" w:cstheme="minorBidi"/>
          <w:noProof/>
        </w:rPr>
      </w:pPr>
      <w:hyperlink w:anchor="_Toc36413816" w:history="1">
        <w:r w:rsidR="00AF40CB" w:rsidRPr="008A0812">
          <w:rPr>
            <w:rStyle w:val="Hyperlink"/>
            <w:noProof/>
          </w:rPr>
          <w:t>Appendix D:</w:t>
        </w:r>
        <w:r w:rsidR="00AF40CB" w:rsidRPr="008A0812">
          <w:rPr>
            <w:rFonts w:asciiTheme="minorHAnsi" w:eastAsiaTheme="minorEastAsia" w:hAnsiTheme="minorHAnsi" w:cstheme="minorBidi"/>
            <w:noProof/>
          </w:rPr>
          <w:tab/>
        </w:r>
        <w:r w:rsidR="00AF40CB" w:rsidRPr="008A0812">
          <w:rPr>
            <w:rStyle w:val="Hyperlink"/>
            <w:noProof/>
          </w:rPr>
          <w:t>Influent Flows and Loads</w:t>
        </w:r>
      </w:hyperlink>
    </w:p>
    <w:p w14:paraId="53C22F8D" w14:textId="2E0E1846" w:rsidR="00AF40CB" w:rsidRPr="008A0812" w:rsidRDefault="00C723CB">
      <w:pPr>
        <w:pStyle w:val="TableofFigures"/>
        <w:rPr>
          <w:rFonts w:asciiTheme="minorHAnsi" w:eastAsiaTheme="minorEastAsia" w:hAnsiTheme="minorHAnsi" w:cstheme="minorBidi"/>
          <w:noProof/>
        </w:rPr>
      </w:pPr>
      <w:hyperlink w:anchor="_Toc36413817" w:history="1">
        <w:r w:rsidR="00AF40CB" w:rsidRPr="008A0812">
          <w:rPr>
            <w:rStyle w:val="Hyperlink"/>
            <w:noProof/>
          </w:rPr>
          <w:t>Appendix E:</w:t>
        </w:r>
        <w:r w:rsidR="00AF40CB" w:rsidRPr="008A0812">
          <w:rPr>
            <w:rFonts w:asciiTheme="minorHAnsi" w:eastAsiaTheme="minorEastAsia" w:hAnsiTheme="minorHAnsi" w:cstheme="minorBidi"/>
            <w:noProof/>
          </w:rPr>
          <w:tab/>
        </w:r>
        <w:r w:rsidR="00AF40CB" w:rsidRPr="008A0812">
          <w:rPr>
            <w:rStyle w:val="Hyperlink"/>
            <w:noProof/>
          </w:rPr>
          <w:t>Process data analysis (Primary and secondary charts)</w:t>
        </w:r>
      </w:hyperlink>
    </w:p>
    <w:p w14:paraId="5BA71AF3" w14:textId="2D082D93" w:rsidR="00AF40CB" w:rsidRPr="008A0812" w:rsidRDefault="00C723CB">
      <w:pPr>
        <w:pStyle w:val="TableofFigures"/>
        <w:rPr>
          <w:rFonts w:asciiTheme="minorHAnsi" w:eastAsiaTheme="minorEastAsia" w:hAnsiTheme="minorHAnsi" w:cstheme="minorBidi"/>
          <w:noProof/>
        </w:rPr>
      </w:pPr>
      <w:hyperlink w:anchor="_Toc36413818" w:history="1">
        <w:r w:rsidR="00AF40CB" w:rsidRPr="008A0812">
          <w:rPr>
            <w:rStyle w:val="Hyperlink"/>
            <w:noProof/>
          </w:rPr>
          <w:t>Appendix F:</w:t>
        </w:r>
        <w:r w:rsidR="00AF40CB" w:rsidRPr="008A0812">
          <w:rPr>
            <w:rFonts w:asciiTheme="minorHAnsi" w:eastAsiaTheme="minorEastAsia" w:hAnsiTheme="minorHAnsi" w:cstheme="minorBidi"/>
            <w:noProof/>
          </w:rPr>
          <w:tab/>
        </w:r>
        <w:r w:rsidR="00AF40CB" w:rsidRPr="008A0812">
          <w:rPr>
            <w:rStyle w:val="Hyperlink"/>
            <w:noProof/>
          </w:rPr>
          <w:t>Operational Efficiency &amp; Optimization Projects – CIP Sheets</w:t>
        </w:r>
      </w:hyperlink>
    </w:p>
    <w:p w14:paraId="67DCC5E5" w14:textId="34C1B73E" w:rsidR="005920CD" w:rsidRPr="008A0812" w:rsidRDefault="005920CD" w:rsidP="005920CD">
      <w:pPr>
        <w:sectPr w:rsidR="005920CD" w:rsidRPr="008A0812" w:rsidSect="005A3D70">
          <w:footnotePr>
            <w:numRestart w:val="eachPage"/>
          </w:footnotePr>
          <w:endnotePr>
            <w:numFmt w:val="decimal"/>
          </w:endnotePr>
          <w:pgSz w:w="12240" w:h="15840" w:code="1"/>
          <w:pgMar w:top="1800" w:right="1440" w:bottom="1440" w:left="1440" w:header="720" w:footer="360" w:gutter="0"/>
          <w:pgNumType w:fmt="lowerRoman" w:start="1"/>
          <w:cols w:space="720"/>
          <w:noEndnote/>
          <w:docGrid w:linePitch="299"/>
        </w:sectPr>
      </w:pPr>
      <w:r w:rsidRPr="008A0812">
        <w:fldChar w:fldCharType="end"/>
      </w:r>
      <w:bookmarkEnd w:id="0"/>
    </w:p>
    <w:p w14:paraId="532739F3" w14:textId="7F115D43" w:rsidR="00471300" w:rsidRPr="008A0812" w:rsidRDefault="00E32D07" w:rsidP="005D6E52">
      <w:pPr>
        <w:pStyle w:val="Heading1"/>
      </w:pPr>
      <w:bookmarkStart w:id="1" w:name="_Ref20227008"/>
      <w:bookmarkStart w:id="2" w:name="_Toc41680792"/>
      <w:bookmarkStart w:id="3" w:name="_Hlk20058796"/>
      <w:r w:rsidRPr="008A0812">
        <w:t>Background and Approach Summary</w:t>
      </w:r>
      <w:bookmarkEnd w:id="1"/>
      <w:bookmarkEnd w:id="2"/>
    </w:p>
    <w:p w14:paraId="0444F3E8" w14:textId="6E72C3D8" w:rsidR="00E32D07" w:rsidRPr="008A0812" w:rsidRDefault="00E32D07" w:rsidP="00E32D07">
      <w:pPr>
        <w:pStyle w:val="Heading2"/>
      </w:pPr>
      <w:bookmarkStart w:id="4" w:name="_Toc41680793"/>
      <w:bookmarkEnd w:id="3"/>
      <w:r w:rsidRPr="008A0812">
        <w:t>Facilit</w:t>
      </w:r>
      <w:r w:rsidR="008B14A6" w:rsidRPr="008A0812">
        <w:t>ies</w:t>
      </w:r>
      <w:r w:rsidRPr="008A0812">
        <w:t xml:space="preserve"> Master Plan Goal</w:t>
      </w:r>
      <w:r w:rsidR="006402D6" w:rsidRPr="008A0812">
        <w:t>s</w:t>
      </w:r>
      <w:bookmarkEnd w:id="4"/>
    </w:p>
    <w:p w14:paraId="158D85C0" w14:textId="59E9A867" w:rsidR="004A4B5A" w:rsidRPr="008A0812" w:rsidRDefault="00B61C10" w:rsidP="00AF05AD">
      <w:pPr>
        <w:pStyle w:val="BodyText"/>
      </w:pPr>
      <w:r w:rsidRPr="008A0812">
        <w:t xml:space="preserve">As good stewards of the City of </w:t>
      </w:r>
      <w:bookmarkStart w:id="5" w:name="_Hlk20803518"/>
      <w:r w:rsidRPr="008A0812">
        <w:t xml:space="preserve">San Bernardino’s Water Reclamation Plant </w:t>
      </w:r>
      <w:bookmarkEnd w:id="5"/>
      <w:r w:rsidRPr="008A0812">
        <w:t xml:space="preserve">(SBWRP), the </w:t>
      </w:r>
      <w:bookmarkStart w:id="6" w:name="_Hlk20803539"/>
      <w:r w:rsidRPr="008A0812">
        <w:t xml:space="preserve">San Bernardino Municipal Water Department </w:t>
      </w:r>
      <w:bookmarkEnd w:id="6"/>
      <w:r w:rsidRPr="008A0812">
        <w:t>(</w:t>
      </w:r>
      <w:r w:rsidR="00AF05AD" w:rsidRPr="008A0812">
        <w:t>Department</w:t>
      </w:r>
      <w:r w:rsidRPr="008A0812">
        <w:t xml:space="preserve">) </w:t>
      </w:r>
      <w:r w:rsidR="00AF05AD" w:rsidRPr="008A0812">
        <w:t xml:space="preserve">completed a </w:t>
      </w:r>
      <w:r w:rsidRPr="008A0812">
        <w:t>Facilities Assessment and Master Plan that serve</w:t>
      </w:r>
      <w:r w:rsidR="00DC6F85" w:rsidRPr="008A0812">
        <w:t>s</w:t>
      </w:r>
      <w:r w:rsidRPr="008A0812">
        <w:t xml:space="preserve"> as a roadmap </w:t>
      </w:r>
      <w:r w:rsidR="004A4B5A" w:rsidRPr="008A0812">
        <w:t>for implementation</w:t>
      </w:r>
      <w:r w:rsidR="00AF05AD" w:rsidRPr="008A0812">
        <w:t xml:space="preserve"> of short-term and long-term projects over the 2020 to 2040 planning horizon.</w:t>
      </w:r>
      <w:r w:rsidR="004A4B5A" w:rsidRPr="008A0812">
        <w:t xml:space="preserve"> The Master Plan </w:t>
      </w:r>
      <w:r w:rsidR="00DC6F85" w:rsidRPr="008A0812">
        <w:t xml:space="preserve">used an analytical approach for optimizing operations, performance, and needed improvements at the SBWRP to develop </w:t>
      </w:r>
      <w:r w:rsidR="004A4B5A" w:rsidRPr="008A0812">
        <w:t xml:space="preserve">a schedule for capital improvement projects </w:t>
      </w:r>
      <w:r w:rsidR="00DC6F85" w:rsidRPr="008A0812">
        <w:t xml:space="preserve">to inform rate payer studies. </w:t>
      </w:r>
    </w:p>
    <w:p w14:paraId="576FC3B5" w14:textId="55E76D91" w:rsidR="00AF05AD" w:rsidRPr="008A0812" w:rsidRDefault="00AF05AD" w:rsidP="00AF05AD">
      <w:pPr>
        <w:pStyle w:val="BodyText"/>
      </w:pPr>
      <w:r>
        <w:t xml:space="preserve">The SBWRP is </w:t>
      </w:r>
      <w:r w:rsidR="74C75E95">
        <w:t xml:space="preserve">a </w:t>
      </w:r>
      <w:r>
        <w:t xml:space="preserve">regional secondary wastewater treatment facility that was constructed in 1958 at what is now 399 Chandler Place, San Bernardino, California. Originally constructed as an activated sludge system to handle 13 million gallons per day (mgd), the SBWRP has gone through several expansions and modifications </w:t>
      </w:r>
      <w:r w:rsidR="004A4B5A">
        <w:t>for</w:t>
      </w:r>
      <w:r>
        <w:t xml:space="preserve"> its current permitted capacity of 33 mgd. Like many treatment plants, the SBWRP is facing challenges from aging infrastructure, lower flows</w:t>
      </w:r>
      <w:r w:rsidR="004A4B5A">
        <w:t xml:space="preserve"> due to conservation</w:t>
      </w:r>
      <w:r>
        <w:t xml:space="preserve">, higher pollutant concentrations, increased energy costs, </w:t>
      </w:r>
      <w:r w:rsidR="004A4B5A">
        <w:t xml:space="preserve">and </w:t>
      </w:r>
      <w:r>
        <w:t>more stringent water and air regulatory requirements</w:t>
      </w:r>
      <w:r w:rsidR="004A4B5A">
        <w:t>. C</w:t>
      </w:r>
      <w:r>
        <w:t>hallenges will be amplified due to the East Valley Water District’s (EVWD) Sterling Natural Resource Center (SNRC) project that will reduce flow to the SBWRP by up to 6 mgd in a few years</w:t>
      </w:r>
      <w:r w:rsidR="00DC6F85">
        <w:t xml:space="preserve">, which will both impact the SBWRP treatment processes and constrain the Department </w:t>
      </w:r>
      <w:r w:rsidR="004A4B5A">
        <w:t>financial</w:t>
      </w:r>
      <w:r w:rsidR="00DC6F85">
        <w:t>ly</w:t>
      </w:r>
      <w:r w:rsidR="004A4B5A">
        <w:t>.</w:t>
      </w:r>
    </w:p>
    <w:p w14:paraId="04634A78" w14:textId="61C26725" w:rsidR="006402D6" w:rsidRPr="008A0812" w:rsidRDefault="006402D6" w:rsidP="006402D6">
      <w:pPr>
        <w:pStyle w:val="BodyText"/>
      </w:pPr>
      <w:r w:rsidRPr="008A0812">
        <w:t xml:space="preserve">The Facilities Master Plan </w:t>
      </w:r>
      <w:r w:rsidR="004A4B5A" w:rsidRPr="008A0812">
        <w:t>is</w:t>
      </w:r>
      <w:r w:rsidRPr="008A0812">
        <w:t xml:space="preserve"> a roadmap that guides the </w:t>
      </w:r>
      <w:r w:rsidR="004A4B5A" w:rsidRPr="008A0812">
        <w:t>Department</w:t>
      </w:r>
      <w:r w:rsidRPr="008A0812">
        <w:t xml:space="preserve"> to financial sustainability by navigating near-term challenges while maximizing flexibility for the future to adapt to changes, including the anticipated reduction in flows and loads. The Facilities Master Plan identifies ways to:</w:t>
      </w:r>
    </w:p>
    <w:p w14:paraId="7BDA6206" w14:textId="337E5987" w:rsidR="00DC6F85" w:rsidRPr="008A0812" w:rsidRDefault="00DC6F85" w:rsidP="00DC6F85">
      <w:pPr>
        <w:pStyle w:val="BodyText"/>
        <w:numPr>
          <w:ilvl w:val="0"/>
          <w:numId w:val="52"/>
        </w:numPr>
        <w:rPr>
          <w:rFonts w:asciiTheme="majorHAnsi" w:hAnsiTheme="majorHAnsi"/>
          <w:sz w:val="24"/>
          <w:szCs w:val="24"/>
        </w:rPr>
      </w:pPr>
      <w:r w:rsidRPr="008A0812">
        <w:t>Increase the level of confidence in decision making by developing a complete and functional asset inventory and determining the remaining useful life and replacement cost associated with each asset.</w:t>
      </w:r>
    </w:p>
    <w:p w14:paraId="702CA359" w14:textId="23947EF7" w:rsidR="006402D6" w:rsidRPr="008A0812" w:rsidRDefault="006402D6" w:rsidP="00AF05AD">
      <w:pPr>
        <w:pStyle w:val="BodyText"/>
        <w:numPr>
          <w:ilvl w:val="0"/>
          <w:numId w:val="52"/>
        </w:numPr>
        <w:rPr>
          <w:rFonts w:asciiTheme="majorHAnsi" w:hAnsiTheme="majorHAnsi"/>
          <w:sz w:val="24"/>
          <w:szCs w:val="24"/>
        </w:rPr>
      </w:pPr>
      <w:r w:rsidRPr="008A0812">
        <w:t xml:space="preserve">Maximize the value of existing assets </w:t>
      </w:r>
      <w:r w:rsidR="004A4B5A" w:rsidRPr="008A0812">
        <w:t xml:space="preserve">through </w:t>
      </w:r>
      <w:r w:rsidRPr="008A0812">
        <w:t>understanding the condition and remaining useful life and timing of life cycle investments to maintain reliable wastewater treatment capacity and quality while optimizing operational efforts and capital investments.</w:t>
      </w:r>
    </w:p>
    <w:p w14:paraId="0177AB7C" w14:textId="77777777" w:rsidR="006402D6" w:rsidRPr="008A0812" w:rsidRDefault="006402D6" w:rsidP="00AF05AD">
      <w:pPr>
        <w:pStyle w:val="BodyText"/>
        <w:numPr>
          <w:ilvl w:val="0"/>
          <w:numId w:val="52"/>
        </w:numPr>
        <w:rPr>
          <w:rFonts w:asciiTheme="majorHAnsi" w:hAnsiTheme="majorHAnsi"/>
          <w:sz w:val="24"/>
          <w:szCs w:val="24"/>
        </w:rPr>
      </w:pPr>
      <w:r w:rsidRPr="008A0812">
        <w:t>Improve the quality of asset data, data collection, analytical practices and decision-making tools.</w:t>
      </w:r>
    </w:p>
    <w:p w14:paraId="66FA523E" w14:textId="70E7400F" w:rsidR="006402D6" w:rsidRPr="008A0812" w:rsidRDefault="006402D6" w:rsidP="00AF05AD">
      <w:pPr>
        <w:pStyle w:val="BodyText"/>
        <w:numPr>
          <w:ilvl w:val="0"/>
          <w:numId w:val="52"/>
        </w:numPr>
        <w:rPr>
          <w:rFonts w:asciiTheme="majorHAnsi" w:hAnsiTheme="majorHAnsi"/>
          <w:sz w:val="24"/>
          <w:szCs w:val="24"/>
        </w:rPr>
      </w:pPr>
      <w:r w:rsidRPr="008A0812">
        <w:t xml:space="preserve">Provide the appropriate asset data and hierarchy to serve as a foundation for </w:t>
      </w:r>
      <w:r w:rsidR="00DC6F85" w:rsidRPr="008A0812">
        <w:t xml:space="preserve">the </w:t>
      </w:r>
      <w:r w:rsidRPr="008A0812">
        <w:t xml:space="preserve">existing or new </w:t>
      </w:r>
      <w:bookmarkStart w:id="7" w:name="_Hlk20804585"/>
      <w:r w:rsidRPr="008A0812">
        <w:t xml:space="preserve">Computerized Maintenance Management System </w:t>
      </w:r>
      <w:bookmarkEnd w:id="7"/>
      <w:r w:rsidRPr="008A0812">
        <w:t>(CMMS).</w:t>
      </w:r>
    </w:p>
    <w:p w14:paraId="2C31F615" w14:textId="77777777" w:rsidR="006402D6" w:rsidRPr="008A0812" w:rsidRDefault="006402D6" w:rsidP="00AF05AD">
      <w:pPr>
        <w:pStyle w:val="BodyText"/>
        <w:numPr>
          <w:ilvl w:val="0"/>
          <w:numId w:val="52"/>
        </w:numPr>
        <w:rPr>
          <w:rFonts w:asciiTheme="majorHAnsi" w:hAnsiTheme="majorHAnsi"/>
          <w:sz w:val="24"/>
          <w:szCs w:val="24"/>
        </w:rPr>
      </w:pPr>
      <w:r w:rsidRPr="008A0812">
        <w:t>Provide condition-based planning that focuses the rehabilitation and replacement projects on the highest risk assets that allows for gradual renewal of assets.</w:t>
      </w:r>
    </w:p>
    <w:p w14:paraId="7156E93A" w14:textId="0E80645B" w:rsidR="00E32D07" w:rsidRPr="008A0812" w:rsidRDefault="00E32D07" w:rsidP="00E32D07">
      <w:pPr>
        <w:pStyle w:val="Heading2"/>
      </w:pPr>
      <w:bookmarkStart w:id="8" w:name="_Toc41680794"/>
      <w:r w:rsidRPr="008A0812">
        <w:t>Facilities Master Plan Approach</w:t>
      </w:r>
      <w:bookmarkEnd w:id="8"/>
    </w:p>
    <w:p w14:paraId="0F198BD0" w14:textId="3D318F8C" w:rsidR="004A4B5A" w:rsidRPr="008A0812" w:rsidRDefault="004A4B5A" w:rsidP="004A4B5A">
      <w:pPr>
        <w:pStyle w:val="BodyText"/>
      </w:pPr>
      <w:r w:rsidRPr="008A0812">
        <w:t xml:space="preserve">The traditional approach to master planning provides a static “snapshot” in time focused on a single path forward </w:t>
      </w:r>
      <w:r w:rsidR="007522C8" w:rsidRPr="008A0812">
        <w:t>which</w:t>
      </w:r>
      <w:r w:rsidRPr="008A0812">
        <w:t xml:space="preserve"> can lack a precise, systematic, and analytical approach. </w:t>
      </w:r>
      <w:r w:rsidR="00DC6F85" w:rsidRPr="008A0812">
        <w:t>The Department</w:t>
      </w:r>
      <w:r w:rsidRPr="008A0812">
        <w:t xml:space="preserve"> chose to mitigate these common issues and move towards a more defensible, reliable, and dynamic process by integrating a data-driven approach includ</w:t>
      </w:r>
      <w:r w:rsidR="007522C8" w:rsidRPr="008A0812">
        <w:t>ing</w:t>
      </w:r>
      <w:r w:rsidRPr="008A0812">
        <w:t>:</w:t>
      </w:r>
    </w:p>
    <w:p w14:paraId="62155C3D" w14:textId="1F6DD0FB" w:rsidR="004A4B5A" w:rsidRPr="008A0812" w:rsidRDefault="004A4B5A" w:rsidP="004A4B5A">
      <w:pPr>
        <w:pStyle w:val="BodyText"/>
        <w:numPr>
          <w:ilvl w:val="0"/>
          <w:numId w:val="51"/>
        </w:numPr>
      </w:pPr>
      <w:r w:rsidRPr="008A0812">
        <w:t xml:space="preserve">Complete </w:t>
      </w:r>
      <w:r w:rsidR="007522C8" w:rsidRPr="008A0812">
        <w:t>a</w:t>
      </w:r>
      <w:r w:rsidRPr="008A0812">
        <w:t xml:space="preserve">sset </w:t>
      </w:r>
      <w:r w:rsidR="007522C8" w:rsidRPr="008A0812">
        <w:t>i</w:t>
      </w:r>
      <w:r w:rsidRPr="008A0812">
        <w:t>nventory</w:t>
      </w:r>
    </w:p>
    <w:p w14:paraId="68807A68" w14:textId="67BE9AE7" w:rsidR="004A4B5A" w:rsidRPr="008A0812" w:rsidRDefault="004A4B5A" w:rsidP="004A4B5A">
      <w:pPr>
        <w:pStyle w:val="BodyText"/>
        <w:numPr>
          <w:ilvl w:val="0"/>
          <w:numId w:val="51"/>
        </w:numPr>
      </w:pPr>
      <w:r w:rsidRPr="008A0812">
        <w:t xml:space="preserve">Risk </w:t>
      </w:r>
      <w:r w:rsidR="007522C8" w:rsidRPr="008A0812">
        <w:t>a</w:t>
      </w:r>
      <w:r w:rsidRPr="008A0812">
        <w:t>ssessment</w:t>
      </w:r>
    </w:p>
    <w:p w14:paraId="23E4D75A" w14:textId="46FD40F6" w:rsidR="004A4B5A" w:rsidRPr="008A0812" w:rsidRDefault="004A4B5A" w:rsidP="004A4B5A">
      <w:pPr>
        <w:pStyle w:val="BodyText"/>
        <w:numPr>
          <w:ilvl w:val="0"/>
          <w:numId w:val="51"/>
        </w:numPr>
      </w:pPr>
      <w:r w:rsidRPr="008A0812">
        <w:t xml:space="preserve">Focused </w:t>
      </w:r>
      <w:r w:rsidR="007522C8" w:rsidRPr="008A0812">
        <w:t>c</w:t>
      </w:r>
      <w:r w:rsidRPr="008A0812">
        <w:t xml:space="preserve">ondition </w:t>
      </w:r>
      <w:r w:rsidR="007522C8" w:rsidRPr="008A0812">
        <w:t>a</w:t>
      </w:r>
      <w:r w:rsidRPr="008A0812">
        <w:t>ssessment</w:t>
      </w:r>
    </w:p>
    <w:p w14:paraId="1D265CEE" w14:textId="77F5D194" w:rsidR="004A4B5A" w:rsidRPr="008A0812" w:rsidRDefault="004A4B5A" w:rsidP="004A4B5A">
      <w:pPr>
        <w:pStyle w:val="BodyText"/>
        <w:numPr>
          <w:ilvl w:val="0"/>
          <w:numId w:val="51"/>
        </w:numPr>
      </w:pPr>
      <w:r w:rsidRPr="008A0812">
        <w:t xml:space="preserve">Remaining </w:t>
      </w:r>
      <w:r w:rsidR="007522C8" w:rsidRPr="008A0812">
        <w:t>u</w:t>
      </w:r>
      <w:r w:rsidRPr="008A0812">
        <w:t xml:space="preserve">seful </w:t>
      </w:r>
      <w:r w:rsidR="007522C8" w:rsidRPr="008A0812">
        <w:t>l</w:t>
      </w:r>
      <w:r w:rsidRPr="008A0812">
        <w:t>ife</w:t>
      </w:r>
      <w:r w:rsidR="007522C8" w:rsidRPr="008A0812">
        <w:t xml:space="preserve"> assessment</w:t>
      </w:r>
    </w:p>
    <w:p w14:paraId="63C7EA01" w14:textId="46B6B34A" w:rsidR="004A4B5A" w:rsidRPr="008A0812" w:rsidRDefault="004A4B5A" w:rsidP="004A4B5A">
      <w:pPr>
        <w:pStyle w:val="BodyText"/>
        <w:numPr>
          <w:ilvl w:val="0"/>
          <w:numId w:val="51"/>
        </w:numPr>
      </w:pPr>
      <w:r w:rsidRPr="008A0812">
        <w:t xml:space="preserve">Asset </w:t>
      </w:r>
      <w:r w:rsidR="007522C8" w:rsidRPr="008A0812">
        <w:t>v</w:t>
      </w:r>
      <w:r w:rsidRPr="008A0812">
        <w:t>aluation</w:t>
      </w:r>
    </w:p>
    <w:p w14:paraId="07691683" w14:textId="540CB5F8" w:rsidR="004A4B5A" w:rsidRPr="008A0812" w:rsidRDefault="004A4B5A" w:rsidP="004A4B5A">
      <w:pPr>
        <w:pStyle w:val="BodyText"/>
        <w:numPr>
          <w:ilvl w:val="0"/>
          <w:numId w:val="51"/>
        </w:numPr>
      </w:pPr>
      <w:r w:rsidRPr="008A0812">
        <w:t xml:space="preserve">Interactive </w:t>
      </w:r>
      <w:r w:rsidR="007522C8" w:rsidRPr="008A0812">
        <w:t>a</w:t>
      </w:r>
      <w:r w:rsidRPr="008A0812">
        <w:t xml:space="preserve">sset </w:t>
      </w:r>
      <w:r w:rsidR="007522C8" w:rsidRPr="008A0812">
        <w:t>m</w:t>
      </w:r>
      <w:r w:rsidRPr="008A0812">
        <w:t xml:space="preserve">anagement </w:t>
      </w:r>
      <w:r w:rsidR="007522C8" w:rsidRPr="008A0812">
        <w:t>d</w:t>
      </w:r>
      <w:r w:rsidRPr="008A0812">
        <w:t>ashboards</w:t>
      </w:r>
    </w:p>
    <w:p w14:paraId="6688F0D0" w14:textId="37345A61" w:rsidR="008A7A60" w:rsidRPr="008A0812" w:rsidRDefault="007522C8" w:rsidP="008A7A60">
      <w:pPr>
        <w:pStyle w:val="BodyText"/>
      </w:pPr>
      <w:r w:rsidRPr="008A0812">
        <w:t xml:space="preserve">The master planning </w:t>
      </w:r>
      <w:r w:rsidR="008A7A60" w:rsidRPr="008A0812">
        <w:t>process</w:t>
      </w:r>
      <w:r w:rsidRPr="008A0812">
        <w:t xml:space="preserve"> used the analytical data to </w:t>
      </w:r>
      <w:r w:rsidR="008A7A60" w:rsidRPr="008A0812">
        <w:t xml:space="preserve">identify projects that </w:t>
      </w:r>
      <w:r w:rsidRPr="008A0812">
        <w:t>increase reliability</w:t>
      </w:r>
      <w:r w:rsidR="008A7A60" w:rsidRPr="008A0812">
        <w:t xml:space="preserve"> and </w:t>
      </w:r>
      <w:r w:rsidRPr="008A0812">
        <w:t xml:space="preserve">optimize plant performance. </w:t>
      </w:r>
      <w:r w:rsidR="008A7A60" w:rsidRPr="008A0812">
        <w:t xml:space="preserve">The Facilities Master Plan synthesizes the results of the </w:t>
      </w:r>
      <w:r w:rsidR="00DA12AA" w:rsidRPr="008A0812">
        <w:t>condition</w:t>
      </w:r>
      <w:r w:rsidR="008A7A60" w:rsidRPr="008A0812">
        <w:t xml:space="preserve"> assessment</w:t>
      </w:r>
      <w:r w:rsidR="00DA12AA" w:rsidRPr="008A0812">
        <w:t>s</w:t>
      </w:r>
      <w:r w:rsidR="008A7A60" w:rsidRPr="008A0812">
        <w:t xml:space="preserve"> with </w:t>
      </w:r>
      <w:r w:rsidR="00DA12AA" w:rsidRPr="008A0812">
        <w:t xml:space="preserve">future impacts from projects, planning assumptions, and </w:t>
      </w:r>
      <w:r w:rsidR="008A7A60" w:rsidRPr="008A0812">
        <w:t xml:space="preserve">proposed changes in regulatory compliance to identify </w:t>
      </w:r>
      <w:r w:rsidR="00DA12AA" w:rsidRPr="008A0812">
        <w:t>opportunities to optimize and increase efficiency and reduce operational costs</w:t>
      </w:r>
      <w:r w:rsidR="008A7A60" w:rsidRPr="008A0812">
        <w:t xml:space="preserve">. </w:t>
      </w:r>
      <w:r w:rsidRPr="008A0812">
        <w:t>By combining analytical data with planning assumptions</w:t>
      </w:r>
      <w:r w:rsidR="00140969" w:rsidRPr="008A0812">
        <w:t xml:space="preserve"> and goals, </w:t>
      </w:r>
      <w:r w:rsidR="00DA12AA" w:rsidRPr="008A0812">
        <w:t>capital improvement projects</w:t>
      </w:r>
      <w:r w:rsidR="00140969" w:rsidRPr="008A0812">
        <w:t xml:space="preserve"> were developed </w:t>
      </w:r>
      <w:r w:rsidR="008A7A60" w:rsidRPr="008A0812">
        <w:t>for the</w:t>
      </w:r>
      <w:r w:rsidR="00140969" w:rsidRPr="008A0812">
        <w:t xml:space="preserve"> </w:t>
      </w:r>
      <w:r w:rsidRPr="008A0812">
        <w:t xml:space="preserve">short-term within the next 5 years </w:t>
      </w:r>
      <w:r w:rsidR="008A7A60" w:rsidRPr="008A0812">
        <w:t xml:space="preserve">and the </w:t>
      </w:r>
      <w:r w:rsidRPr="008A0812">
        <w:t xml:space="preserve">long-term over the 2020 to 2040 planning horizon. </w:t>
      </w:r>
      <w:r w:rsidR="008A7A60" w:rsidRPr="008A0812">
        <w:t xml:space="preserve">The resultant recommended capital improvement projects will be used </w:t>
      </w:r>
      <w:r w:rsidR="00DA12AA" w:rsidRPr="008A0812">
        <w:t>to inform</w:t>
      </w:r>
      <w:r w:rsidR="008A7A60" w:rsidRPr="008A0812">
        <w:t xml:space="preserve"> future rate studies.  </w:t>
      </w:r>
    </w:p>
    <w:p w14:paraId="2DEEC5AE" w14:textId="4E8F964E" w:rsidR="008A7A60" w:rsidRPr="008A0812" w:rsidRDefault="00DA12AA" w:rsidP="008A7A60">
      <w:pPr>
        <w:pStyle w:val="BodyText"/>
      </w:pPr>
      <w:r w:rsidRPr="008A0812">
        <w:t>Specifically, the</w:t>
      </w:r>
      <w:r w:rsidR="008A7A60" w:rsidRPr="008A0812">
        <w:t xml:space="preserve"> Facilities Master Plan addresses the following projects </w:t>
      </w:r>
      <w:r w:rsidRPr="008A0812">
        <w:t xml:space="preserve">which </w:t>
      </w:r>
      <w:r w:rsidR="008A7A60" w:rsidRPr="008A0812">
        <w:t>are expected to have major impacts on SBWRP operations over the short-term:</w:t>
      </w:r>
    </w:p>
    <w:p w14:paraId="3C226E3E" w14:textId="27F11510" w:rsidR="008A7A60" w:rsidRPr="008A0812" w:rsidRDefault="008A7A60" w:rsidP="008A7A60">
      <w:pPr>
        <w:pStyle w:val="Bullet"/>
        <w:rPr>
          <w:rFonts w:asciiTheme="majorHAnsi" w:hAnsiTheme="majorHAnsi"/>
          <w:sz w:val="24"/>
          <w:szCs w:val="24"/>
        </w:rPr>
      </w:pPr>
      <w:r w:rsidRPr="008A0812">
        <w:t xml:space="preserve">Digester Gas Beneficial Use (DGBU) </w:t>
      </w:r>
      <w:r w:rsidR="003772F4" w:rsidRPr="008A0812">
        <w:t>p</w:t>
      </w:r>
      <w:r w:rsidRPr="008A0812">
        <w:t>rogram</w:t>
      </w:r>
      <w:r w:rsidR="003772F4" w:rsidRPr="008A0812">
        <w:t xml:space="preserve"> and resultant projects (see Section </w:t>
      </w:r>
      <w:r w:rsidR="003772F4" w:rsidRPr="008A0812">
        <w:fldChar w:fldCharType="begin"/>
      </w:r>
      <w:r w:rsidR="003772F4" w:rsidRPr="008A0812">
        <w:instrText xml:space="preserve"> REF _Ref36327764 \r \h </w:instrText>
      </w:r>
      <w:r w:rsidR="008A0812">
        <w:instrText xml:space="preserve"> \* MERGEFORMAT </w:instrText>
      </w:r>
      <w:r w:rsidR="003772F4" w:rsidRPr="008A0812">
        <w:fldChar w:fldCharType="separate"/>
      </w:r>
      <w:r w:rsidR="00AA68F8">
        <w:t>7.3</w:t>
      </w:r>
      <w:r w:rsidR="003772F4" w:rsidRPr="008A0812">
        <w:fldChar w:fldCharType="end"/>
      </w:r>
      <w:r w:rsidR="003772F4" w:rsidRPr="008A0812">
        <w:t>)</w:t>
      </w:r>
    </w:p>
    <w:p w14:paraId="0FEC05AF" w14:textId="3627C01A" w:rsidR="008A7A60" w:rsidRPr="008A0812" w:rsidRDefault="008A7A60" w:rsidP="008A7A60">
      <w:pPr>
        <w:pStyle w:val="Bullet"/>
        <w:rPr>
          <w:rFonts w:asciiTheme="majorHAnsi" w:hAnsiTheme="majorHAnsi"/>
          <w:sz w:val="24"/>
          <w:szCs w:val="24"/>
        </w:rPr>
      </w:pPr>
      <w:r w:rsidRPr="008A0812">
        <w:t>Clean Water Factory</w:t>
      </w:r>
      <w:r w:rsidR="003772F4" w:rsidRPr="008A0812">
        <w:t xml:space="preserve"> (CWF) recycled water project (see Section </w:t>
      </w:r>
      <w:r w:rsidR="003772F4" w:rsidRPr="008A0812">
        <w:fldChar w:fldCharType="begin"/>
      </w:r>
      <w:r w:rsidR="003772F4" w:rsidRPr="008A0812">
        <w:instrText xml:space="preserve"> REF _Ref20223594 \r \h </w:instrText>
      </w:r>
      <w:r w:rsidR="008A0812">
        <w:instrText xml:space="preserve"> \* MERGEFORMAT </w:instrText>
      </w:r>
      <w:r w:rsidR="003772F4" w:rsidRPr="008A0812">
        <w:fldChar w:fldCharType="separate"/>
      </w:r>
      <w:r w:rsidR="00AA68F8">
        <w:t>5.1.3</w:t>
      </w:r>
      <w:r w:rsidR="003772F4" w:rsidRPr="008A0812">
        <w:fldChar w:fldCharType="end"/>
      </w:r>
      <w:r w:rsidR="003772F4" w:rsidRPr="008A0812">
        <w:t>)</w:t>
      </w:r>
    </w:p>
    <w:p w14:paraId="6CA2D726" w14:textId="553F7529" w:rsidR="008A7A60" w:rsidRPr="008A0812" w:rsidRDefault="008A7A60" w:rsidP="008A7A60">
      <w:pPr>
        <w:pStyle w:val="Bullet"/>
        <w:rPr>
          <w:rFonts w:asciiTheme="majorHAnsi" w:hAnsiTheme="majorHAnsi"/>
          <w:sz w:val="24"/>
          <w:szCs w:val="24"/>
        </w:rPr>
      </w:pPr>
      <w:r w:rsidRPr="008A0812">
        <w:t>Southern California Edison (SCE) Primary Metering Project</w:t>
      </w:r>
      <w:r w:rsidR="003772F4" w:rsidRPr="008A0812">
        <w:t xml:space="preserve"> </w:t>
      </w:r>
    </w:p>
    <w:p w14:paraId="3E24BF12" w14:textId="77777777" w:rsidR="008A7A60" w:rsidRPr="008A0812" w:rsidRDefault="008A7A60" w:rsidP="008A7A60">
      <w:pPr>
        <w:pStyle w:val="Bullet"/>
        <w:rPr>
          <w:rFonts w:asciiTheme="majorHAnsi" w:hAnsiTheme="majorHAnsi"/>
          <w:sz w:val="24"/>
          <w:szCs w:val="24"/>
        </w:rPr>
      </w:pPr>
      <w:r w:rsidRPr="008A0812">
        <w:t>EVWD SNRC, resulting in a 6 mgd reduction of influent flow and $8 million reduction in revenue</w:t>
      </w:r>
    </w:p>
    <w:p w14:paraId="26144C63" w14:textId="1F8EC0FF" w:rsidR="00E32D07" w:rsidRPr="008A0812" w:rsidRDefault="007522C8" w:rsidP="00E32D07">
      <w:pPr>
        <w:pStyle w:val="BodyText"/>
      </w:pPr>
      <w:r w:rsidRPr="008A0812">
        <w:t xml:space="preserve">The </w:t>
      </w:r>
      <w:r w:rsidR="00E32D07" w:rsidRPr="008A0812">
        <w:t xml:space="preserve">analyses </w:t>
      </w:r>
      <w:r w:rsidRPr="008A0812">
        <w:t xml:space="preserve">that </w:t>
      </w:r>
      <w:r w:rsidR="00E32D07" w:rsidRPr="008A0812">
        <w:t>provide the foundation of the Facilities Master Plan</w:t>
      </w:r>
      <w:r w:rsidRPr="008A0812">
        <w:t xml:space="preserve"> are</w:t>
      </w:r>
      <w:r w:rsidR="00E32D07" w:rsidRPr="008A0812">
        <w:t xml:space="preserve"> illustrated i</w:t>
      </w:r>
      <w:r w:rsidR="00E43A36" w:rsidRPr="008A0812">
        <w:t xml:space="preserve">n </w:t>
      </w:r>
      <w:r w:rsidR="00E43A36" w:rsidRPr="008A0812">
        <w:fldChar w:fldCharType="begin"/>
      </w:r>
      <w:r w:rsidR="00E43A36" w:rsidRPr="008A0812">
        <w:instrText xml:space="preserve"> REF _Ref36298402 \h </w:instrText>
      </w:r>
      <w:r w:rsidR="008A0812">
        <w:instrText xml:space="preserve"> \* MERGEFORMAT </w:instrText>
      </w:r>
      <w:r w:rsidR="00E43A36" w:rsidRPr="008A0812">
        <w:fldChar w:fldCharType="separate"/>
      </w:r>
      <w:r w:rsidR="00AA68F8" w:rsidRPr="008A0812">
        <w:t xml:space="preserve">Figure </w:t>
      </w:r>
      <w:r w:rsidR="00AA68F8">
        <w:rPr>
          <w:noProof/>
        </w:rPr>
        <w:t>1</w:t>
      </w:r>
      <w:r w:rsidR="00AA68F8">
        <w:rPr>
          <w:noProof/>
        </w:rPr>
        <w:noBreakHyphen/>
        <w:t>1</w:t>
      </w:r>
      <w:r w:rsidR="00E43A36" w:rsidRPr="008A0812">
        <w:fldChar w:fldCharType="end"/>
      </w:r>
      <w:r w:rsidR="00E43A36" w:rsidRPr="008A0812">
        <w:t>.</w:t>
      </w:r>
      <w:bookmarkStart w:id="9" w:name="_Hlk20058304"/>
    </w:p>
    <w:p w14:paraId="1D636F65" w14:textId="16FE9CB9" w:rsidR="0011384E" w:rsidRPr="008A0812" w:rsidRDefault="00E43A36" w:rsidP="00E43A36">
      <w:pPr>
        <w:pStyle w:val="FigureHeading"/>
      </w:pPr>
      <w:bookmarkStart w:id="10" w:name="_Ref36298402"/>
      <w:bookmarkStart w:id="11" w:name="_Toc36413927"/>
      <w:bookmarkStart w:id="12" w:name="_Toc41684654"/>
      <w:r w:rsidRPr="008A0812">
        <w:t xml:space="preserve">Figure </w:t>
      </w:r>
      <w:fldSimple w:instr=" STYLEREF 1 \s ">
        <w:r w:rsidR="00AA68F8">
          <w:rPr>
            <w:noProof/>
          </w:rPr>
          <w:t>1</w:t>
        </w:r>
      </w:fldSimple>
      <w:r w:rsidR="00B233D1">
        <w:noBreakHyphen/>
      </w:r>
      <w:fldSimple w:instr=" SEQ Figure \* ARABIC \s 1 ">
        <w:r w:rsidR="00AA68F8">
          <w:rPr>
            <w:noProof/>
          </w:rPr>
          <w:t>1</w:t>
        </w:r>
      </w:fldSimple>
      <w:bookmarkEnd w:id="10"/>
      <w:r w:rsidRPr="008A0812">
        <w:t>: Facilities Master Plan Development Approach</w:t>
      </w:r>
      <w:bookmarkEnd w:id="11"/>
      <w:bookmarkEnd w:id="12"/>
    </w:p>
    <w:p w14:paraId="55C24451" w14:textId="5990739A" w:rsidR="00E32D07" w:rsidRPr="008A0812" w:rsidRDefault="00E32D07" w:rsidP="00262460">
      <w:pPr>
        <w:jc w:val="center"/>
      </w:pPr>
      <w:bookmarkStart w:id="13" w:name="_Toc36298514"/>
      <w:bookmarkEnd w:id="9"/>
      <w:r>
        <w:rPr>
          <w:noProof/>
        </w:rPr>
        <w:drawing>
          <wp:inline distT="0" distB="0" distL="0" distR="0" wp14:anchorId="63D77B9F" wp14:editId="7A0426C8">
            <wp:extent cx="5943600" cy="1567160"/>
            <wp:effectExtent l="0" t="0" r="0" b="0"/>
            <wp:docPr id="785767730" name="Picture 1" descr="C:\Users\jhodgens\AppData\Local\Microsoft\Windows\INetCache\Content.MSO\D5AEBD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5943600" cy="1567160"/>
                    </a:xfrm>
                    <a:prstGeom prst="rect">
                      <a:avLst/>
                    </a:prstGeom>
                  </pic:spPr>
                </pic:pic>
              </a:graphicData>
            </a:graphic>
          </wp:inline>
        </w:drawing>
      </w:r>
      <w:bookmarkEnd w:id="13"/>
    </w:p>
    <w:p w14:paraId="3538CC93" w14:textId="4DB817A4" w:rsidR="008F4A44" w:rsidRPr="008A0812" w:rsidRDefault="00AC1A3C" w:rsidP="008F4A44">
      <w:pPr>
        <w:pStyle w:val="BodyText"/>
      </w:pPr>
      <w:r w:rsidRPr="008A0812">
        <w:t xml:space="preserve">The Facilities Master Plan also </w:t>
      </w:r>
      <w:r w:rsidR="008F4A44" w:rsidRPr="008A0812">
        <w:t>includes an assessment of</w:t>
      </w:r>
      <w:r w:rsidR="00186772" w:rsidRPr="008A0812">
        <w:t xml:space="preserve"> t</w:t>
      </w:r>
      <w:r w:rsidR="002A52FF" w:rsidRPr="008A0812">
        <w:t>wo important water quality parameters: total dissolved solids (TDS) and total inorganic nitrogen (TIN)</w:t>
      </w:r>
      <w:r w:rsidR="00084E3F" w:rsidRPr="008A0812">
        <w:t xml:space="preserve">. TDS and TIN levels are </w:t>
      </w:r>
      <w:r w:rsidR="00503724" w:rsidRPr="008A0812">
        <w:t xml:space="preserve">increasing </w:t>
      </w:r>
      <w:r w:rsidR="00084E3F" w:rsidRPr="008A0812">
        <w:t xml:space="preserve">at the SBWRP </w:t>
      </w:r>
      <w:r w:rsidR="00503724" w:rsidRPr="008A0812">
        <w:t xml:space="preserve">primarily </w:t>
      </w:r>
      <w:r w:rsidR="00084E3F" w:rsidRPr="008A0812">
        <w:t xml:space="preserve">from </w:t>
      </w:r>
      <w:r w:rsidR="00503724" w:rsidRPr="008A0812">
        <w:t xml:space="preserve">changes in source water quality and decreasing per capita water usage </w:t>
      </w:r>
      <w:r w:rsidR="00DA12AA" w:rsidRPr="008A0812">
        <w:t>as a result of water</w:t>
      </w:r>
      <w:r w:rsidR="00503724" w:rsidRPr="008A0812">
        <w:t xml:space="preserve"> conservation. </w:t>
      </w:r>
      <w:r w:rsidR="00DE1D89" w:rsidRPr="008A0812">
        <w:t xml:space="preserve">TDS </w:t>
      </w:r>
      <w:r w:rsidR="00A15946" w:rsidRPr="008A0812">
        <w:t xml:space="preserve">and TIN </w:t>
      </w:r>
      <w:r w:rsidR="00DE1D89" w:rsidRPr="008A0812">
        <w:t xml:space="preserve">concentrations are important to </w:t>
      </w:r>
      <w:r w:rsidR="00084E3F" w:rsidRPr="008A0812">
        <w:t>evaluate</w:t>
      </w:r>
      <w:r w:rsidR="00DE1D89" w:rsidRPr="008A0812">
        <w:t xml:space="preserve"> because elevated concentrations </w:t>
      </w:r>
      <w:r w:rsidR="008F4A44" w:rsidRPr="008A0812">
        <w:t xml:space="preserve">have the potential to </w:t>
      </w:r>
      <w:r w:rsidR="00DE1D89" w:rsidRPr="008A0812">
        <w:t xml:space="preserve">impact </w:t>
      </w:r>
      <w:r w:rsidR="008F4A44" w:rsidRPr="008A0812">
        <w:t>wastewater treatment processes, infrastructure integrity, the use of recycled water, and the ability to practice environmental discharge.</w:t>
      </w:r>
      <w:r w:rsidR="00DE1D89" w:rsidRPr="008A0812">
        <w:t xml:space="preserve"> </w:t>
      </w:r>
      <w:r w:rsidR="008F4A44" w:rsidRPr="008A0812">
        <w:t xml:space="preserve">TDS and TIN concentrations </w:t>
      </w:r>
      <w:r w:rsidR="00DA12AA" w:rsidRPr="008A0812">
        <w:t xml:space="preserve">are projected </w:t>
      </w:r>
      <w:r w:rsidR="00503724" w:rsidRPr="008A0812">
        <w:t>for the 2020 to 2040 planning h</w:t>
      </w:r>
      <w:r w:rsidR="008F4A44" w:rsidRPr="008A0812">
        <w:t>orizon</w:t>
      </w:r>
      <w:r w:rsidR="00503724" w:rsidRPr="008A0812">
        <w:t xml:space="preserve"> to support </w:t>
      </w:r>
      <w:r w:rsidR="00DA12AA" w:rsidRPr="008A0812">
        <w:t>the Department’s</w:t>
      </w:r>
      <w:r w:rsidR="00503724" w:rsidRPr="008A0812">
        <w:t xml:space="preserve"> planning and response to changing wastewater quality</w:t>
      </w:r>
      <w:r w:rsidR="008F4A44" w:rsidRPr="008A0812">
        <w:t>.</w:t>
      </w:r>
      <w:r w:rsidR="00503724" w:rsidRPr="008A0812">
        <w:t xml:space="preserve"> The TDS and TIN Assessment Technical Memorandum </w:t>
      </w:r>
      <w:sdt>
        <w:sdtPr>
          <w:id w:val="-315959798"/>
          <w:citation/>
        </w:sdtPr>
        <w:sdtEndPr/>
        <w:sdtContent>
          <w:r w:rsidR="004835E8" w:rsidRPr="008A0812">
            <w:fldChar w:fldCharType="begin"/>
          </w:r>
          <w:r w:rsidR="004835E8" w:rsidRPr="008A0812">
            <w:instrText xml:space="preserve"> CITATION Haz20 \l 1033 </w:instrText>
          </w:r>
          <w:r w:rsidR="004835E8" w:rsidRPr="008A0812">
            <w:fldChar w:fldCharType="separate"/>
          </w:r>
          <w:r w:rsidR="0083086F">
            <w:rPr>
              <w:noProof/>
            </w:rPr>
            <w:t>(Hazen and Sawyer, 2020)</w:t>
          </w:r>
          <w:r w:rsidR="004835E8" w:rsidRPr="008A0812">
            <w:fldChar w:fldCharType="end"/>
          </w:r>
        </w:sdtContent>
      </w:sdt>
      <w:r w:rsidR="00084E3F" w:rsidRPr="008A0812">
        <w:t xml:space="preserve"> </w:t>
      </w:r>
      <w:r w:rsidR="00503724" w:rsidRPr="008A0812">
        <w:t xml:space="preserve">is </w:t>
      </w:r>
      <w:r w:rsidR="00084E3F" w:rsidRPr="008A0812">
        <w:t>attached as A</w:t>
      </w:r>
      <w:r w:rsidR="00503724" w:rsidRPr="008A0812">
        <w:t xml:space="preserve">ppendix A. </w:t>
      </w:r>
    </w:p>
    <w:p w14:paraId="0B401056" w14:textId="22A828DB" w:rsidR="00E32D07" w:rsidRPr="008A0812" w:rsidRDefault="00E32D07" w:rsidP="00E32D07">
      <w:pPr>
        <w:pStyle w:val="Heading2"/>
      </w:pPr>
      <w:bookmarkStart w:id="14" w:name="_Toc41680795"/>
      <w:bookmarkStart w:id="15" w:name="_Hlk41481249"/>
      <w:r w:rsidRPr="008A0812">
        <w:t>Facility Description</w:t>
      </w:r>
      <w:bookmarkEnd w:id="14"/>
    </w:p>
    <w:p w14:paraId="2A96F35E" w14:textId="25326713" w:rsidR="00E32D07" w:rsidRPr="008A0812" w:rsidRDefault="00E32D07" w:rsidP="00881AFD">
      <w:pPr>
        <w:pStyle w:val="BodyText"/>
      </w:pPr>
      <w:r w:rsidRPr="008A0812">
        <w:t xml:space="preserve">The </w:t>
      </w:r>
      <w:r w:rsidR="008B14A6" w:rsidRPr="008A0812">
        <w:t>SB</w:t>
      </w:r>
      <w:r w:rsidRPr="008A0812">
        <w:t xml:space="preserve">WRP is located at 399 Chandler Place northeast of Interstate 215 (I-215) and I-10 at the confluence of East Twin Creek and the Santa Ana River. The SBWRP is situated on a site of approximately 60 acres that is bordered by Orange Show Road to the north; East Twin Creek to the east; the former San Bernardino Golf Club to the south/southwest; and developed industrial parcels to the west/northwest. Neighboring businesses include Durham School Bus Services and San Bernardino Animal Control. An aerial view of the existing facilities is shown </w:t>
      </w:r>
      <w:r w:rsidR="00401EAF" w:rsidRPr="008A0812">
        <w:t xml:space="preserve">on </w:t>
      </w:r>
      <w:r w:rsidR="00401EAF" w:rsidRPr="008A0812">
        <w:fldChar w:fldCharType="begin"/>
      </w:r>
      <w:r w:rsidR="00401EAF" w:rsidRPr="008A0812">
        <w:instrText xml:space="preserve"> REF _Ref36299213 \h </w:instrText>
      </w:r>
      <w:r w:rsidR="008A0812">
        <w:instrText xml:space="preserve"> \* MERGEFORMAT </w:instrText>
      </w:r>
      <w:r w:rsidR="00401EAF" w:rsidRPr="008A0812">
        <w:fldChar w:fldCharType="separate"/>
      </w:r>
      <w:r w:rsidR="00AA68F8" w:rsidRPr="008A0812">
        <w:t xml:space="preserve">Figure </w:t>
      </w:r>
      <w:r w:rsidR="00AA68F8">
        <w:rPr>
          <w:noProof/>
        </w:rPr>
        <w:t>1</w:t>
      </w:r>
      <w:r w:rsidR="00AA68F8">
        <w:rPr>
          <w:noProof/>
        </w:rPr>
        <w:noBreakHyphen/>
        <w:t>2</w:t>
      </w:r>
      <w:r w:rsidR="00401EAF" w:rsidRPr="008A0812">
        <w:fldChar w:fldCharType="end"/>
      </w:r>
      <w:r w:rsidR="00401EAF" w:rsidRPr="008A0812">
        <w:t xml:space="preserve"> </w:t>
      </w:r>
      <w:bookmarkStart w:id="16" w:name="_Hlk20059311"/>
      <w:r w:rsidR="00486199" w:rsidRPr="008A0812">
        <w:t xml:space="preserve">(below) </w:t>
      </w:r>
      <w:r w:rsidR="00D32616" w:rsidRPr="008A0812">
        <w:t xml:space="preserve">and </w:t>
      </w:r>
      <w:r w:rsidR="006F4C33" w:rsidRPr="008A0812">
        <w:fldChar w:fldCharType="begin"/>
      </w:r>
      <w:r w:rsidR="006F4C33" w:rsidRPr="008A0812">
        <w:instrText xml:space="preserve"> REF _Ref20474022 \h </w:instrText>
      </w:r>
      <w:r w:rsidR="008A0812">
        <w:instrText xml:space="preserve"> \* MERGEFORMAT </w:instrText>
      </w:r>
      <w:r w:rsidR="006F4C33" w:rsidRPr="008A0812">
        <w:fldChar w:fldCharType="separate"/>
      </w:r>
      <w:r w:rsidR="00AA68F8" w:rsidRPr="008A0812">
        <w:t xml:space="preserve">Exhibit </w:t>
      </w:r>
      <w:r w:rsidR="006F4C33" w:rsidRPr="008A0812">
        <w:fldChar w:fldCharType="end"/>
      </w:r>
      <w:r w:rsidR="00486199" w:rsidRPr="008A0812">
        <w:t>1 (</w:t>
      </w:r>
      <w:r w:rsidR="006F4C33" w:rsidRPr="008A0812">
        <w:t>attached</w:t>
      </w:r>
      <w:r w:rsidR="00486199" w:rsidRPr="008A0812">
        <w:t>)</w:t>
      </w:r>
      <w:r w:rsidRPr="008A0812">
        <w:t xml:space="preserve">. </w:t>
      </w:r>
    </w:p>
    <w:p w14:paraId="02AB360B" w14:textId="23A25AA6" w:rsidR="00262460" w:rsidRPr="008A0812" w:rsidRDefault="00262460" w:rsidP="00401EAF">
      <w:pPr>
        <w:pStyle w:val="FigureHeading"/>
      </w:pPr>
      <w:bookmarkStart w:id="17" w:name="_Ref36299213"/>
      <w:bookmarkStart w:id="18" w:name="_Toc36413928"/>
      <w:bookmarkStart w:id="19" w:name="_Toc41684655"/>
      <w:r w:rsidRPr="008A0812">
        <w:t xml:space="preserve">Figure </w:t>
      </w:r>
      <w:fldSimple w:instr=" STYLEREF 1 \s ">
        <w:r w:rsidR="00AA68F8">
          <w:rPr>
            <w:noProof/>
          </w:rPr>
          <w:t>1</w:t>
        </w:r>
      </w:fldSimple>
      <w:r w:rsidR="00B233D1">
        <w:noBreakHyphen/>
      </w:r>
      <w:fldSimple w:instr=" SEQ Figure \* ARABIC \s 1 ">
        <w:r w:rsidR="00AA68F8">
          <w:rPr>
            <w:noProof/>
          </w:rPr>
          <w:t>2</w:t>
        </w:r>
      </w:fldSimple>
      <w:bookmarkEnd w:id="17"/>
      <w:r w:rsidRPr="008A0812">
        <w:t xml:space="preserve">: </w:t>
      </w:r>
      <w:r w:rsidR="00401EAF" w:rsidRPr="008A0812">
        <w:t>SBWRP Facilities Aerial View Looking Northeast</w:t>
      </w:r>
      <w:bookmarkEnd w:id="18"/>
      <w:bookmarkEnd w:id="19"/>
    </w:p>
    <w:p w14:paraId="48FD98D3" w14:textId="096A6638" w:rsidR="00D32616" w:rsidRPr="008A0812" w:rsidRDefault="005F0BD0" w:rsidP="00D32616">
      <w:pPr>
        <w:pStyle w:val="BodyText"/>
        <w:jc w:val="center"/>
      </w:pPr>
      <w:r>
        <w:rPr>
          <w:noProof/>
        </w:rPr>
        <w:drawing>
          <wp:inline distT="0" distB="0" distL="0" distR="0" wp14:anchorId="51E0284B" wp14:editId="4F8A7D1C">
            <wp:extent cx="5943600" cy="3769995"/>
            <wp:effectExtent l="0" t="0" r="0" b="1905"/>
            <wp:docPr id="20607768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5943600" cy="3769995"/>
                    </a:xfrm>
                    <a:prstGeom prst="rect">
                      <a:avLst/>
                    </a:prstGeom>
                  </pic:spPr>
                </pic:pic>
              </a:graphicData>
            </a:graphic>
          </wp:inline>
        </w:drawing>
      </w:r>
    </w:p>
    <w:p w14:paraId="591232B3" w14:textId="505F9678" w:rsidR="00E32D07" w:rsidRPr="008A0812" w:rsidRDefault="00701421" w:rsidP="00701421">
      <w:pPr>
        <w:pStyle w:val="Heading2"/>
      </w:pPr>
      <w:bookmarkStart w:id="20" w:name="_Toc41680796"/>
      <w:bookmarkEnd w:id="16"/>
      <w:r w:rsidRPr="008A0812">
        <w:t>Plant Overview and Upgrade History</w:t>
      </w:r>
      <w:bookmarkEnd w:id="20"/>
    </w:p>
    <w:p w14:paraId="4231CB3E" w14:textId="2B9EA638" w:rsidR="00701421" w:rsidRPr="008A0812" w:rsidRDefault="00701421" w:rsidP="009913CC">
      <w:pPr>
        <w:pStyle w:val="BodyText"/>
      </w:pPr>
      <w:r w:rsidRPr="008A0812">
        <w:t>The SBWRP was originally constructed in 1958 to provide secondary treatment of wastewater prior to discharge to the Santa Ana River. The original plant consisted of a single primary clarifier surrounded by aeration basins divided into 10 cells</w:t>
      </w:r>
      <w:r w:rsidR="00811B65" w:rsidRPr="008A0812">
        <w:t>,</w:t>
      </w:r>
      <w:r w:rsidRPr="008A0812">
        <w:t xml:space="preserve"> and a secondary clarifier. This system, called “Unit 1 Claerator,” had a capacity of 13 mgd. </w:t>
      </w:r>
      <w:r w:rsidR="00D32616" w:rsidRPr="008A0812">
        <w:t xml:space="preserve">The original 1958 plant had two anaerobic digesters (Digester A and Digester B). To address hydraulic capacity issues, a second secondary clarifier was added to Unit 1 in 1987. </w:t>
      </w:r>
    </w:p>
    <w:p w14:paraId="6F3FD781" w14:textId="77777777" w:rsidR="00486199" w:rsidRPr="008A0812" w:rsidRDefault="0083354F" w:rsidP="00701421">
      <w:pPr>
        <w:pStyle w:val="BodyText"/>
      </w:pPr>
      <w:r w:rsidRPr="008A0812">
        <w:t xml:space="preserve">In 1968, the SBWRP was expanded by an additional 15 mgd for a total rated secondary treatment capacity of 28 mgd </w:t>
      </w:r>
      <w:r w:rsidR="00486199" w:rsidRPr="008A0812">
        <w:t xml:space="preserve">by constructing two more units, designated Units 2 North and South, </w:t>
      </w:r>
      <w:r w:rsidRPr="008A0812">
        <w:t>and a 3 mgd tertiary treatment facility</w:t>
      </w:r>
      <w:r w:rsidR="00486199" w:rsidRPr="008A0812">
        <w:t>.</w:t>
      </w:r>
      <w:r w:rsidRPr="008A0812">
        <w:t xml:space="preserve"> </w:t>
      </w:r>
      <w:r w:rsidR="00486199" w:rsidRPr="008A0812">
        <w:t>Unit 2 North and Unit 2 South are</w:t>
      </w:r>
      <w:r w:rsidR="00D32616" w:rsidRPr="008A0812">
        <w:t xml:space="preserve"> </w:t>
      </w:r>
      <w:r w:rsidR="00811B65" w:rsidRPr="008A0812">
        <w:t>like</w:t>
      </w:r>
      <w:r w:rsidR="00D32616" w:rsidRPr="008A0812">
        <w:t xml:space="preserve"> Unit 1, but smaller, each adding 7.5 mgd of treatment capacity. </w:t>
      </w:r>
    </w:p>
    <w:p w14:paraId="24E29DF6" w14:textId="77777777" w:rsidR="00486199" w:rsidRPr="008A0812" w:rsidRDefault="00701421" w:rsidP="00701421">
      <w:pPr>
        <w:pStyle w:val="BodyText"/>
      </w:pPr>
      <w:r w:rsidRPr="008A0812">
        <w:t>Several solids handling projects in the 19</w:t>
      </w:r>
      <w:r w:rsidR="00F131F6" w:rsidRPr="008A0812">
        <w:t>8</w:t>
      </w:r>
      <w:r w:rsidRPr="008A0812">
        <w:t xml:space="preserve">0s added </w:t>
      </w:r>
      <w:r w:rsidR="00EC0E30" w:rsidRPr="008A0812">
        <w:t>d</w:t>
      </w:r>
      <w:r w:rsidRPr="008A0812">
        <w:t xml:space="preserve">issolved </w:t>
      </w:r>
      <w:r w:rsidR="00EC0E30" w:rsidRPr="008A0812">
        <w:t>a</w:t>
      </w:r>
      <w:r w:rsidRPr="008A0812">
        <w:t xml:space="preserve">ir </w:t>
      </w:r>
      <w:r w:rsidR="00EC0E30" w:rsidRPr="008A0812">
        <w:t>f</w:t>
      </w:r>
      <w:r w:rsidRPr="008A0812">
        <w:t xml:space="preserve">loatation </w:t>
      </w:r>
      <w:r w:rsidR="00D32616" w:rsidRPr="008A0812">
        <w:t xml:space="preserve">(DAF) </w:t>
      </w:r>
      <w:r w:rsidRPr="008A0812">
        <w:t>thickeners, two more digesters</w:t>
      </w:r>
      <w:r w:rsidR="005F0BD0" w:rsidRPr="008A0812">
        <w:t xml:space="preserve"> and</w:t>
      </w:r>
      <w:r w:rsidRPr="008A0812">
        <w:t xml:space="preserve"> belt filter presses</w:t>
      </w:r>
      <w:r w:rsidR="005F0BD0" w:rsidRPr="008A0812">
        <w:t xml:space="preserve">. Odor handling facilities and headworks facilities were also added in the 1980s. </w:t>
      </w:r>
    </w:p>
    <w:p w14:paraId="3C59DFAD" w14:textId="57FAB0A3" w:rsidR="00486199" w:rsidRPr="008A0812" w:rsidRDefault="00F11F10" w:rsidP="00701421">
      <w:pPr>
        <w:pStyle w:val="BodyText"/>
      </w:pPr>
      <w:r w:rsidRPr="008A0812">
        <w:t xml:space="preserve">The Primary Hydraulic Reliability Project was completed in the 1990s and included the Unit 3 Primary Clarifier. </w:t>
      </w:r>
      <w:r w:rsidR="005F0BD0" w:rsidRPr="008A0812">
        <w:t xml:space="preserve">Two </w:t>
      </w:r>
      <w:r w:rsidR="00701421" w:rsidRPr="008A0812">
        <w:t>centrifuges</w:t>
      </w:r>
      <w:r w:rsidR="005F0BD0" w:rsidRPr="008A0812">
        <w:t xml:space="preserve"> were </w:t>
      </w:r>
      <w:r w:rsidR="00141720" w:rsidRPr="008A0812">
        <w:t>installed</w:t>
      </w:r>
      <w:r w:rsidR="005F0BD0" w:rsidRPr="008A0812">
        <w:t xml:space="preserve"> in 199</w:t>
      </w:r>
      <w:r w:rsidR="00141720" w:rsidRPr="008A0812">
        <w:t>7 and later replaced in 2013</w:t>
      </w:r>
      <w:r w:rsidR="00701421" w:rsidRPr="008A0812">
        <w:t xml:space="preserve">. </w:t>
      </w:r>
      <w:r w:rsidR="00BC1B06" w:rsidRPr="008A0812">
        <w:t>T</w:t>
      </w:r>
      <w:r w:rsidR="00701421" w:rsidRPr="008A0812">
        <w:t>o provide better treatment of the high ammonia recycle from the centrifuges, the Nitrogen Removal Carousel (NRC) was added, which consisted of a pre-anoxic tank followed by an oxidation ditch.</w:t>
      </w:r>
      <w:r w:rsidR="005F0BD0" w:rsidRPr="008A0812">
        <w:t xml:space="preserve"> </w:t>
      </w:r>
      <w:r w:rsidRPr="008A0812">
        <w:t xml:space="preserve">Unit 1 was rehabilitated in 2014/2015. </w:t>
      </w:r>
    </w:p>
    <w:p w14:paraId="15BDD2A5" w14:textId="2456CCE7" w:rsidR="0083354F" w:rsidRPr="008A0812" w:rsidRDefault="005F0BD0" w:rsidP="00701421">
      <w:pPr>
        <w:pStyle w:val="BodyText"/>
      </w:pPr>
      <w:r w:rsidRPr="008A0812">
        <w:t xml:space="preserve">The permitted treatment capacity of the </w:t>
      </w:r>
      <w:r w:rsidR="0083354F" w:rsidRPr="008A0812">
        <w:t xml:space="preserve">SBWRP </w:t>
      </w:r>
      <w:r w:rsidRPr="008A0812">
        <w:t>is currently 33 mgd; however, nutrient removal constraints are limiting capacity</w:t>
      </w:r>
      <w:r w:rsidR="00527FEE" w:rsidRPr="008A0812">
        <w:t xml:space="preserve"> (see </w:t>
      </w:r>
      <w:r w:rsidRPr="008A0812">
        <w:t xml:space="preserve">Section </w:t>
      </w:r>
      <w:r w:rsidR="00CB2D43">
        <w:fldChar w:fldCharType="begin"/>
      </w:r>
      <w:r w:rsidR="00CB2D43">
        <w:instrText xml:space="preserve"> REF _Ref40435996 \r \h </w:instrText>
      </w:r>
      <w:r w:rsidR="00CB2D43">
        <w:fldChar w:fldCharType="separate"/>
      </w:r>
      <w:r w:rsidR="00AA68F8">
        <w:t>8.5</w:t>
      </w:r>
      <w:r w:rsidR="00CB2D43">
        <w:fldChar w:fldCharType="end"/>
      </w:r>
      <w:r w:rsidR="00527FEE" w:rsidRPr="008A0812">
        <w:t>)</w:t>
      </w:r>
      <w:r w:rsidRPr="008A0812">
        <w:t>.</w:t>
      </w:r>
    </w:p>
    <w:p w14:paraId="277C4B5A" w14:textId="49FB12A1" w:rsidR="00701421" w:rsidRPr="008A0812" w:rsidRDefault="00701421" w:rsidP="00701421">
      <w:pPr>
        <w:pStyle w:val="Heading2"/>
      </w:pPr>
      <w:bookmarkStart w:id="21" w:name="_Toc41680797"/>
      <w:r w:rsidRPr="008A0812">
        <w:t>Existing Facilities</w:t>
      </w:r>
      <w:bookmarkEnd w:id="21"/>
    </w:p>
    <w:p w14:paraId="172BA0D5" w14:textId="2BBCDCED" w:rsidR="00701421" w:rsidRPr="008A0812" w:rsidRDefault="00701421" w:rsidP="00701421">
      <w:pPr>
        <w:pStyle w:val="BodyText"/>
      </w:pPr>
      <w:r w:rsidRPr="008A0812">
        <w:t xml:space="preserve">The SBWRP consists of five major systems: 1) preliminary processes; 2) primary treatment; 3) secondary treatment; 4) solids treatment; and 5) discharge. Raw influent wastewater passes through the headworks/preliminary processes, and then is split between Unit 1, Unit 2N, and Unit 2S primary clarifiers and aeration basin units as well as the NRC. </w:t>
      </w:r>
      <w:bookmarkStart w:id="22" w:name="_Hlk41481702"/>
      <w:r w:rsidRPr="008A0812">
        <w:t>The secondary treatment process includes concentric ring step-feed aeration basins, followed by secondary clarifiers.</w:t>
      </w:r>
      <w:r w:rsidR="000D2D44" w:rsidRPr="008A0812">
        <w:t xml:space="preserve"> </w:t>
      </w:r>
      <w:bookmarkEnd w:id="22"/>
    </w:p>
    <w:p w14:paraId="20C3E4F0" w14:textId="77777777" w:rsidR="009F2C13" w:rsidRPr="008A0812" w:rsidRDefault="00701421" w:rsidP="00701421">
      <w:pPr>
        <w:pStyle w:val="BodyText"/>
      </w:pPr>
      <w:r w:rsidRPr="008A0812">
        <w:t xml:space="preserve">The solid treatment stream includes managing both primary sludge and </w:t>
      </w:r>
      <w:r w:rsidR="00EC0E30" w:rsidRPr="008A0812">
        <w:t>w</w:t>
      </w:r>
      <w:r w:rsidRPr="008A0812">
        <w:t xml:space="preserve">aste </w:t>
      </w:r>
      <w:r w:rsidR="00EC0E30" w:rsidRPr="008A0812">
        <w:t>a</w:t>
      </w:r>
      <w:r w:rsidRPr="008A0812">
        <w:t xml:space="preserve">ctivated sludge (WAS). WAS is thickened through </w:t>
      </w:r>
      <w:r w:rsidR="00EC0E30" w:rsidRPr="008A0812">
        <w:t>D</w:t>
      </w:r>
      <w:r w:rsidR="0078234A" w:rsidRPr="008A0812">
        <w:t>AF t</w:t>
      </w:r>
      <w:r w:rsidRPr="008A0812">
        <w:t>hickener</w:t>
      </w:r>
      <w:r w:rsidR="009F2C13" w:rsidRPr="008A0812">
        <w:t>s</w:t>
      </w:r>
      <w:r w:rsidRPr="008A0812">
        <w:t xml:space="preserve"> and then pumped along with primary sludge to the anaerobic digesters. Digested sludge </w:t>
      </w:r>
      <w:r w:rsidR="009F2C13" w:rsidRPr="008A0812">
        <w:t xml:space="preserve">flows by gravity </w:t>
      </w:r>
      <w:r w:rsidRPr="008A0812">
        <w:t xml:space="preserve">to storage tanks prior to dewatering </w:t>
      </w:r>
      <w:r w:rsidR="009F2C13" w:rsidRPr="008A0812">
        <w:t>by</w:t>
      </w:r>
      <w:r w:rsidRPr="008A0812">
        <w:t xml:space="preserve"> centrifuge units or belt presses, and then hauled off-site for </w:t>
      </w:r>
      <w:r w:rsidR="009F2C13" w:rsidRPr="008A0812">
        <w:t>composting</w:t>
      </w:r>
      <w:r w:rsidRPr="008A0812">
        <w:t xml:space="preserve">. </w:t>
      </w:r>
    </w:p>
    <w:p w14:paraId="62039489" w14:textId="57643031" w:rsidR="00701421" w:rsidRPr="008A0812" w:rsidRDefault="009F2C13" w:rsidP="00701421">
      <w:pPr>
        <w:pStyle w:val="BodyText"/>
      </w:pPr>
      <w:bookmarkStart w:id="23" w:name="_Hlk41481913"/>
      <w:r w:rsidRPr="008A0812">
        <w:t>The SBWRP does not disinfect s</w:t>
      </w:r>
      <w:r w:rsidR="00701421" w:rsidRPr="008A0812">
        <w:t>econdary effluent</w:t>
      </w:r>
      <w:r w:rsidRPr="008A0812">
        <w:t xml:space="preserve">. The secondary effluent is </w:t>
      </w:r>
      <w:r w:rsidR="00701421" w:rsidRPr="008A0812">
        <w:t xml:space="preserve">filtered and disinfected at the offsite Rapid Infiltration </w:t>
      </w:r>
      <w:r w:rsidR="00D34913" w:rsidRPr="008A0812">
        <w:t>and</w:t>
      </w:r>
      <w:r w:rsidR="00701421" w:rsidRPr="008A0812">
        <w:t xml:space="preserve"> Extraction (RIX) facility in Colton (</w:t>
      </w:r>
      <w:r w:rsidRPr="008A0812">
        <w:t>s</w:t>
      </w:r>
      <w:r w:rsidR="00701421" w:rsidRPr="008A0812">
        <w:t>ee Section</w:t>
      </w:r>
      <w:r w:rsidR="00ED698F" w:rsidRPr="008A0812">
        <w:t xml:space="preserve"> </w:t>
      </w:r>
      <w:r w:rsidR="00ED698F" w:rsidRPr="008A0812">
        <w:fldChar w:fldCharType="begin"/>
      </w:r>
      <w:r w:rsidR="00ED698F" w:rsidRPr="008A0812">
        <w:instrText xml:space="preserve"> REF _Ref20216542 \r \h </w:instrText>
      </w:r>
      <w:r w:rsidR="008A0812">
        <w:instrText xml:space="preserve"> \* MERGEFORMAT </w:instrText>
      </w:r>
      <w:r w:rsidR="00ED698F" w:rsidRPr="008A0812">
        <w:fldChar w:fldCharType="separate"/>
      </w:r>
      <w:r w:rsidR="00AA68F8">
        <w:t>5.2.1</w:t>
      </w:r>
      <w:r w:rsidR="00ED698F" w:rsidRPr="008A0812">
        <w:fldChar w:fldCharType="end"/>
      </w:r>
      <w:r w:rsidR="00701421" w:rsidRPr="008A0812">
        <w:t xml:space="preserve">) </w:t>
      </w:r>
      <w:r w:rsidRPr="008A0812">
        <w:t xml:space="preserve">which </w:t>
      </w:r>
      <w:r w:rsidR="00D34913" w:rsidRPr="008A0812">
        <w:t xml:space="preserve">is jointly owned with the City of Colton and exclusively operated by </w:t>
      </w:r>
      <w:r w:rsidR="00141720" w:rsidRPr="008A0812">
        <w:t>the Department</w:t>
      </w:r>
      <w:r w:rsidR="00D34913" w:rsidRPr="008A0812">
        <w:t xml:space="preserve">. </w:t>
      </w:r>
    </w:p>
    <w:bookmarkEnd w:id="23"/>
    <w:p w14:paraId="29F6BA4E" w14:textId="77777777" w:rsidR="001E2A8F" w:rsidRPr="008A0812" w:rsidRDefault="00701421" w:rsidP="00701421">
      <w:pPr>
        <w:pStyle w:val="BodyText"/>
      </w:pPr>
      <w:r w:rsidRPr="008A0812">
        <w:t xml:space="preserve">The SBWRP produces digester gas (DG) from the anaerobic digestion process and </w:t>
      </w:r>
      <w:r w:rsidR="00D34913" w:rsidRPr="008A0812">
        <w:t xml:space="preserve">currently </w:t>
      </w:r>
      <w:r w:rsidRPr="008A0812">
        <w:t xml:space="preserve">uses the gas </w:t>
      </w:r>
      <w:r w:rsidR="00D34913" w:rsidRPr="008A0812">
        <w:t xml:space="preserve">beneficially </w:t>
      </w:r>
      <w:r w:rsidRPr="008A0812">
        <w:t>as a fuel source for internal combustion engines, boilers, and cogeneration.</w:t>
      </w:r>
    </w:p>
    <w:p w14:paraId="5A801E51" w14:textId="5F2C0BCB" w:rsidR="00701421" w:rsidRPr="008A0812" w:rsidRDefault="001E2A8F" w:rsidP="00701421">
      <w:pPr>
        <w:pStyle w:val="BodyText"/>
      </w:pPr>
      <w:r w:rsidRPr="008A0812">
        <w:t xml:space="preserve">The major systems and components are summarized in </w:t>
      </w:r>
      <w:r w:rsidR="00520392" w:rsidRPr="008A0812">
        <w:fldChar w:fldCharType="begin"/>
      </w:r>
      <w:r w:rsidR="00520392" w:rsidRPr="008A0812">
        <w:instrText xml:space="preserve"> REF _Ref36213829 \h </w:instrText>
      </w:r>
      <w:r w:rsidR="008A0812">
        <w:instrText xml:space="preserve"> \* MERGEFORMAT </w:instrText>
      </w:r>
      <w:r w:rsidR="00520392" w:rsidRPr="008A0812">
        <w:fldChar w:fldCharType="separate"/>
      </w:r>
      <w:r w:rsidR="00AA68F8" w:rsidRPr="008A0812">
        <w:t xml:space="preserve">Table </w:t>
      </w:r>
      <w:r w:rsidR="00AA68F8">
        <w:rPr>
          <w:noProof/>
        </w:rPr>
        <w:t>1</w:t>
      </w:r>
      <w:r w:rsidR="00AA68F8" w:rsidRPr="008A0812">
        <w:rPr>
          <w:noProof/>
        </w:rPr>
        <w:noBreakHyphen/>
      </w:r>
      <w:r w:rsidR="00AA68F8">
        <w:rPr>
          <w:noProof/>
        </w:rPr>
        <w:t>1</w:t>
      </w:r>
      <w:r w:rsidR="00520392" w:rsidRPr="008A0812">
        <w:fldChar w:fldCharType="end"/>
      </w:r>
      <w:r w:rsidR="00520392" w:rsidRPr="008A0812">
        <w:t xml:space="preserve"> </w:t>
      </w:r>
      <w:r w:rsidR="00881AFD" w:rsidRPr="008A0812">
        <w:t xml:space="preserve">and a process flow diagram of the major systems is </w:t>
      </w:r>
      <w:r w:rsidR="00B65535" w:rsidRPr="008A0812">
        <w:t xml:space="preserve">shown on </w:t>
      </w:r>
      <w:r w:rsidR="00B65535" w:rsidRPr="008A0812">
        <w:fldChar w:fldCharType="begin"/>
      </w:r>
      <w:r w:rsidR="00B65535" w:rsidRPr="008A0812">
        <w:instrText xml:space="preserve"> REF _Ref20475731 \h </w:instrText>
      </w:r>
      <w:r w:rsidR="008A0812">
        <w:instrText xml:space="preserve"> \* MERGEFORMAT </w:instrText>
      </w:r>
      <w:r w:rsidR="00B65535" w:rsidRPr="008A0812">
        <w:fldChar w:fldCharType="separate"/>
      </w:r>
      <w:r w:rsidR="00AA68F8" w:rsidRPr="008A0812">
        <w:t xml:space="preserve">Exhibit </w:t>
      </w:r>
      <w:r w:rsidR="00B65535" w:rsidRPr="008A0812">
        <w:fldChar w:fldCharType="end"/>
      </w:r>
      <w:r w:rsidR="009F2C13" w:rsidRPr="008A0812">
        <w:t xml:space="preserve">2 </w:t>
      </w:r>
      <w:r w:rsidR="00830987" w:rsidRPr="008A0812">
        <w:t>attached</w:t>
      </w:r>
      <w:r w:rsidRPr="008A0812">
        <w:t>.</w:t>
      </w:r>
      <w:r w:rsidR="00701421" w:rsidRPr="008A0812">
        <w:t xml:space="preserve"> </w:t>
      </w:r>
    </w:p>
    <w:p w14:paraId="0017E31F" w14:textId="296E70DA" w:rsidR="00701421" w:rsidRPr="008A0812" w:rsidRDefault="00520392" w:rsidP="00AA2FB4">
      <w:pPr>
        <w:pStyle w:val="Caption"/>
        <w:spacing w:before="200" w:after="120"/>
      </w:pPr>
      <w:bookmarkStart w:id="24" w:name="_Ref36213829"/>
      <w:bookmarkStart w:id="25" w:name="_Toc41684721"/>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24"/>
      <w:r w:rsidRPr="008A0812">
        <w:t xml:space="preserve">: </w:t>
      </w:r>
      <w:r w:rsidR="00701421" w:rsidRPr="008A0812">
        <w:t>Major Systems and Components</w:t>
      </w:r>
      <w:bookmarkEnd w:id="25"/>
      <w:r w:rsidR="00701421" w:rsidRPr="008A0812">
        <w:t xml:space="preserve"> </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04"/>
        <w:gridCol w:w="3060"/>
        <w:gridCol w:w="3780"/>
      </w:tblGrid>
      <w:tr w:rsidR="00701421" w:rsidRPr="008A0812" w14:paraId="50830ABE" w14:textId="77777777" w:rsidTr="00065048">
        <w:trPr>
          <w:tblHeader/>
        </w:trPr>
        <w:tc>
          <w:tcPr>
            <w:tcW w:w="2504" w:type="dxa"/>
            <w:shd w:val="clear" w:color="auto" w:fill="BFBFBF" w:themeFill="background1" w:themeFillShade="BF"/>
            <w:vAlign w:val="center"/>
            <w:hideMark/>
          </w:tcPr>
          <w:p w14:paraId="7FE50D2F" w14:textId="77777777"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b/>
                <w:bCs/>
              </w:rPr>
              <w:t>System</w:t>
            </w:r>
            <w:r w:rsidRPr="008A0812">
              <w:rPr>
                <w:rFonts w:cs="Segoe UI"/>
              </w:rPr>
              <w:t> </w:t>
            </w:r>
          </w:p>
        </w:tc>
        <w:tc>
          <w:tcPr>
            <w:tcW w:w="3060" w:type="dxa"/>
            <w:shd w:val="clear" w:color="auto" w:fill="BFBFBF" w:themeFill="background1" w:themeFillShade="BF"/>
            <w:vAlign w:val="center"/>
            <w:hideMark/>
          </w:tcPr>
          <w:p w14:paraId="1137CA46" w14:textId="04CC9282"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b/>
                <w:bCs/>
              </w:rPr>
              <w:t>Sub-system</w:t>
            </w:r>
          </w:p>
        </w:tc>
        <w:tc>
          <w:tcPr>
            <w:tcW w:w="3780" w:type="dxa"/>
            <w:shd w:val="clear" w:color="auto" w:fill="BFBFBF" w:themeFill="background1" w:themeFillShade="BF"/>
            <w:vAlign w:val="center"/>
            <w:hideMark/>
          </w:tcPr>
          <w:p w14:paraId="24579F32" w14:textId="371D4B5C" w:rsidR="00701421" w:rsidRPr="008A0812" w:rsidRDefault="00701421" w:rsidP="0031230D">
            <w:pPr>
              <w:overflowPunct/>
              <w:autoSpaceDE/>
              <w:autoSpaceDN/>
              <w:adjustRightInd/>
              <w:jc w:val="center"/>
              <w:rPr>
                <w:rFonts w:ascii="Segoe UI" w:hAnsi="Segoe UI" w:cs="Segoe UI"/>
                <w:sz w:val="18"/>
                <w:szCs w:val="18"/>
              </w:rPr>
            </w:pPr>
            <w:r w:rsidRPr="008A0812">
              <w:rPr>
                <w:rFonts w:cs="Segoe UI"/>
                <w:b/>
                <w:bCs/>
              </w:rPr>
              <w:t>Component</w:t>
            </w:r>
          </w:p>
        </w:tc>
      </w:tr>
      <w:tr w:rsidR="00701421" w:rsidRPr="008A0812" w14:paraId="75843270" w14:textId="77777777" w:rsidTr="00065048">
        <w:tc>
          <w:tcPr>
            <w:tcW w:w="2504" w:type="dxa"/>
            <w:vMerge w:val="restart"/>
            <w:shd w:val="clear" w:color="auto" w:fill="auto"/>
            <w:vAlign w:val="center"/>
            <w:hideMark/>
          </w:tcPr>
          <w:p w14:paraId="4E400319" w14:textId="7AA4624C"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rPr>
              <w:t>Preliminary Processes</w:t>
            </w:r>
          </w:p>
        </w:tc>
        <w:tc>
          <w:tcPr>
            <w:tcW w:w="3060" w:type="dxa"/>
            <w:vMerge w:val="restart"/>
            <w:shd w:val="clear" w:color="auto" w:fill="auto"/>
            <w:vAlign w:val="center"/>
            <w:hideMark/>
          </w:tcPr>
          <w:p w14:paraId="08C3BB64" w14:textId="7C93A6FB"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rPr>
              <w:t xml:space="preserve">Influent </w:t>
            </w:r>
            <w:r w:rsidR="003A0D38" w:rsidRPr="008A0812">
              <w:rPr>
                <w:rFonts w:cs="Segoe UI"/>
              </w:rPr>
              <w:t>Lift</w:t>
            </w:r>
            <w:r w:rsidRPr="008A0812">
              <w:rPr>
                <w:rFonts w:cs="Segoe UI"/>
              </w:rPr>
              <w:t xml:space="preserve"> Stations</w:t>
            </w:r>
          </w:p>
        </w:tc>
        <w:tc>
          <w:tcPr>
            <w:tcW w:w="3780" w:type="dxa"/>
            <w:shd w:val="clear" w:color="auto" w:fill="auto"/>
            <w:vAlign w:val="center"/>
            <w:hideMark/>
          </w:tcPr>
          <w:p w14:paraId="57F88E9E" w14:textId="4A1529DE" w:rsidR="00701421" w:rsidRPr="008A0812" w:rsidRDefault="00701421" w:rsidP="00701421">
            <w:pPr>
              <w:overflowPunct/>
              <w:autoSpaceDE/>
              <w:autoSpaceDN/>
              <w:adjustRightInd/>
              <w:rPr>
                <w:rFonts w:ascii="Segoe UI" w:hAnsi="Segoe UI" w:cs="Segoe UI"/>
                <w:sz w:val="18"/>
                <w:szCs w:val="18"/>
              </w:rPr>
            </w:pPr>
            <w:r w:rsidRPr="008A0812">
              <w:rPr>
                <w:rFonts w:cs="Segoe UI"/>
              </w:rPr>
              <w:t xml:space="preserve">Arrowhead </w:t>
            </w:r>
            <w:r w:rsidR="00D34913" w:rsidRPr="008A0812">
              <w:rPr>
                <w:rFonts w:cs="Segoe UI"/>
              </w:rPr>
              <w:t xml:space="preserve">Lift </w:t>
            </w:r>
            <w:r w:rsidRPr="008A0812">
              <w:rPr>
                <w:rFonts w:cs="Segoe UI"/>
              </w:rPr>
              <w:t>Station</w:t>
            </w:r>
          </w:p>
        </w:tc>
      </w:tr>
      <w:tr w:rsidR="00701421" w:rsidRPr="008A0812" w14:paraId="792B17AF" w14:textId="77777777" w:rsidTr="00065048">
        <w:trPr>
          <w:trHeight w:val="285"/>
        </w:trPr>
        <w:tc>
          <w:tcPr>
            <w:tcW w:w="0" w:type="auto"/>
            <w:vMerge/>
            <w:vAlign w:val="center"/>
            <w:hideMark/>
          </w:tcPr>
          <w:p w14:paraId="6B8FFA3B"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0" w:type="auto"/>
            <w:vMerge/>
            <w:vAlign w:val="center"/>
            <w:hideMark/>
          </w:tcPr>
          <w:p w14:paraId="0D7F99E8"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733FFF1E" w14:textId="28F3FC72" w:rsidR="00701421" w:rsidRPr="008A0812" w:rsidRDefault="00701421" w:rsidP="00701421">
            <w:pPr>
              <w:overflowPunct/>
              <w:autoSpaceDE/>
              <w:autoSpaceDN/>
              <w:adjustRightInd/>
              <w:rPr>
                <w:rFonts w:ascii="Segoe UI" w:hAnsi="Segoe UI" w:cs="Segoe UI"/>
                <w:sz w:val="18"/>
                <w:szCs w:val="18"/>
              </w:rPr>
            </w:pPr>
            <w:r w:rsidRPr="008A0812">
              <w:rPr>
                <w:rFonts w:cs="Segoe UI"/>
              </w:rPr>
              <w:t xml:space="preserve">E Street </w:t>
            </w:r>
            <w:r w:rsidR="00D34913" w:rsidRPr="008A0812">
              <w:rPr>
                <w:rFonts w:cs="Segoe UI"/>
              </w:rPr>
              <w:t xml:space="preserve">Lift </w:t>
            </w:r>
            <w:r w:rsidRPr="008A0812">
              <w:rPr>
                <w:rFonts w:cs="Segoe UI"/>
              </w:rPr>
              <w:t>Station</w:t>
            </w:r>
          </w:p>
        </w:tc>
      </w:tr>
      <w:tr w:rsidR="00701421" w:rsidRPr="008A0812" w14:paraId="7C751585" w14:textId="77777777" w:rsidTr="00065048">
        <w:trPr>
          <w:trHeight w:val="285"/>
        </w:trPr>
        <w:tc>
          <w:tcPr>
            <w:tcW w:w="0" w:type="auto"/>
            <w:vMerge/>
            <w:vAlign w:val="center"/>
            <w:hideMark/>
          </w:tcPr>
          <w:p w14:paraId="05388319"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0" w:type="auto"/>
            <w:vMerge/>
            <w:vAlign w:val="center"/>
            <w:hideMark/>
          </w:tcPr>
          <w:p w14:paraId="640A068F"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6FAA89CB" w14:textId="402F7D07" w:rsidR="00701421" w:rsidRPr="008A0812" w:rsidRDefault="00701421" w:rsidP="00701421">
            <w:pPr>
              <w:overflowPunct/>
              <w:autoSpaceDE/>
              <w:autoSpaceDN/>
              <w:adjustRightInd/>
              <w:rPr>
                <w:rFonts w:ascii="Segoe UI" w:hAnsi="Segoe UI" w:cs="Segoe UI"/>
                <w:sz w:val="18"/>
                <w:szCs w:val="18"/>
              </w:rPr>
            </w:pPr>
            <w:r w:rsidRPr="3C8A962A">
              <w:rPr>
                <w:rFonts w:cs="Segoe UI"/>
              </w:rPr>
              <w:t xml:space="preserve">East </w:t>
            </w:r>
            <w:r w:rsidR="27EDC939" w:rsidRPr="3C8A962A">
              <w:rPr>
                <w:rFonts w:cs="Segoe UI"/>
              </w:rPr>
              <w:t>Influent</w:t>
            </w:r>
            <w:r w:rsidRPr="3C8A962A">
              <w:rPr>
                <w:rFonts w:cs="Segoe UI"/>
              </w:rPr>
              <w:t xml:space="preserve"> Lift Station</w:t>
            </w:r>
          </w:p>
        </w:tc>
      </w:tr>
      <w:tr w:rsidR="00701421" w:rsidRPr="008A0812" w14:paraId="77DA7851" w14:textId="77777777" w:rsidTr="00065048">
        <w:trPr>
          <w:trHeight w:val="285"/>
        </w:trPr>
        <w:tc>
          <w:tcPr>
            <w:tcW w:w="0" w:type="auto"/>
            <w:vMerge/>
            <w:vAlign w:val="center"/>
            <w:hideMark/>
          </w:tcPr>
          <w:p w14:paraId="25B039C9"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060" w:type="dxa"/>
            <w:shd w:val="clear" w:color="auto" w:fill="auto"/>
            <w:vAlign w:val="center"/>
            <w:hideMark/>
          </w:tcPr>
          <w:p w14:paraId="74A5A1B8" w14:textId="58A2572B"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rPr>
              <w:t>Septage and Brine Receiving</w:t>
            </w:r>
          </w:p>
        </w:tc>
        <w:tc>
          <w:tcPr>
            <w:tcW w:w="3780" w:type="dxa"/>
            <w:shd w:val="clear" w:color="auto" w:fill="auto"/>
            <w:vAlign w:val="center"/>
            <w:hideMark/>
          </w:tcPr>
          <w:p w14:paraId="1139F78C" w14:textId="2AB3CACD" w:rsidR="00701421" w:rsidRPr="008A0812" w:rsidRDefault="00701421" w:rsidP="00701421">
            <w:pPr>
              <w:overflowPunct/>
              <w:autoSpaceDE/>
              <w:autoSpaceDN/>
              <w:adjustRightInd/>
              <w:rPr>
                <w:rFonts w:ascii="Segoe UI" w:hAnsi="Segoe UI" w:cs="Segoe UI"/>
                <w:sz w:val="18"/>
                <w:szCs w:val="18"/>
              </w:rPr>
            </w:pPr>
            <w:r w:rsidRPr="008A0812">
              <w:rPr>
                <w:rFonts w:cs="Segoe UI"/>
              </w:rPr>
              <w:t>Static Grinder Room</w:t>
            </w:r>
          </w:p>
        </w:tc>
      </w:tr>
      <w:tr w:rsidR="00701421" w:rsidRPr="008A0812" w14:paraId="49FAFD7D" w14:textId="77777777" w:rsidTr="00065048">
        <w:trPr>
          <w:trHeight w:val="285"/>
        </w:trPr>
        <w:tc>
          <w:tcPr>
            <w:tcW w:w="0" w:type="auto"/>
            <w:vMerge/>
            <w:vAlign w:val="center"/>
            <w:hideMark/>
          </w:tcPr>
          <w:p w14:paraId="1346C00D"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1C4279AF" w14:textId="297AADEC" w:rsidR="00701421" w:rsidRPr="008A0812" w:rsidRDefault="00701421" w:rsidP="00701421">
            <w:pPr>
              <w:overflowPunct/>
              <w:autoSpaceDE/>
              <w:autoSpaceDN/>
              <w:adjustRightInd/>
              <w:jc w:val="center"/>
              <w:rPr>
                <w:rFonts w:ascii="Segoe UI" w:hAnsi="Segoe UI" w:cs="Segoe UI"/>
                <w:sz w:val="18"/>
                <w:szCs w:val="18"/>
              </w:rPr>
            </w:pPr>
            <w:r w:rsidRPr="008A0812">
              <w:rPr>
                <w:rFonts w:cs="Segoe UI"/>
              </w:rPr>
              <w:t>Preliminary Treatment</w:t>
            </w:r>
          </w:p>
        </w:tc>
        <w:tc>
          <w:tcPr>
            <w:tcW w:w="3780" w:type="dxa"/>
            <w:shd w:val="clear" w:color="auto" w:fill="auto"/>
            <w:vAlign w:val="center"/>
            <w:hideMark/>
          </w:tcPr>
          <w:p w14:paraId="3D42E293" w14:textId="4E77F4D6" w:rsidR="00701421" w:rsidRPr="008A0812" w:rsidRDefault="00701421" w:rsidP="00701421">
            <w:pPr>
              <w:overflowPunct/>
              <w:autoSpaceDE/>
              <w:autoSpaceDN/>
              <w:adjustRightInd/>
              <w:rPr>
                <w:rFonts w:ascii="Segoe UI" w:hAnsi="Segoe UI" w:cs="Segoe UI"/>
                <w:sz w:val="18"/>
                <w:szCs w:val="18"/>
              </w:rPr>
            </w:pPr>
            <w:r w:rsidRPr="008A0812">
              <w:rPr>
                <w:rFonts w:cs="Segoe UI"/>
              </w:rPr>
              <w:t>Bar Screen</w:t>
            </w:r>
          </w:p>
        </w:tc>
      </w:tr>
      <w:tr w:rsidR="00701421" w:rsidRPr="008A0812" w14:paraId="1EEA9B63" w14:textId="77777777" w:rsidTr="00065048">
        <w:trPr>
          <w:trHeight w:val="285"/>
        </w:trPr>
        <w:tc>
          <w:tcPr>
            <w:tcW w:w="0" w:type="auto"/>
            <w:vMerge/>
            <w:vAlign w:val="center"/>
            <w:hideMark/>
          </w:tcPr>
          <w:p w14:paraId="3CDB8751"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0" w:type="auto"/>
            <w:vMerge/>
            <w:vAlign w:val="center"/>
            <w:hideMark/>
          </w:tcPr>
          <w:p w14:paraId="4CE2FF46"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3B67F9E5" w14:textId="6AF891D4" w:rsidR="00701421" w:rsidRPr="008A0812" w:rsidRDefault="00701421" w:rsidP="00701421">
            <w:pPr>
              <w:overflowPunct/>
              <w:autoSpaceDE/>
              <w:autoSpaceDN/>
              <w:adjustRightInd/>
              <w:rPr>
                <w:rFonts w:ascii="Segoe UI" w:hAnsi="Segoe UI" w:cs="Segoe UI"/>
                <w:sz w:val="18"/>
                <w:szCs w:val="18"/>
              </w:rPr>
            </w:pPr>
            <w:r w:rsidRPr="008A0812">
              <w:rPr>
                <w:rFonts w:cs="Segoe UI"/>
              </w:rPr>
              <w:t>Grit Chambers</w:t>
            </w:r>
          </w:p>
        </w:tc>
      </w:tr>
      <w:tr w:rsidR="00701421" w:rsidRPr="008A0812" w14:paraId="6E500459" w14:textId="77777777" w:rsidTr="00065048">
        <w:trPr>
          <w:trHeight w:val="285"/>
        </w:trPr>
        <w:tc>
          <w:tcPr>
            <w:tcW w:w="0" w:type="auto"/>
            <w:vMerge/>
            <w:vAlign w:val="center"/>
            <w:hideMark/>
          </w:tcPr>
          <w:p w14:paraId="2957EC99"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0" w:type="auto"/>
            <w:vMerge/>
            <w:vAlign w:val="center"/>
            <w:hideMark/>
          </w:tcPr>
          <w:p w14:paraId="2D1C75EF" w14:textId="77777777" w:rsidR="00701421" w:rsidRPr="008A0812" w:rsidRDefault="00701421" w:rsidP="00701421">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37E52F30" w14:textId="5CFF54EB" w:rsidR="00701421" w:rsidRPr="008A0812" w:rsidRDefault="00701421" w:rsidP="00701421">
            <w:pPr>
              <w:overflowPunct/>
              <w:autoSpaceDE/>
              <w:autoSpaceDN/>
              <w:adjustRightInd/>
              <w:rPr>
                <w:rFonts w:ascii="Segoe UI" w:hAnsi="Segoe UI" w:cs="Segoe UI"/>
                <w:sz w:val="18"/>
                <w:szCs w:val="18"/>
              </w:rPr>
            </w:pPr>
            <w:r w:rsidRPr="008A0812">
              <w:rPr>
                <w:rFonts w:cs="Segoe UI"/>
              </w:rPr>
              <w:t>Screening Compaction / Grit Classifiers</w:t>
            </w:r>
          </w:p>
        </w:tc>
      </w:tr>
      <w:tr w:rsidR="009C1BC3" w:rsidRPr="008A0812" w14:paraId="21BD363B" w14:textId="77777777" w:rsidTr="00065048">
        <w:trPr>
          <w:trHeight w:val="285"/>
        </w:trPr>
        <w:tc>
          <w:tcPr>
            <w:tcW w:w="0" w:type="auto"/>
            <w:vMerge w:val="restart"/>
            <w:shd w:val="clear" w:color="auto" w:fill="auto"/>
            <w:vAlign w:val="center"/>
          </w:tcPr>
          <w:p w14:paraId="5E81F1F1" w14:textId="3A4E10EA" w:rsidR="009C1BC3" w:rsidRPr="008A0812" w:rsidRDefault="009C1BC3" w:rsidP="00520392">
            <w:pPr>
              <w:keepNext/>
              <w:jc w:val="center"/>
              <w:rPr>
                <w:rFonts w:cs="Segoe UI"/>
              </w:rPr>
            </w:pPr>
            <w:r w:rsidRPr="008A0812">
              <w:rPr>
                <w:rFonts w:cs="Segoe UI"/>
              </w:rPr>
              <w:t>Primary Treatment</w:t>
            </w:r>
          </w:p>
        </w:tc>
        <w:tc>
          <w:tcPr>
            <w:tcW w:w="0" w:type="auto"/>
            <w:vMerge w:val="restart"/>
            <w:shd w:val="clear" w:color="auto" w:fill="auto"/>
            <w:vAlign w:val="center"/>
          </w:tcPr>
          <w:p w14:paraId="3A2B99BF" w14:textId="2AC45418" w:rsidR="009C1BC3" w:rsidRPr="008A0812" w:rsidRDefault="009C1BC3" w:rsidP="00520392">
            <w:pPr>
              <w:keepNext/>
              <w:jc w:val="center"/>
              <w:rPr>
                <w:rFonts w:cs="Segoe UI"/>
              </w:rPr>
            </w:pPr>
            <w:r w:rsidRPr="008A0812">
              <w:rPr>
                <w:rFonts w:cs="Segoe UI"/>
              </w:rPr>
              <w:t>Primary Clarifiers</w:t>
            </w:r>
          </w:p>
        </w:tc>
        <w:tc>
          <w:tcPr>
            <w:tcW w:w="3780" w:type="dxa"/>
            <w:shd w:val="clear" w:color="auto" w:fill="auto"/>
            <w:vAlign w:val="center"/>
          </w:tcPr>
          <w:p w14:paraId="35B5FD25" w14:textId="6F923467" w:rsidR="009C1BC3" w:rsidRPr="008A0812" w:rsidRDefault="009C1BC3" w:rsidP="00520392">
            <w:pPr>
              <w:keepNext/>
              <w:overflowPunct/>
              <w:autoSpaceDE/>
              <w:autoSpaceDN/>
              <w:adjustRightInd/>
              <w:rPr>
                <w:rFonts w:cs="Segoe UI"/>
              </w:rPr>
            </w:pPr>
            <w:r w:rsidRPr="008A0812">
              <w:rPr>
                <w:rFonts w:cs="Segoe UI"/>
              </w:rPr>
              <w:t>Clarifier Tanks</w:t>
            </w:r>
          </w:p>
        </w:tc>
      </w:tr>
      <w:tr w:rsidR="00D32616" w:rsidRPr="008A0812" w14:paraId="1A1A212E" w14:textId="77777777" w:rsidTr="00065048">
        <w:trPr>
          <w:trHeight w:val="285"/>
        </w:trPr>
        <w:tc>
          <w:tcPr>
            <w:tcW w:w="0" w:type="auto"/>
            <w:vMerge/>
            <w:vAlign w:val="center"/>
            <w:hideMark/>
          </w:tcPr>
          <w:p w14:paraId="14CFB31C" w14:textId="24277ACB" w:rsidR="00D32616" w:rsidRPr="008A0812" w:rsidRDefault="00D32616" w:rsidP="00520392">
            <w:pPr>
              <w:keepNext/>
              <w:overflowPunct/>
              <w:autoSpaceDE/>
              <w:autoSpaceDN/>
              <w:adjustRightInd/>
              <w:jc w:val="center"/>
              <w:textAlignment w:val="auto"/>
              <w:rPr>
                <w:rFonts w:ascii="Segoe UI" w:hAnsi="Segoe UI" w:cs="Segoe UI"/>
                <w:sz w:val="18"/>
                <w:szCs w:val="18"/>
              </w:rPr>
            </w:pPr>
          </w:p>
        </w:tc>
        <w:tc>
          <w:tcPr>
            <w:tcW w:w="0" w:type="auto"/>
            <w:vMerge/>
            <w:vAlign w:val="center"/>
            <w:hideMark/>
          </w:tcPr>
          <w:p w14:paraId="7F16F7BC" w14:textId="309941F3" w:rsidR="00D32616" w:rsidRPr="008A0812" w:rsidRDefault="00D32616" w:rsidP="00520392">
            <w:pPr>
              <w:keepNext/>
              <w:overflowPunct/>
              <w:autoSpaceDE/>
              <w:autoSpaceDN/>
              <w:adjustRightInd/>
              <w:jc w:val="center"/>
              <w:textAlignment w:val="auto"/>
              <w:rPr>
                <w:rFonts w:ascii="Segoe UI" w:hAnsi="Segoe UI" w:cs="Segoe UI"/>
                <w:sz w:val="18"/>
                <w:szCs w:val="18"/>
              </w:rPr>
            </w:pPr>
          </w:p>
        </w:tc>
        <w:tc>
          <w:tcPr>
            <w:tcW w:w="3780" w:type="dxa"/>
            <w:shd w:val="clear" w:color="auto" w:fill="auto"/>
            <w:vAlign w:val="center"/>
            <w:hideMark/>
          </w:tcPr>
          <w:p w14:paraId="2F2ADAD6" w14:textId="53F4D798" w:rsidR="00D32616" w:rsidRPr="008A0812" w:rsidRDefault="00D32616" w:rsidP="00520392">
            <w:pPr>
              <w:keepNext/>
              <w:overflowPunct/>
              <w:autoSpaceDE/>
              <w:autoSpaceDN/>
              <w:adjustRightInd/>
              <w:rPr>
                <w:rFonts w:ascii="Segoe UI" w:hAnsi="Segoe UI" w:cs="Segoe UI"/>
                <w:sz w:val="18"/>
                <w:szCs w:val="18"/>
              </w:rPr>
            </w:pPr>
            <w:r w:rsidRPr="008A0812">
              <w:rPr>
                <w:rFonts w:cs="Segoe UI"/>
              </w:rPr>
              <w:t>Primary Sludge Pump</w:t>
            </w:r>
          </w:p>
        </w:tc>
      </w:tr>
      <w:tr w:rsidR="00D32616" w:rsidRPr="008A0812" w14:paraId="24D8A9ED" w14:textId="77777777" w:rsidTr="00065048">
        <w:trPr>
          <w:trHeight w:val="285"/>
        </w:trPr>
        <w:tc>
          <w:tcPr>
            <w:tcW w:w="0" w:type="auto"/>
            <w:vMerge/>
            <w:vAlign w:val="center"/>
            <w:hideMark/>
          </w:tcPr>
          <w:p w14:paraId="7777A897" w14:textId="77777777" w:rsidR="00D32616" w:rsidRPr="008A0812" w:rsidRDefault="00D32616" w:rsidP="00520392">
            <w:pPr>
              <w:keepNext/>
              <w:overflowPunct/>
              <w:autoSpaceDE/>
              <w:autoSpaceDN/>
              <w:adjustRightInd/>
              <w:textAlignment w:val="auto"/>
              <w:rPr>
                <w:rFonts w:ascii="Segoe UI" w:hAnsi="Segoe UI" w:cs="Segoe UI"/>
                <w:sz w:val="18"/>
                <w:szCs w:val="18"/>
              </w:rPr>
            </w:pPr>
          </w:p>
        </w:tc>
        <w:tc>
          <w:tcPr>
            <w:tcW w:w="0" w:type="auto"/>
            <w:vMerge/>
            <w:vAlign w:val="center"/>
            <w:hideMark/>
          </w:tcPr>
          <w:p w14:paraId="448BA29D" w14:textId="77777777" w:rsidR="00D32616" w:rsidRPr="008A0812" w:rsidRDefault="00D32616" w:rsidP="00520392">
            <w:pPr>
              <w:keepNext/>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3BEA4152" w14:textId="72FFB769" w:rsidR="00D32616" w:rsidRPr="008A0812" w:rsidRDefault="00D32616" w:rsidP="00520392">
            <w:pPr>
              <w:keepNext/>
              <w:overflowPunct/>
              <w:autoSpaceDE/>
              <w:autoSpaceDN/>
              <w:adjustRightInd/>
              <w:rPr>
                <w:rFonts w:ascii="Segoe UI" w:hAnsi="Segoe UI" w:cs="Segoe UI"/>
                <w:sz w:val="18"/>
                <w:szCs w:val="18"/>
              </w:rPr>
            </w:pPr>
            <w:r w:rsidRPr="008A0812">
              <w:rPr>
                <w:rFonts w:cs="Segoe UI"/>
              </w:rPr>
              <w:t>Scum Pump</w:t>
            </w:r>
          </w:p>
        </w:tc>
      </w:tr>
      <w:tr w:rsidR="00830987" w:rsidRPr="008A0812" w14:paraId="0F0B7056" w14:textId="77777777" w:rsidTr="0057569C">
        <w:trPr>
          <w:cantSplit/>
          <w:trHeight w:val="285"/>
        </w:trPr>
        <w:tc>
          <w:tcPr>
            <w:tcW w:w="2504" w:type="dxa"/>
            <w:vMerge w:val="restart"/>
            <w:shd w:val="clear" w:color="auto" w:fill="auto"/>
            <w:vAlign w:val="center"/>
            <w:hideMark/>
          </w:tcPr>
          <w:p w14:paraId="26FBB959" w14:textId="326C2A6D" w:rsidR="00830987" w:rsidRPr="008A0812" w:rsidRDefault="00830987" w:rsidP="0057569C">
            <w:pPr>
              <w:keepLines/>
              <w:overflowPunct/>
              <w:autoSpaceDE/>
              <w:autoSpaceDN/>
              <w:adjustRightInd/>
              <w:jc w:val="center"/>
              <w:rPr>
                <w:rFonts w:ascii="Segoe UI" w:hAnsi="Segoe UI" w:cs="Segoe UI"/>
                <w:sz w:val="18"/>
                <w:szCs w:val="18"/>
              </w:rPr>
            </w:pPr>
            <w:r w:rsidRPr="008A0812">
              <w:rPr>
                <w:rFonts w:cs="Segoe UI"/>
              </w:rPr>
              <w:t>Secondary Treatment</w:t>
            </w:r>
          </w:p>
        </w:tc>
        <w:tc>
          <w:tcPr>
            <w:tcW w:w="3060" w:type="dxa"/>
            <w:shd w:val="clear" w:color="auto" w:fill="auto"/>
            <w:vAlign w:val="center"/>
            <w:hideMark/>
          </w:tcPr>
          <w:p w14:paraId="2202536A" w14:textId="57480A06" w:rsidR="00830987" w:rsidRPr="008A0812" w:rsidRDefault="00830987" w:rsidP="0057569C">
            <w:pPr>
              <w:keepLines/>
              <w:overflowPunct/>
              <w:autoSpaceDE/>
              <w:autoSpaceDN/>
              <w:adjustRightInd/>
              <w:jc w:val="center"/>
              <w:rPr>
                <w:rFonts w:ascii="Segoe UI" w:hAnsi="Segoe UI" w:cs="Segoe UI"/>
                <w:sz w:val="18"/>
                <w:szCs w:val="18"/>
              </w:rPr>
            </w:pPr>
            <w:r w:rsidRPr="008A0812">
              <w:rPr>
                <w:rFonts w:cs="Segoe UI"/>
              </w:rPr>
              <w:t>Secondary Aeration Basins</w:t>
            </w:r>
          </w:p>
        </w:tc>
        <w:tc>
          <w:tcPr>
            <w:tcW w:w="3780" w:type="dxa"/>
            <w:shd w:val="clear" w:color="auto" w:fill="auto"/>
            <w:vAlign w:val="center"/>
            <w:hideMark/>
          </w:tcPr>
          <w:p w14:paraId="4E46D94E" w14:textId="54670423" w:rsidR="00830987" w:rsidRPr="008A0812" w:rsidRDefault="009A0E9B" w:rsidP="0057569C">
            <w:pPr>
              <w:keepLines/>
              <w:overflowPunct/>
              <w:autoSpaceDE/>
              <w:autoSpaceDN/>
              <w:adjustRightInd/>
              <w:rPr>
                <w:rFonts w:ascii="Segoe UI" w:hAnsi="Segoe UI" w:cs="Segoe UI"/>
                <w:sz w:val="18"/>
                <w:szCs w:val="18"/>
              </w:rPr>
            </w:pPr>
            <w:r w:rsidRPr="008A0812">
              <w:rPr>
                <w:rFonts w:cs="Segoe UI"/>
              </w:rPr>
              <w:t>Basins</w:t>
            </w:r>
          </w:p>
        </w:tc>
      </w:tr>
      <w:tr w:rsidR="00830987" w:rsidRPr="008A0812" w14:paraId="1DE8C4F0" w14:textId="77777777" w:rsidTr="0057569C">
        <w:trPr>
          <w:cantSplit/>
          <w:trHeight w:val="285"/>
        </w:trPr>
        <w:tc>
          <w:tcPr>
            <w:tcW w:w="0" w:type="auto"/>
            <w:vMerge/>
            <w:vAlign w:val="center"/>
            <w:hideMark/>
          </w:tcPr>
          <w:p w14:paraId="44E15567"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3060" w:type="dxa"/>
            <w:shd w:val="clear" w:color="auto" w:fill="auto"/>
            <w:vAlign w:val="center"/>
            <w:hideMark/>
          </w:tcPr>
          <w:p w14:paraId="1396392C" w14:textId="295B2A83" w:rsidR="00830987" w:rsidRPr="008A0812" w:rsidRDefault="00830987" w:rsidP="0057569C">
            <w:pPr>
              <w:keepNext/>
              <w:keepLines/>
              <w:overflowPunct/>
              <w:autoSpaceDE/>
              <w:autoSpaceDN/>
              <w:adjustRightInd/>
              <w:jc w:val="center"/>
              <w:rPr>
                <w:rFonts w:ascii="Segoe UI" w:hAnsi="Segoe UI" w:cs="Segoe UI"/>
                <w:sz w:val="18"/>
                <w:szCs w:val="18"/>
              </w:rPr>
            </w:pPr>
            <w:r w:rsidRPr="008A0812">
              <w:rPr>
                <w:rFonts w:cs="Segoe UI"/>
              </w:rPr>
              <w:t>Secondary Aeration System</w:t>
            </w:r>
          </w:p>
        </w:tc>
        <w:tc>
          <w:tcPr>
            <w:tcW w:w="3780" w:type="dxa"/>
            <w:shd w:val="clear" w:color="auto" w:fill="auto"/>
            <w:vAlign w:val="center"/>
            <w:hideMark/>
          </w:tcPr>
          <w:p w14:paraId="051BFDEB" w14:textId="5399A26E"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Blower System</w:t>
            </w:r>
          </w:p>
        </w:tc>
      </w:tr>
      <w:tr w:rsidR="00830987" w:rsidRPr="008A0812" w14:paraId="513E276D" w14:textId="77777777" w:rsidTr="0057569C">
        <w:trPr>
          <w:cantSplit/>
          <w:trHeight w:val="285"/>
        </w:trPr>
        <w:tc>
          <w:tcPr>
            <w:tcW w:w="0" w:type="auto"/>
            <w:vMerge/>
            <w:vAlign w:val="center"/>
            <w:hideMark/>
          </w:tcPr>
          <w:p w14:paraId="05D7F73E"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4934C703" w14:textId="7641BE52" w:rsidR="00830987" w:rsidRPr="008A0812" w:rsidRDefault="00830987" w:rsidP="0057569C">
            <w:pPr>
              <w:keepNext/>
              <w:keepLines/>
              <w:overflowPunct/>
              <w:autoSpaceDE/>
              <w:autoSpaceDN/>
              <w:adjustRightInd/>
              <w:jc w:val="center"/>
              <w:rPr>
                <w:rFonts w:ascii="Segoe UI" w:hAnsi="Segoe UI" w:cs="Segoe UI"/>
                <w:sz w:val="18"/>
                <w:szCs w:val="18"/>
              </w:rPr>
            </w:pPr>
            <w:r w:rsidRPr="3C8A962A">
              <w:rPr>
                <w:rFonts w:cs="Segoe UI"/>
              </w:rPr>
              <w:t>Nitrogen Carousel</w:t>
            </w:r>
          </w:p>
        </w:tc>
        <w:tc>
          <w:tcPr>
            <w:tcW w:w="3780" w:type="dxa"/>
            <w:shd w:val="clear" w:color="auto" w:fill="auto"/>
            <w:vAlign w:val="center"/>
            <w:hideMark/>
          </w:tcPr>
          <w:p w14:paraId="08C38E7E" w14:textId="47F93352"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Aeration Basins</w:t>
            </w:r>
          </w:p>
        </w:tc>
      </w:tr>
      <w:tr w:rsidR="00830987" w:rsidRPr="008A0812" w14:paraId="2D717621" w14:textId="77777777" w:rsidTr="0057569C">
        <w:trPr>
          <w:cantSplit/>
          <w:trHeight w:val="285"/>
        </w:trPr>
        <w:tc>
          <w:tcPr>
            <w:tcW w:w="0" w:type="auto"/>
            <w:vMerge/>
            <w:vAlign w:val="center"/>
            <w:hideMark/>
          </w:tcPr>
          <w:p w14:paraId="587B6E84"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0" w:type="auto"/>
            <w:vMerge/>
            <w:vAlign w:val="center"/>
            <w:hideMark/>
          </w:tcPr>
          <w:p w14:paraId="124BA9B4" w14:textId="77777777" w:rsidR="00830987" w:rsidRPr="008A0812" w:rsidRDefault="00830987" w:rsidP="0057569C">
            <w:pPr>
              <w:keepNext/>
              <w:keepLines/>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7BBA1981" w14:textId="3E32B711"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Clarifiers</w:t>
            </w:r>
          </w:p>
        </w:tc>
      </w:tr>
      <w:tr w:rsidR="00830987" w:rsidRPr="008A0812" w14:paraId="05FEDC62" w14:textId="77777777" w:rsidTr="0057569C">
        <w:trPr>
          <w:cantSplit/>
          <w:trHeight w:val="285"/>
        </w:trPr>
        <w:tc>
          <w:tcPr>
            <w:tcW w:w="0" w:type="auto"/>
            <w:vMerge/>
            <w:vAlign w:val="center"/>
            <w:hideMark/>
          </w:tcPr>
          <w:p w14:paraId="06AA8A77"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0" w:type="auto"/>
            <w:vMerge/>
            <w:vAlign w:val="center"/>
            <w:hideMark/>
          </w:tcPr>
          <w:p w14:paraId="578EAD2D" w14:textId="77777777" w:rsidR="00830987" w:rsidRPr="008A0812" w:rsidRDefault="00830987" w:rsidP="0057569C">
            <w:pPr>
              <w:keepNext/>
              <w:keepLines/>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17968F29" w14:textId="085D0C23"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RAS/WAS Pumping</w:t>
            </w:r>
          </w:p>
        </w:tc>
      </w:tr>
      <w:tr w:rsidR="00830987" w:rsidRPr="008A0812" w14:paraId="6D2A8904" w14:textId="77777777" w:rsidTr="0057569C">
        <w:trPr>
          <w:cantSplit/>
          <w:trHeight w:val="285"/>
        </w:trPr>
        <w:tc>
          <w:tcPr>
            <w:tcW w:w="0" w:type="auto"/>
            <w:vMerge/>
            <w:vAlign w:val="center"/>
            <w:hideMark/>
          </w:tcPr>
          <w:p w14:paraId="1D594FD4"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065842A6" w14:textId="0D00E444" w:rsidR="00830987" w:rsidRPr="008A0812" w:rsidRDefault="00830987" w:rsidP="0057569C">
            <w:pPr>
              <w:keepNext/>
              <w:keepLines/>
              <w:overflowPunct/>
              <w:autoSpaceDE/>
              <w:autoSpaceDN/>
              <w:adjustRightInd/>
              <w:jc w:val="center"/>
              <w:rPr>
                <w:rFonts w:ascii="Segoe UI" w:hAnsi="Segoe UI" w:cs="Segoe UI"/>
                <w:sz w:val="18"/>
                <w:szCs w:val="18"/>
              </w:rPr>
            </w:pPr>
            <w:r w:rsidRPr="008A0812">
              <w:rPr>
                <w:rFonts w:cs="Segoe UI"/>
              </w:rPr>
              <w:t>Secondary Pumping</w:t>
            </w:r>
          </w:p>
        </w:tc>
        <w:tc>
          <w:tcPr>
            <w:tcW w:w="3780" w:type="dxa"/>
            <w:shd w:val="clear" w:color="auto" w:fill="auto"/>
            <w:vAlign w:val="center"/>
            <w:hideMark/>
          </w:tcPr>
          <w:p w14:paraId="03018A7D" w14:textId="74A75A67"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RAS Pumps</w:t>
            </w:r>
          </w:p>
        </w:tc>
      </w:tr>
      <w:tr w:rsidR="00830987" w:rsidRPr="008A0812" w14:paraId="3CB893B6" w14:textId="77777777" w:rsidTr="0057569C">
        <w:trPr>
          <w:cantSplit/>
          <w:trHeight w:val="285"/>
        </w:trPr>
        <w:tc>
          <w:tcPr>
            <w:tcW w:w="0" w:type="auto"/>
            <w:vMerge/>
            <w:vAlign w:val="center"/>
            <w:hideMark/>
          </w:tcPr>
          <w:p w14:paraId="13D753B9"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0" w:type="auto"/>
            <w:vMerge/>
            <w:vAlign w:val="center"/>
            <w:hideMark/>
          </w:tcPr>
          <w:p w14:paraId="46B38E96" w14:textId="77777777" w:rsidR="00830987" w:rsidRPr="008A0812" w:rsidRDefault="00830987" w:rsidP="0057569C">
            <w:pPr>
              <w:keepNext/>
              <w:keepLines/>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7171FB0A" w14:textId="53440A64" w:rsidR="00830987" w:rsidRPr="008A0812" w:rsidRDefault="00830987" w:rsidP="0057569C">
            <w:pPr>
              <w:keepNext/>
              <w:keepLines/>
              <w:overflowPunct/>
              <w:autoSpaceDE/>
              <w:autoSpaceDN/>
              <w:adjustRightInd/>
              <w:rPr>
                <w:rFonts w:ascii="Segoe UI" w:hAnsi="Segoe UI" w:cs="Segoe UI"/>
                <w:sz w:val="18"/>
                <w:szCs w:val="18"/>
              </w:rPr>
            </w:pPr>
            <w:r w:rsidRPr="008A0812">
              <w:rPr>
                <w:rFonts w:cs="Segoe UI"/>
              </w:rPr>
              <w:t>WAS Pumps</w:t>
            </w:r>
          </w:p>
        </w:tc>
      </w:tr>
      <w:tr w:rsidR="00830987" w:rsidRPr="008A0812" w14:paraId="7B0EEA08" w14:textId="77777777" w:rsidTr="0057569C">
        <w:trPr>
          <w:cantSplit/>
          <w:trHeight w:val="285"/>
        </w:trPr>
        <w:tc>
          <w:tcPr>
            <w:tcW w:w="0" w:type="auto"/>
            <w:vMerge/>
            <w:vAlign w:val="center"/>
            <w:hideMark/>
          </w:tcPr>
          <w:p w14:paraId="1007884F" w14:textId="77777777" w:rsidR="00830987" w:rsidRPr="008A0812" w:rsidRDefault="00830987" w:rsidP="0057569C">
            <w:pPr>
              <w:keepLines/>
              <w:overflowPunct/>
              <w:autoSpaceDE/>
              <w:autoSpaceDN/>
              <w:adjustRightInd/>
              <w:textAlignment w:val="auto"/>
              <w:rPr>
                <w:rFonts w:ascii="Segoe UI" w:hAnsi="Segoe UI" w:cs="Segoe UI"/>
                <w:sz w:val="18"/>
                <w:szCs w:val="18"/>
              </w:rPr>
            </w:pPr>
          </w:p>
        </w:tc>
        <w:tc>
          <w:tcPr>
            <w:tcW w:w="3060" w:type="dxa"/>
            <w:shd w:val="clear" w:color="auto" w:fill="auto"/>
            <w:vAlign w:val="center"/>
            <w:hideMark/>
          </w:tcPr>
          <w:p w14:paraId="0C04F45A" w14:textId="3FC6D8E7" w:rsidR="00830987" w:rsidRPr="008A0812" w:rsidRDefault="00830987" w:rsidP="0057569C">
            <w:pPr>
              <w:keepNext/>
              <w:keepLines/>
              <w:overflowPunct/>
              <w:autoSpaceDE/>
              <w:autoSpaceDN/>
              <w:adjustRightInd/>
              <w:jc w:val="center"/>
              <w:rPr>
                <w:rFonts w:ascii="Segoe UI" w:hAnsi="Segoe UI" w:cs="Segoe UI"/>
                <w:sz w:val="18"/>
                <w:szCs w:val="18"/>
              </w:rPr>
            </w:pPr>
            <w:r w:rsidRPr="008A0812">
              <w:rPr>
                <w:rFonts w:cs="Segoe UI"/>
              </w:rPr>
              <w:t>Secondary Clarifiers</w:t>
            </w:r>
          </w:p>
        </w:tc>
        <w:tc>
          <w:tcPr>
            <w:tcW w:w="3780" w:type="dxa"/>
            <w:shd w:val="clear" w:color="auto" w:fill="auto"/>
            <w:vAlign w:val="center"/>
            <w:hideMark/>
          </w:tcPr>
          <w:p w14:paraId="351ED645" w14:textId="5594CA90" w:rsidR="00830987" w:rsidRPr="008A0812" w:rsidRDefault="00D11D6D" w:rsidP="0057569C">
            <w:pPr>
              <w:keepNext/>
              <w:keepLines/>
              <w:overflowPunct/>
              <w:autoSpaceDE/>
              <w:autoSpaceDN/>
              <w:adjustRightInd/>
              <w:rPr>
                <w:rFonts w:ascii="Segoe UI" w:hAnsi="Segoe UI" w:cs="Segoe UI"/>
                <w:sz w:val="18"/>
                <w:szCs w:val="18"/>
              </w:rPr>
            </w:pPr>
            <w:r w:rsidRPr="008A0812">
              <w:rPr>
                <w:rFonts w:cs="Segoe UI"/>
              </w:rPr>
              <w:t>Clarifier Tanks</w:t>
            </w:r>
          </w:p>
        </w:tc>
      </w:tr>
      <w:tr w:rsidR="00830987" w:rsidRPr="008A0812" w14:paraId="2CA6D512" w14:textId="77777777" w:rsidTr="00065048">
        <w:trPr>
          <w:trHeight w:val="285"/>
        </w:trPr>
        <w:tc>
          <w:tcPr>
            <w:tcW w:w="2504" w:type="dxa"/>
            <w:vMerge w:val="restart"/>
            <w:shd w:val="clear" w:color="auto" w:fill="auto"/>
            <w:vAlign w:val="center"/>
            <w:hideMark/>
          </w:tcPr>
          <w:p w14:paraId="42268636" w14:textId="566316BD" w:rsidR="00830987" w:rsidRPr="008A0812" w:rsidRDefault="00830987" w:rsidP="00830987">
            <w:pPr>
              <w:overflowPunct/>
              <w:autoSpaceDE/>
              <w:autoSpaceDN/>
              <w:adjustRightInd/>
              <w:jc w:val="center"/>
              <w:rPr>
                <w:rFonts w:ascii="Segoe UI" w:hAnsi="Segoe UI" w:cs="Segoe UI"/>
                <w:sz w:val="18"/>
                <w:szCs w:val="18"/>
              </w:rPr>
            </w:pPr>
            <w:r w:rsidRPr="008A0812">
              <w:rPr>
                <w:rFonts w:cs="Segoe UI"/>
              </w:rPr>
              <w:t>Solids Treatment</w:t>
            </w:r>
          </w:p>
        </w:tc>
        <w:tc>
          <w:tcPr>
            <w:tcW w:w="3060" w:type="dxa"/>
            <w:vMerge w:val="restart"/>
            <w:shd w:val="clear" w:color="auto" w:fill="auto"/>
            <w:vAlign w:val="center"/>
            <w:hideMark/>
          </w:tcPr>
          <w:p w14:paraId="5AF7A8D2" w14:textId="1F489D4A" w:rsidR="00830987" w:rsidRPr="008A0812" w:rsidRDefault="00830987" w:rsidP="00830987">
            <w:pPr>
              <w:overflowPunct/>
              <w:autoSpaceDE/>
              <w:autoSpaceDN/>
              <w:adjustRightInd/>
              <w:jc w:val="center"/>
              <w:rPr>
                <w:rFonts w:ascii="Segoe UI" w:hAnsi="Segoe UI" w:cs="Segoe UI"/>
                <w:sz w:val="18"/>
                <w:szCs w:val="18"/>
              </w:rPr>
            </w:pPr>
            <w:r w:rsidRPr="008A0812">
              <w:rPr>
                <w:rFonts w:cs="Segoe UI"/>
              </w:rPr>
              <w:t>Dissolved Air Flotation Thickener</w:t>
            </w:r>
          </w:p>
        </w:tc>
        <w:tc>
          <w:tcPr>
            <w:tcW w:w="3780" w:type="dxa"/>
            <w:shd w:val="clear" w:color="auto" w:fill="auto"/>
            <w:vAlign w:val="center"/>
            <w:hideMark/>
          </w:tcPr>
          <w:p w14:paraId="6A146D02" w14:textId="744F8A99" w:rsidR="00830987" w:rsidRPr="008A0812" w:rsidRDefault="00830987" w:rsidP="00830987">
            <w:pPr>
              <w:overflowPunct/>
              <w:autoSpaceDE/>
              <w:autoSpaceDN/>
              <w:adjustRightInd/>
              <w:rPr>
                <w:rFonts w:ascii="Segoe UI" w:hAnsi="Segoe UI" w:cs="Segoe UI"/>
                <w:sz w:val="18"/>
                <w:szCs w:val="18"/>
              </w:rPr>
            </w:pPr>
            <w:r w:rsidRPr="008A0812">
              <w:rPr>
                <w:rFonts w:cs="Segoe UI"/>
              </w:rPr>
              <w:t>Thickened Sludge Pumps</w:t>
            </w:r>
          </w:p>
        </w:tc>
      </w:tr>
      <w:tr w:rsidR="00830987" w:rsidRPr="008A0812" w14:paraId="6C7B7DFA" w14:textId="77777777" w:rsidTr="00065048">
        <w:trPr>
          <w:trHeight w:val="285"/>
        </w:trPr>
        <w:tc>
          <w:tcPr>
            <w:tcW w:w="0" w:type="auto"/>
            <w:vMerge/>
            <w:vAlign w:val="center"/>
            <w:hideMark/>
          </w:tcPr>
          <w:p w14:paraId="1748EA3C" w14:textId="77777777" w:rsidR="00830987" w:rsidRPr="008A0812" w:rsidRDefault="00830987" w:rsidP="00830987">
            <w:pPr>
              <w:overflowPunct/>
              <w:autoSpaceDE/>
              <w:autoSpaceDN/>
              <w:adjustRightInd/>
              <w:textAlignment w:val="auto"/>
              <w:rPr>
                <w:rFonts w:ascii="Segoe UI" w:hAnsi="Segoe UI" w:cs="Segoe UI"/>
                <w:sz w:val="18"/>
                <w:szCs w:val="18"/>
              </w:rPr>
            </w:pPr>
          </w:p>
        </w:tc>
        <w:tc>
          <w:tcPr>
            <w:tcW w:w="0" w:type="auto"/>
            <w:vMerge/>
            <w:vAlign w:val="center"/>
            <w:hideMark/>
          </w:tcPr>
          <w:p w14:paraId="634EB957" w14:textId="77777777" w:rsidR="00830987" w:rsidRPr="008A0812" w:rsidRDefault="00830987" w:rsidP="00830987">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5E292BA0" w14:textId="003C6A87" w:rsidR="00830987" w:rsidRPr="008A0812" w:rsidRDefault="009F2C13" w:rsidP="00830987">
            <w:pPr>
              <w:overflowPunct/>
              <w:autoSpaceDE/>
              <w:autoSpaceDN/>
              <w:adjustRightInd/>
              <w:rPr>
                <w:rFonts w:ascii="Segoe UI" w:hAnsi="Segoe UI" w:cs="Segoe UI"/>
                <w:sz w:val="18"/>
                <w:szCs w:val="18"/>
              </w:rPr>
            </w:pPr>
            <w:r w:rsidRPr="008A0812">
              <w:rPr>
                <w:rFonts w:cs="Segoe UI"/>
              </w:rPr>
              <w:t>DAFT</w:t>
            </w:r>
            <w:r w:rsidR="00830987" w:rsidRPr="008A0812">
              <w:rPr>
                <w:rFonts w:cs="Segoe UI"/>
              </w:rPr>
              <w:t xml:space="preserve"> Tanks</w:t>
            </w:r>
          </w:p>
        </w:tc>
      </w:tr>
      <w:tr w:rsidR="009F2C13" w:rsidRPr="008A0812" w14:paraId="1B60A07C" w14:textId="77777777" w:rsidTr="00065048">
        <w:trPr>
          <w:trHeight w:val="285"/>
        </w:trPr>
        <w:tc>
          <w:tcPr>
            <w:tcW w:w="0" w:type="auto"/>
            <w:vMerge/>
            <w:vAlign w:val="center"/>
            <w:hideMark/>
          </w:tcPr>
          <w:p w14:paraId="589CCC64"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1259F9D0" w14:textId="0518B0F0"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Anaerobic Digesters</w:t>
            </w:r>
          </w:p>
        </w:tc>
        <w:tc>
          <w:tcPr>
            <w:tcW w:w="3780" w:type="dxa"/>
            <w:shd w:val="clear" w:color="auto" w:fill="auto"/>
            <w:vAlign w:val="center"/>
            <w:hideMark/>
          </w:tcPr>
          <w:p w14:paraId="20D1601B" w14:textId="17D8FB34" w:rsidR="009F2C13" w:rsidRPr="008A0812" w:rsidRDefault="009F2C13" w:rsidP="009F2C13">
            <w:pPr>
              <w:overflowPunct/>
              <w:autoSpaceDE/>
              <w:autoSpaceDN/>
              <w:adjustRightInd/>
              <w:rPr>
                <w:rFonts w:ascii="Segoe UI" w:hAnsi="Segoe UI" w:cs="Segoe UI"/>
                <w:sz w:val="18"/>
                <w:szCs w:val="18"/>
              </w:rPr>
            </w:pPr>
            <w:r w:rsidRPr="008A0812">
              <w:rPr>
                <w:rFonts w:cs="Segoe UI"/>
              </w:rPr>
              <w:t>Digester Recirculation Pumps</w:t>
            </w:r>
          </w:p>
        </w:tc>
      </w:tr>
      <w:tr w:rsidR="009F2C13" w:rsidRPr="008A0812" w14:paraId="6966C60B" w14:textId="77777777" w:rsidTr="00065048">
        <w:trPr>
          <w:trHeight w:val="285"/>
        </w:trPr>
        <w:tc>
          <w:tcPr>
            <w:tcW w:w="0" w:type="auto"/>
            <w:vMerge/>
            <w:vAlign w:val="center"/>
            <w:hideMark/>
          </w:tcPr>
          <w:p w14:paraId="7DCB3616"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77E6E8D8"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707F943C" w14:textId="11833A51" w:rsidR="009F2C13" w:rsidRPr="008A0812" w:rsidRDefault="009F2C13" w:rsidP="009F2C13">
            <w:pPr>
              <w:overflowPunct/>
              <w:autoSpaceDE/>
              <w:autoSpaceDN/>
              <w:adjustRightInd/>
              <w:rPr>
                <w:rFonts w:ascii="Segoe UI" w:hAnsi="Segoe UI" w:cs="Segoe UI"/>
                <w:sz w:val="18"/>
                <w:szCs w:val="18"/>
              </w:rPr>
            </w:pPr>
            <w:r w:rsidRPr="008A0812">
              <w:rPr>
                <w:rFonts w:cs="Segoe UI"/>
              </w:rPr>
              <w:t>Digester Mixing Pumps</w:t>
            </w:r>
          </w:p>
        </w:tc>
      </w:tr>
      <w:tr w:rsidR="009F2C13" w:rsidRPr="008A0812" w14:paraId="2E806EE7" w14:textId="77777777" w:rsidTr="00065048">
        <w:trPr>
          <w:trHeight w:val="285"/>
        </w:trPr>
        <w:tc>
          <w:tcPr>
            <w:tcW w:w="0" w:type="auto"/>
            <w:vMerge/>
            <w:vAlign w:val="center"/>
            <w:hideMark/>
          </w:tcPr>
          <w:p w14:paraId="26C884C4"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759A14D6"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331E5A71" w14:textId="7260E2E8" w:rsidR="009F2C13" w:rsidRPr="008A0812" w:rsidRDefault="009F2C13" w:rsidP="009F2C13">
            <w:pPr>
              <w:overflowPunct/>
              <w:autoSpaceDE/>
              <w:autoSpaceDN/>
              <w:adjustRightInd/>
              <w:rPr>
                <w:rFonts w:ascii="Segoe UI" w:hAnsi="Segoe UI" w:cs="Segoe UI"/>
                <w:sz w:val="18"/>
                <w:szCs w:val="18"/>
              </w:rPr>
            </w:pPr>
            <w:r w:rsidRPr="008A0812">
              <w:rPr>
                <w:rFonts w:cs="Segoe UI"/>
              </w:rPr>
              <w:t>Digester Heating System</w:t>
            </w:r>
          </w:p>
        </w:tc>
      </w:tr>
      <w:tr w:rsidR="009F2C13" w:rsidRPr="008A0812" w14:paraId="52A3C3CC" w14:textId="77777777" w:rsidTr="00065048">
        <w:trPr>
          <w:trHeight w:val="285"/>
        </w:trPr>
        <w:tc>
          <w:tcPr>
            <w:tcW w:w="0" w:type="auto"/>
            <w:vMerge/>
            <w:vAlign w:val="center"/>
            <w:hideMark/>
          </w:tcPr>
          <w:p w14:paraId="102B6332"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6B892F62"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08EBA19D" w14:textId="09EDC1F1" w:rsidR="009F2C13" w:rsidRPr="008A0812" w:rsidRDefault="009F2C13" w:rsidP="009F2C13">
            <w:pPr>
              <w:overflowPunct/>
              <w:autoSpaceDE/>
              <w:autoSpaceDN/>
              <w:adjustRightInd/>
              <w:rPr>
                <w:rFonts w:ascii="Segoe UI" w:hAnsi="Segoe UI" w:cs="Segoe UI"/>
                <w:sz w:val="18"/>
                <w:szCs w:val="18"/>
              </w:rPr>
            </w:pPr>
            <w:r w:rsidRPr="008A0812">
              <w:rPr>
                <w:rFonts w:cs="Segoe UI"/>
              </w:rPr>
              <w:t>Digester Gas Collection System</w:t>
            </w:r>
          </w:p>
        </w:tc>
      </w:tr>
      <w:tr w:rsidR="009F2C13" w:rsidRPr="008A0812" w14:paraId="2FBFAE09" w14:textId="77777777" w:rsidTr="00065048">
        <w:trPr>
          <w:trHeight w:val="285"/>
        </w:trPr>
        <w:tc>
          <w:tcPr>
            <w:tcW w:w="0" w:type="auto"/>
            <w:vMerge/>
            <w:vAlign w:val="center"/>
            <w:hideMark/>
          </w:tcPr>
          <w:p w14:paraId="6F9B590D"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35B42FCD" w14:textId="4DA31991"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Digested Sludge Storage</w:t>
            </w:r>
          </w:p>
        </w:tc>
        <w:tc>
          <w:tcPr>
            <w:tcW w:w="3780" w:type="dxa"/>
            <w:shd w:val="clear" w:color="auto" w:fill="auto"/>
            <w:vAlign w:val="center"/>
            <w:hideMark/>
          </w:tcPr>
          <w:p w14:paraId="5C9A8A7C" w14:textId="61B9EEA3" w:rsidR="009F2C13" w:rsidRPr="008A0812" w:rsidRDefault="009F2C13" w:rsidP="009F2C13">
            <w:pPr>
              <w:overflowPunct/>
              <w:autoSpaceDE/>
              <w:autoSpaceDN/>
              <w:adjustRightInd/>
              <w:rPr>
                <w:rFonts w:ascii="Segoe UI" w:hAnsi="Segoe UI" w:cs="Segoe UI"/>
                <w:sz w:val="18"/>
                <w:szCs w:val="18"/>
              </w:rPr>
            </w:pPr>
            <w:r w:rsidRPr="008A0812">
              <w:rPr>
                <w:rFonts w:cs="Segoe UI"/>
              </w:rPr>
              <w:t>Storage Tanks</w:t>
            </w:r>
          </w:p>
        </w:tc>
      </w:tr>
      <w:tr w:rsidR="009F2C13" w:rsidRPr="008A0812" w14:paraId="045FD9D4" w14:textId="77777777" w:rsidTr="00065048">
        <w:trPr>
          <w:trHeight w:val="285"/>
        </w:trPr>
        <w:tc>
          <w:tcPr>
            <w:tcW w:w="0" w:type="auto"/>
            <w:vMerge/>
            <w:vAlign w:val="center"/>
          </w:tcPr>
          <w:p w14:paraId="5D77F2E5"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060" w:type="dxa"/>
            <w:vMerge/>
            <w:vAlign w:val="center"/>
          </w:tcPr>
          <w:p w14:paraId="5DAE2C8E" w14:textId="77777777" w:rsidR="009F2C13" w:rsidRPr="008A0812" w:rsidRDefault="009F2C13" w:rsidP="009F2C13">
            <w:pPr>
              <w:overflowPunct/>
              <w:autoSpaceDE/>
              <w:autoSpaceDN/>
              <w:adjustRightInd/>
              <w:jc w:val="center"/>
              <w:rPr>
                <w:rFonts w:cs="Segoe UI"/>
              </w:rPr>
            </w:pPr>
          </w:p>
        </w:tc>
        <w:tc>
          <w:tcPr>
            <w:tcW w:w="3780" w:type="dxa"/>
            <w:shd w:val="clear" w:color="auto" w:fill="auto"/>
            <w:vAlign w:val="center"/>
          </w:tcPr>
          <w:p w14:paraId="7DF03CF7" w14:textId="2E2EE295" w:rsidR="009F2C13" w:rsidRPr="008A0812" w:rsidRDefault="009F2C13" w:rsidP="009F2C13">
            <w:pPr>
              <w:overflowPunct/>
              <w:autoSpaceDE/>
              <w:autoSpaceDN/>
              <w:adjustRightInd/>
              <w:rPr>
                <w:rFonts w:cs="Segoe UI"/>
              </w:rPr>
            </w:pPr>
            <w:r w:rsidRPr="008A0812">
              <w:rPr>
                <w:rFonts w:cs="Segoe UI"/>
              </w:rPr>
              <w:t>Mixing Pumps</w:t>
            </w:r>
          </w:p>
        </w:tc>
      </w:tr>
      <w:tr w:rsidR="0057569C" w:rsidRPr="008A0812" w14:paraId="174C2F90" w14:textId="77777777" w:rsidTr="00065048">
        <w:trPr>
          <w:trHeight w:val="285"/>
        </w:trPr>
        <w:tc>
          <w:tcPr>
            <w:tcW w:w="0" w:type="auto"/>
            <w:vMerge/>
            <w:vAlign w:val="center"/>
            <w:hideMark/>
          </w:tcPr>
          <w:p w14:paraId="678453D4"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5A90CD92" w14:textId="015C512F" w:rsidR="0057569C" w:rsidRPr="008A0812" w:rsidRDefault="0057569C" w:rsidP="009F2C13">
            <w:pPr>
              <w:overflowPunct/>
              <w:autoSpaceDE/>
              <w:autoSpaceDN/>
              <w:adjustRightInd/>
              <w:jc w:val="center"/>
              <w:rPr>
                <w:rFonts w:ascii="Segoe UI" w:hAnsi="Segoe UI" w:cs="Segoe UI"/>
                <w:sz w:val="18"/>
                <w:szCs w:val="18"/>
              </w:rPr>
            </w:pPr>
            <w:r w:rsidRPr="3C8A962A">
              <w:rPr>
                <w:rFonts w:cs="Segoe UI"/>
              </w:rPr>
              <w:t>Dewatering</w:t>
            </w:r>
          </w:p>
        </w:tc>
        <w:tc>
          <w:tcPr>
            <w:tcW w:w="3780" w:type="dxa"/>
            <w:shd w:val="clear" w:color="auto" w:fill="auto"/>
            <w:vAlign w:val="center"/>
            <w:hideMark/>
          </w:tcPr>
          <w:p w14:paraId="002B46EA" w14:textId="0A97EFA3" w:rsidR="0057569C" w:rsidRPr="008A0812" w:rsidRDefault="0057569C" w:rsidP="009F2C13">
            <w:pPr>
              <w:overflowPunct/>
              <w:autoSpaceDE/>
              <w:autoSpaceDN/>
              <w:adjustRightInd/>
              <w:rPr>
                <w:rFonts w:ascii="Segoe UI" w:hAnsi="Segoe UI" w:cs="Segoe UI"/>
                <w:sz w:val="18"/>
                <w:szCs w:val="18"/>
              </w:rPr>
            </w:pPr>
            <w:r w:rsidRPr="008A0812">
              <w:rPr>
                <w:rFonts w:cs="Segoe UI"/>
              </w:rPr>
              <w:t>Belt Press Feed Pumps</w:t>
            </w:r>
          </w:p>
        </w:tc>
      </w:tr>
      <w:tr w:rsidR="0057569C" w:rsidRPr="008A0812" w14:paraId="1217230C" w14:textId="77777777" w:rsidTr="00065048">
        <w:trPr>
          <w:trHeight w:val="285"/>
        </w:trPr>
        <w:tc>
          <w:tcPr>
            <w:tcW w:w="0" w:type="auto"/>
            <w:vMerge/>
            <w:vAlign w:val="center"/>
            <w:hideMark/>
          </w:tcPr>
          <w:p w14:paraId="60C975C3"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2BB7A8DE"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3FD60F56" w14:textId="01D0EA8E" w:rsidR="0057569C" w:rsidRPr="008A0812" w:rsidRDefault="0057569C" w:rsidP="009F2C13">
            <w:pPr>
              <w:overflowPunct/>
              <w:autoSpaceDE/>
              <w:autoSpaceDN/>
              <w:adjustRightInd/>
              <w:rPr>
                <w:rFonts w:ascii="Segoe UI" w:hAnsi="Segoe UI" w:cs="Segoe UI"/>
                <w:sz w:val="18"/>
                <w:szCs w:val="18"/>
              </w:rPr>
            </w:pPr>
            <w:r w:rsidRPr="008A0812">
              <w:rPr>
                <w:rFonts w:cs="Segoe UI"/>
              </w:rPr>
              <w:t>Belt Press</w:t>
            </w:r>
          </w:p>
        </w:tc>
      </w:tr>
      <w:tr w:rsidR="0057569C" w:rsidRPr="008A0812" w14:paraId="3D68A0CA" w14:textId="77777777" w:rsidTr="00065048">
        <w:trPr>
          <w:trHeight w:val="285"/>
        </w:trPr>
        <w:tc>
          <w:tcPr>
            <w:tcW w:w="0" w:type="auto"/>
            <w:vMerge/>
            <w:vAlign w:val="center"/>
            <w:hideMark/>
          </w:tcPr>
          <w:p w14:paraId="1CA83DCE"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7D57D562"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2DA210BB" w14:textId="46C2FA40" w:rsidR="0057569C" w:rsidRPr="008A0812" w:rsidRDefault="0057569C" w:rsidP="009F2C13">
            <w:pPr>
              <w:overflowPunct/>
              <w:autoSpaceDE/>
              <w:autoSpaceDN/>
              <w:adjustRightInd/>
              <w:rPr>
                <w:rFonts w:ascii="Segoe UI" w:hAnsi="Segoe UI" w:cs="Segoe UI"/>
                <w:sz w:val="18"/>
                <w:szCs w:val="18"/>
              </w:rPr>
            </w:pPr>
            <w:r w:rsidRPr="008A0812">
              <w:rPr>
                <w:rFonts w:cs="Segoe UI"/>
              </w:rPr>
              <w:t>Recycle Pumps</w:t>
            </w:r>
          </w:p>
        </w:tc>
      </w:tr>
      <w:tr w:rsidR="0057569C" w:rsidRPr="008A0812" w14:paraId="1F9F176C" w14:textId="77777777" w:rsidTr="00065048">
        <w:trPr>
          <w:trHeight w:val="285"/>
        </w:trPr>
        <w:tc>
          <w:tcPr>
            <w:tcW w:w="0" w:type="auto"/>
            <w:vMerge/>
            <w:vAlign w:val="center"/>
            <w:hideMark/>
          </w:tcPr>
          <w:p w14:paraId="71ED2A77"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32830334"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671EB1FD" w14:textId="41075556" w:rsidR="0057569C" w:rsidRPr="008A0812" w:rsidRDefault="0057569C" w:rsidP="009F2C13">
            <w:pPr>
              <w:overflowPunct/>
              <w:autoSpaceDE/>
              <w:autoSpaceDN/>
              <w:adjustRightInd/>
              <w:rPr>
                <w:rFonts w:ascii="Segoe UI" w:hAnsi="Segoe UI" w:cs="Segoe UI"/>
                <w:sz w:val="18"/>
                <w:szCs w:val="18"/>
              </w:rPr>
            </w:pPr>
            <w:r w:rsidRPr="008A0812">
              <w:rPr>
                <w:rFonts w:cs="Segoe UI"/>
              </w:rPr>
              <w:t>Centrifuge Feed Pump</w:t>
            </w:r>
          </w:p>
        </w:tc>
      </w:tr>
      <w:tr w:rsidR="0057569C" w:rsidRPr="008A0812" w14:paraId="36D91B4A" w14:textId="77777777" w:rsidTr="00065048">
        <w:trPr>
          <w:trHeight w:val="285"/>
        </w:trPr>
        <w:tc>
          <w:tcPr>
            <w:tcW w:w="0" w:type="auto"/>
            <w:vMerge/>
            <w:vAlign w:val="center"/>
            <w:hideMark/>
          </w:tcPr>
          <w:p w14:paraId="35523BEA"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2ED143E5"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2D267166" w14:textId="5161A280" w:rsidR="0057569C" w:rsidRPr="008A0812" w:rsidRDefault="0057569C" w:rsidP="009F2C13">
            <w:pPr>
              <w:overflowPunct/>
              <w:autoSpaceDE/>
              <w:autoSpaceDN/>
              <w:adjustRightInd/>
              <w:rPr>
                <w:rFonts w:ascii="Segoe UI" w:hAnsi="Segoe UI" w:cs="Segoe UI"/>
                <w:sz w:val="18"/>
                <w:szCs w:val="18"/>
              </w:rPr>
            </w:pPr>
            <w:r w:rsidRPr="008A0812">
              <w:rPr>
                <w:rFonts w:cs="Segoe UI"/>
              </w:rPr>
              <w:t>Centrifuge</w:t>
            </w:r>
          </w:p>
        </w:tc>
      </w:tr>
      <w:tr w:rsidR="0057569C" w:rsidRPr="008A0812" w14:paraId="658C5323" w14:textId="77777777" w:rsidTr="00065048">
        <w:trPr>
          <w:trHeight w:val="285"/>
        </w:trPr>
        <w:tc>
          <w:tcPr>
            <w:tcW w:w="0" w:type="auto"/>
            <w:vMerge/>
            <w:vAlign w:val="center"/>
          </w:tcPr>
          <w:p w14:paraId="5FCCA8AC"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0" w:type="auto"/>
            <w:vMerge/>
            <w:vAlign w:val="center"/>
          </w:tcPr>
          <w:p w14:paraId="496FAC5F" w14:textId="77777777" w:rsidR="0057569C" w:rsidRPr="008A0812" w:rsidRDefault="0057569C"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tcPr>
          <w:p w14:paraId="5C3482D7" w14:textId="5FBAC7CB" w:rsidR="0057569C" w:rsidRPr="008A0812" w:rsidRDefault="0057569C" w:rsidP="009F2C13">
            <w:pPr>
              <w:overflowPunct/>
              <w:autoSpaceDE/>
              <w:autoSpaceDN/>
              <w:adjustRightInd/>
              <w:rPr>
                <w:rFonts w:cs="Segoe UI"/>
              </w:rPr>
            </w:pPr>
            <w:r>
              <w:rPr>
                <w:rFonts w:cs="Segoe UI"/>
              </w:rPr>
              <w:t>Polymer System</w:t>
            </w:r>
          </w:p>
        </w:tc>
      </w:tr>
      <w:tr w:rsidR="009F2C13" w:rsidRPr="008A0812" w14:paraId="12423142" w14:textId="77777777" w:rsidTr="00065048">
        <w:trPr>
          <w:trHeight w:val="285"/>
        </w:trPr>
        <w:tc>
          <w:tcPr>
            <w:tcW w:w="0" w:type="auto"/>
            <w:vMerge/>
            <w:vAlign w:val="center"/>
            <w:hideMark/>
          </w:tcPr>
          <w:p w14:paraId="41F8B96E"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060" w:type="dxa"/>
            <w:vMerge w:val="restart"/>
            <w:shd w:val="clear" w:color="auto" w:fill="auto"/>
            <w:vAlign w:val="center"/>
            <w:hideMark/>
          </w:tcPr>
          <w:p w14:paraId="7DEE78BD" w14:textId="24C3F7A9"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Truck Loading, Conveyors and Storage Silos</w:t>
            </w:r>
          </w:p>
        </w:tc>
        <w:tc>
          <w:tcPr>
            <w:tcW w:w="3780" w:type="dxa"/>
            <w:shd w:val="clear" w:color="auto" w:fill="auto"/>
            <w:vAlign w:val="center"/>
            <w:hideMark/>
          </w:tcPr>
          <w:p w14:paraId="409AEB50" w14:textId="394BBA4B" w:rsidR="009F2C13" w:rsidRPr="008A0812" w:rsidRDefault="009F2C13" w:rsidP="3C8A962A">
            <w:pPr>
              <w:overflowPunct/>
              <w:autoSpaceDE/>
              <w:autoSpaceDN/>
              <w:adjustRightInd/>
              <w:rPr>
                <w:rFonts w:cs="Segoe UI"/>
              </w:rPr>
            </w:pPr>
            <w:r w:rsidRPr="3C8A962A">
              <w:rPr>
                <w:rFonts w:cs="Segoe UI"/>
              </w:rPr>
              <w:t>S</w:t>
            </w:r>
            <w:r w:rsidR="2F709557" w:rsidRPr="3C8A962A">
              <w:rPr>
                <w:rFonts w:cs="Segoe UI"/>
              </w:rPr>
              <w:t>ilo</w:t>
            </w:r>
          </w:p>
        </w:tc>
      </w:tr>
      <w:tr w:rsidR="009F2C13" w:rsidRPr="008A0812" w14:paraId="697E1868" w14:textId="77777777" w:rsidTr="00065048">
        <w:trPr>
          <w:trHeight w:val="285"/>
        </w:trPr>
        <w:tc>
          <w:tcPr>
            <w:tcW w:w="0" w:type="auto"/>
            <w:vMerge/>
            <w:vAlign w:val="center"/>
            <w:hideMark/>
          </w:tcPr>
          <w:p w14:paraId="1068789C"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12E7C507"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607E548A" w14:textId="60F22B32" w:rsidR="009F2C13" w:rsidRPr="008A0812" w:rsidRDefault="009F2C13" w:rsidP="009F2C13">
            <w:pPr>
              <w:overflowPunct/>
              <w:autoSpaceDE/>
              <w:autoSpaceDN/>
              <w:adjustRightInd/>
              <w:rPr>
                <w:rFonts w:ascii="Segoe UI" w:hAnsi="Segoe UI" w:cs="Segoe UI"/>
                <w:sz w:val="18"/>
                <w:szCs w:val="18"/>
              </w:rPr>
            </w:pPr>
            <w:r w:rsidRPr="3C8A962A">
              <w:rPr>
                <w:rFonts w:cs="Segoe UI"/>
              </w:rPr>
              <w:t>Truck Loading Bin</w:t>
            </w:r>
          </w:p>
        </w:tc>
      </w:tr>
      <w:tr w:rsidR="009F2C13" w:rsidRPr="008A0812" w14:paraId="16F8EB3D" w14:textId="77777777" w:rsidTr="00065048">
        <w:trPr>
          <w:trHeight w:val="285"/>
        </w:trPr>
        <w:tc>
          <w:tcPr>
            <w:tcW w:w="0" w:type="auto"/>
            <w:vMerge/>
            <w:vAlign w:val="center"/>
            <w:hideMark/>
          </w:tcPr>
          <w:p w14:paraId="257B4BAA"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0" w:type="auto"/>
            <w:vMerge/>
            <w:vAlign w:val="center"/>
            <w:hideMark/>
          </w:tcPr>
          <w:p w14:paraId="0612723B"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780" w:type="dxa"/>
            <w:shd w:val="clear" w:color="auto" w:fill="auto"/>
            <w:vAlign w:val="center"/>
            <w:hideMark/>
          </w:tcPr>
          <w:p w14:paraId="0CB50120" w14:textId="1AF00AC7" w:rsidR="009F2C13" w:rsidRPr="008A0812" w:rsidRDefault="009F2C13" w:rsidP="009F2C13">
            <w:pPr>
              <w:overflowPunct/>
              <w:autoSpaceDE/>
              <w:autoSpaceDN/>
              <w:adjustRightInd/>
              <w:rPr>
                <w:rFonts w:ascii="Segoe UI" w:hAnsi="Segoe UI" w:cs="Segoe UI"/>
                <w:sz w:val="18"/>
                <w:szCs w:val="18"/>
              </w:rPr>
            </w:pPr>
            <w:r w:rsidRPr="3C8A962A">
              <w:rPr>
                <w:rFonts w:cs="Segoe UI"/>
              </w:rPr>
              <w:t>Conveyor and Belt</w:t>
            </w:r>
          </w:p>
        </w:tc>
      </w:tr>
      <w:tr w:rsidR="009F2C13" w:rsidRPr="008A0812" w14:paraId="3D386676" w14:textId="77777777" w:rsidTr="00065048">
        <w:trPr>
          <w:trHeight w:val="285"/>
        </w:trPr>
        <w:tc>
          <w:tcPr>
            <w:tcW w:w="2504" w:type="dxa"/>
            <w:vMerge w:val="restart"/>
            <w:shd w:val="clear" w:color="auto" w:fill="auto"/>
            <w:vAlign w:val="center"/>
            <w:hideMark/>
          </w:tcPr>
          <w:p w14:paraId="666548FE" w14:textId="507891B3"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Discharge</w:t>
            </w:r>
          </w:p>
        </w:tc>
        <w:tc>
          <w:tcPr>
            <w:tcW w:w="3060" w:type="dxa"/>
            <w:shd w:val="clear" w:color="auto" w:fill="auto"/>
            <w:vAlign w:val="center"/>
            <w:hideMark/>
          </w:tcPr>
          <w:p w14:paraId="56AE1D33" w14:textId="0C82C85F"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Gravity Conveyance to RIX</w:t>
            </w:r>
          </w:p>
        </w:tc>
        <w:tc>
          <w:tcPr>
            <w:tcW w:w="3780" w:type="dxa"/>
            <w:shd w:val="clear" w:color="auto" w:fill="auto"/>
            <w:vAlign w:val="center"/>
            <w:hideMark/>
          </w:tcPr>
          <w:p w14:paraId="70A32110" w14:textId="29C0ACB0" w:rsidR="009F2C13" w:rsidRPr="008A0812" w:rsidRDefault="009F2C13" w:rsidP="009F2C13">
            <w:pPr>
              <w:overflowPunct/>
              <w:autoSpaceDE/>
              <w:autoSpaceDN/>
              <w:adjustRightInd/>
              <w:rPr>
                <w:rFonts w:ascii="Segoe UI" w:hAnsi="Segoe UI" w:cs="Segoe UI"/>
                <w:sz w:val="18"/>
                <w:szCs w:val="18"/>
              </w:rPr>
            </w:pPr>
            <w:r w:rsidRPr="008A0812">
              <w:rPr>
                <w:rFonts w:cs="Segoe UI"/>
              </w:rPr>
              <w:t>Flow Metering and Sampling Station</w:t>
            </w:r>
          </w:p>
        </w:tc>
      </w:tr>
      <w:tr w:rsidR="009F2C13" w:rsidRPr="008A0812" w14:paraId="41E6C424" w14:textId="77777777" w:rsidTr="00065048">
        <w:trPr>
          <w:trHeight w:val="285"/>
        </w:trPr>
        <w:tc>
          <w:tcPr>
            <w:tcW w:w="0" w:type="auto"/>
            <w:vMerge/>
            <w:vAlign w:val="center"/>
            <w:hideMark/>
          </w:tcPr>
          <w:p w14:paraId="37BF9C40" w14:textId="77777777" w:rsidR="009F2C13" w:rsidRPr="008A0812" w:rsidRDefault="009F2C13" w:rsidP="009F2C13">
            <w:pPr>
              <w:overflowPunct/>
              <w:autoSpaceDE/>
              <w:autoSpaceDN/>
              <w:adjustRightInd/>
              <w:textAlignment w:val="auto"/>
              <w:rPr>
                <w:rFonts w:ascii="Segoe UI" w:hAnsi="Segoe UI" w:cs="Segoe UI"/>
                <w:sz w:val="18"/>
                <w:szCs w:val="18"/>
              </w:rPr>
            </w:pPr>
          </w:p>
        </w:tc>
        <w:tc>
          <w:tcPr>
            <w:tcW w:w="3060" w:type="dxa"/>
            <w:shd w:val="clear" w:color="auto" w:fill="auto"/>
            <w:vAlign w:val="center"/>
            <w:hideMark/>
          </w:tcPr>
          <w:p w14:paraId="4CDA25DB" w14:textId="2648C349" w:rsidR="009F2C13" w:rsidRPr="008A0812" w:rsidRDefault="009F2C13" w:rsidP="009F2C13">
            <w:pPr>
              <w:overflowPunct/>
              <w:autoSpaceDE/>
              <w:autoSpaceDN/>
              <w:adjustRightInd/>
              <w:jc w:val="center"/>
              <w:rPr>
                <w:rFonts w:ascii="Segoe UI" w:hAnsi="Segoe UI" w:cs="Segoe UI"/>
                <w:sz w:val="18"/>
                <w:szCs w:val="18"/>
              </w:rPr>
            </w:pPr>
            <w:r w:rsidRPr="008A0812">
              <w:rPr>
                <w:rFonts w:cs="Segoe UI"/>
              </w:rPr>
              <w:t>Chlorine Contact Basin</w:t>
            </w:r>
          </w:p>
        </w:tc>
        <w:tc>
          <w:tcPr>
            <w:tcW w:w="3780" w:type="dxa"/>
            <w:shd w:val="clear" w:color="auto" w:fill="auto"/>
            <w:vAlign w:val="center"/>
            <w:hideMark/>
          </w:tcPr>
          <w:p w14:paraId="67EB1DE5" w14:textId="6100808D" w:rsidR="009F2C13" w:rsidRPr="008A0812" w:rsidRDefault="009F2C13" w:rsidP="009F2C13">
            <w:pPr>
              <w:overflowPunct/>
              <w:autoSpaceDE/>
              <w:autoSpaceDN/>
              <w:adjustRightInd/>
              <w:rPr>
                <w:rFonts w:ascii="Segoe UI" w:hAnsi="Segoe UI" w:cs="Segoe UI"/>
                <w:sz w:val="18"/>
                <w:szCs w:val="18"/>
              </w:rPr>
            </w:pPr>
            <w:r w:rsidRPr="008A0812">
              <w:rPr>
                <w:rFonts w:cs="Segoe UI"/>
              </w:rPr>
              <w:t>Basins</w:t>
            </w:r>
          </w:p>
        </w:tc>
      </w:tr>
    </w:tbl>
    <w:p w14:paraId="745DEE0F" w14:textId="7222251C" w:rsidR="00701421" w:rsidRPr="008A0812" w:rsidRDefault="001E2A8F" w:rsidP="00701421">
      <w:pPr>
        <w:pStyle w:val="Heading3"/>
      </w:pPr>
      <w:bookmarkStart w:id="26" w:name="_Toc41680798"/>
      <w:r w:rsidRPr="008A0812">
        <w:t>Preliminary Processes</w:t>
      </w:r>
      <w:bookmarkEnd w:id="26"/>
    </w:p>
    <w:bookmarkEnd w:id="15"/>
    <w:p w14:paraId="6E74464D" w14:textId="11E8B315" w:rsidR="00583BCC" w:rsidRPr="008A0812" w:rsidRDefault="00583BCC" w:rsidP="001E2A8F">
      <w:pPr>
        <w:pStyle w:val="BodyText"/>
      </w:pPr>
      <w:r w:rsidRPr="008A0812">
        <w:t>The sources of wastewater for the SBMWD are as follows:</w:t>
      </w:r>
    </w:p>
    <w:p w14:paraId="37002864" w14:textId="149B2569" w:rsidR="00583BCC" w:rsidRPr="008A0812" w:rsidRDefault="00583BCC" w:rsidP="00583BCC">
      <w:pPr>
        <w:pStyle w:val="BodyText"/>
        <w:numPr>
          <w:ilvl w:val="0"/>
          <w:numId w:val="28"/>
        </w:numPr>
      </w:pPr>
      <w:bookmarkStart w:id="27" w:name="OLE_LINK1"/>
      <w:r w:rsidRPr="008A0812">
        <w:t>SBMWD service area comprising most of the City of San Bernardino and some unincorporated areas in San Bernardino County</w:t>
      </w:r>
      <w:r w:rsidR="009F2C13" w:rsidRPr="008A0812">
        <w:t>, served by the three terminal lift stations</w:t>
      </w:r>
      <w:r w:rsidR="00A17B44" w:rsidRPr="008A0812">
        <w:t xml:space="preserve"> (current average dry weather flow (ADWF) is approximately 13.4 mgd)</w:t>
      </w:r>
    </w:p>
    <w:p w14:paraId="272AE919" w14:textId="50B8A0E9" w:rsidR="00583BCC" w:rsidRPr="008A0812" w:rsidRDefault="00A17B44" w:rsidP="00583BCC">
      <w:pPr>
        <w:pStyle w:val="BodyText"/>
        <w:numPr>
          <w:ilvl w:val="0"/>
          <w:numId w:val="28"/>
        </w:numPr>
      </w:pPr>
      <w:r w:rsidRPr="008A0812">
        <w:t xml:space="preserve">EVWD </w:t>
      </w:r>
      <w:r w:rsidR="00583BCC" w:rsidRPr="008A0812">
        <w:t>service area comprising the City of Highland and the remaining portions of the City of San Bernardino</w:t>
      </w:r>
      <w:r w:rsidR="009F2C13" w:rsidRPr="008A0812">
        <w:t xml:space="preserve">, served by the East </w:t>
      </w:r>
      <w:r w:rsidR="00CC2A20">
        <w:t xml:space="preserve">Influent </w:t>
      </w:r>
      <w:r w:rsidR="009F2C13" w:rsidRPr="008A0812">
        <w:t>Lift Station</w:t>
      </w:r>
      <w:r w:rsidRPr="008A0812">
        <w:t xml:space="preserve"> (current ADWF is approximately 6.0 mgd)</w:t>
      </w:r>
    </w:p>
    <w:p w14:paraId="35B7DBEC" w14:textId="0366DF28" w:rsidR="00583BCC" w:rsidRPr="008A0812" w:rsidRDefault="00583BCC" w:rsidP="00583BCC">
      <w:pPr>
        <w:pStyle w:val="BodyText"/>
        <w:numPr>
          <w:ilvl w:val="0"/>
          <w:numId w:val="28"/>
        </w:numPr>
      </w:pPr>
      <w:r w:rsidRPr="008A0812">
        <w:t>City of Loma Linda, served by the E Street Lift Station</w:t>
      </w:r>
      <w:r w:rsidR="00A17B44" w:rsidRPr="008A0812">
        <w:t xml:space="preserve"> (current ADWF is approximately 2.1 mgd)</w:t>
      </w:r>
    </w:p>
    <w:p w14:paraId="482FD9AA" w14:textId="2B07AC5F" w:rsidR="00583BCC" w:rsidRPr="008A0812" w:rsidRDefault="00695676" w:rsidP="001E2A8F">
      <w:pPr>
        <w:pStyle w:val="BodyText"/>
        <w:numPr>
          <w:ilvl w:val="0"/>
          <w:numId w:val="28"/>
        </w:numPr>
      </w:pPr>
      <w:r w:rsidRPr="008A0812">
        <w:t xml:space="preserve">Former headworks </w:t>
      </w:r>
      <w:r w:rsidR="00077CE4" w:rsidRPr="008A0812">
        <w:t xml:space="preserve">near the historic </w:t>
      </w:r>
      <w:r w:rsidR="007C6C56" w:rsidRPr="008A0812">
        <w:t xml:space="preserve">Valley Truck Farm </w:t>
      </w:r>
      <w:r w:rsidRPr="008A0812">
        <w:t>east of Twin Creek</w:t>
      </w:r>
      <w:r w:rsidR="007C6C56" w:rsidRPr="008A0812">
        <w:t xml:space="preserve"> (relatively low flow)</w:t>
      </w:r>
      <w:r w:rsidR="009F2C13" w:rsidRPr="008A0812">
        <w:t>.</w:t>
      </w:r>
    </w:p>
    <w:bookmarkEnd w:id="27"/>
    <w:p w14:paraId="5721D700" w14:textId="019ABF58" w:rsidR="001E2A8F" w:rsidRPr="008A0812" w:rsidRDefault="001E2A8F" w:rsidP="001E2A8F">
      <w:pPr>
        <w:pStyle w:val="BodyText"/>
      </w:pPr>
      <w:r w:rsidRPr="008A0812">
        <w:t>Raw wastewater i</w:t>
      </w:r>
      <w:r w:rsidR="00EC0E30" w:rsidRPr="008A0812">
        <w:t>s</w:t>
      </w:r>
      <w:r w:rsidRPr="008A0812">
        <w:t xml:space="preserve"> conveyed to the SBWRP via two force mains and </w:t>
      </w:r>
      <w:r w:rsidR="007C6C56" w:rsidRPr="008A0812">
        <w:t xml:space="preserve">one </w:t>
      </w:r>
      <w:r w:rsidRPr="008A0812">
        <w:t>gravity sewer</w:t>
      </w:r>
      <w:r w:rsidR="007C6C56" w:rsidRPr="008A0812">
        <w:t xml:space="preserve"> that are </w:t>
      </w:r>
      <w:r w:rsidRPr="008A0812">
        <w:t>metered independently</w:t>
      </w:r>
      <w:r w:rsidR="007C6C56" w:rsidRPr="008A0812">
        <w:t xml:space="preserve">. </w:t>
      </w:r>
      <w:r w:rsidR="00077CE4" w:rsidRPr="008A0812">
        <w:t xml:space="preserve">A fourth </w:t>
      </w:r>
      <w:r w:rsidR="007C6C56" w:rsidRPr="008A0812">
        <w:t xml:space="preserve">gravity </w:t>
      </w:r>
      <w:r w:rsidR="00077CE4" w:rsidRPr="008A0812">
        <w:t>sewer</w:t>
      </w:r>
      <w:r w:rsidR="007C6C56" w:rsidRPr="008A0812">
        <w:t xml:space="preserve"> from the </w:t>
      </w:r>
      <w:r w:rsidR="00077CE4" w:rsidRPr="008A0812">
        <w:t xml:space="preserve">historic </w:t>
      </w:r>
      <w:r w:rsidR="007C6C56" w:rsidRPr="008A0812">
        <w:t xml:space="preserve">Valley Truck Farm </w:t>
      </w:r>
      <w:r w:rsidR="00077CE4" w:rsidRPr="008A0812">
        <w:t xml:space="preserve">area </w:t>
      </w:r>
      <w:r w:rsidR="007C6C56" w:rsidRPr="008A0812">
        <w:t xml:space="preserve">is not </w:t>
      </w:r>
      <w:r w:rsidR="000118F1" w:rsidRPr="008A0812">
        <w:t>metered but</w:t>
      </w:r>
      <w:r w:rsidR="007C6C56" w:rsidRPr="008A0812">
        <w:t xml:space="preserve"> is </w:t>
      </w:r>
      <w:r w:rsidR="00077CE4" w:rsidRPr="008A0812">
        <w:t xml:space="preserve">relatively low flow and is </w:t>
      </w:r>
      <w:r w:rsidR="007C6C56" w:rsidRPr="008A0812">
        <w:t>counted as part of the SBWRP drain flow</w:t>
      </w:r>
      <w:r w:rsidRPr="008A0812">
        <w:t xml:space="preserve">. Wastewater that enters by gravity flow must be pumped </w:t>
      </w:r>
      <w:r w:rsidR="00695676" w:rsidRPr="008A0812">
        <w:t xml:space="preserve">via the East </w:t>
      </w:r>
      <w:r w:rsidR="00CC2A20">
        <w:t xml:space="preserve">Influent </w:t>
      </w:r>
      <w:r w:rsidR="00695676" w:rsidRPr="008A0812">
        <w:t xml:space="preserve">Lift Station screw pumps </w:t>
      </w:r>
      <w:r w:rsidRPr="008A0812">
        <w:t>to an influent channel where it combines with the other two influent lines. The combined influent is sampled, screened and de-gritted.</w:t>
      </w:r>
    </w:p>
    <w:p w14:paraId="1A73B291" w14:textId="044FC482" w:rsidR="001E2A8F" w:rsidRPr="008A0812" w:rsidRDefault="001E2A8F" w:rsidP="001E2A8F">
      <w:pPr>
        <w:pStyle w:val="Heading4"/>
      </w:pPr>
      <w:bookmarkStart w:id="28" w:name="_Toc20239689"/>
      <w:bookmarkStart w:id="29" w:name="_Toc41680799"/>
      <w:r>
        <w:t xml:space="preserve">Influent </w:t>
      </w:r>
      <w:r w:rsidR="00AC7D7A">
        <w:t xml:space="preserve">Lift </w:t>
      </w:r>
      <w:r>
        <w:t>Stations</w:t>
      </w:r>
      <w:bookmarkEnd w:id="28"/>
      <w:bookmarkEnd w:id="29"/>
    </w:p>
    <w:p w14:paraId="79BC3E4F" w14:textId="6CA2A85E" w:rsidR="00DE02EC" w:rsidRPr="008A0812" w:rsidRDefault="001E2A8F" w:rsidP="001E2A8F">
      <w:pPr>
        <w:pStyle w:val="BodyText"/>
      </w:pPr>
      <w:r>
        <w:t xml:space="preserve">Wastewater from the west side of the service area is pumped by the Arrowhead </w:t>
      </w:r>
      <w:r w:rsidR="003A0D38">
        <w:t>Lift</w:t>
      </w:r>
      <w:r>
        <w:t xml:space="preserve"> Station, which receives raw sewage via a 54-inch interceptor from the west side of the service area, recycled</w:t>
      </w:r>
      <w:r w:rsidR="00EC0E30">
        <w:t>-</w:t>
      </w:r>
      <w:r>
        <w:t xml:space="preserve">plant drain flows, </w:t>
      </w:r>
      <w:r w:rsidR="00695676">
        <w:t xml:space="preserve">gravity line from the historic headworks/Valley Truck Farm area, </w:t>
      </w:r>
      <w:r>
        <w:t xml:space="preserve">and septage from the receiving station. The Arrowhead </w:t>
      </w:r>
      <w:r w:rsidR="00AC7D7A">
        <w:t xml:space="preserve">Lift </w:t>
      </w:r>
      <w:r>
        <w:t xml:space="preserve">Station consists of </w:t>
      </w:r>
      <w:r w:rsidR="003F006C">
        <w:t xml:space="preserve">five variable speed </w:t>
      </w:r>
      <w:r w:rsidR="00732D54">
        <w:t xml:space="preserve">pumps, </w:t>
      </w:r>
      <w:r w:rsidR="003F006C">
        <w:t xml:space="preserve">one electric and </w:t>
      </w:r>
      <w:r>
        <w:t>four engine-driven pumps</w:t>
      </w:r>
      <w:r w:rsidR="00AC7D7A">
        <w:t xml:space="preserve"> (two </w:t>
      </w:r>
      <w:r w:rsidR="654642AC">
        <w:t>fu</w:t>
      </w:r>
      <w:r w:rsidR="5CBC929C">
        <w:t>e</w:t>
      </w:r>
      <w:r w:rsidR="654642AC">
        <w:t>led by</w:t>
      </w:r>
      <w:r w:rsidR="00AC7D7A">
        <w:t xml:space="preserve"> </w:t>
      </w:r>
      <w:r w:rsidR="00D22A6C">
        <w:t>d</w:t>
      </w:r>
      <w:r w:rsidR="00AC7D7A">
        <w:t xml:space="preserve">igester </w:t>
      </w:r>
      <w:r w:rsidR="00D22A6C">
        <w:t>g</w:t>
      </w:r>
      <w:r w:rsidR="00AC7D7A">
        <w:t xml:space="preserve">as and two </w:t>
      </w:r>
      <w:r w:rsidR="46F46A2F">
        <w:t>fueled by</w:t>
      </w:r>
      <w:r w:rsidR="00AC7D7A">
        <w:t xml:space="preserve"> </w:t>
      </w:r>
      <w:r w:rsidR="00D22A6C">
        <w:t>n</w:t>
      </w:r>
      <w:r w:rsidR="00AC7D7A">
        <w:t xml:space="preserve">atural </w:t>
      </w:r>
      <w:r w:rsidR="00D22A6C">
        <w:t>g</w:t>
      </w:r>
      <w:r w:rsidR="00AC7D7A">
        <w:t>as)</w:t>
      </w:r>
      <w:r>
        <w:t>.</w:t>
      </w:r>
      <w:r w:rsidR="00732D54">
        <w:t xml:space="preserve"> The gas</w:t>
      </w:r>
      <w:r w:rsidR="00D22A6C">
        <w:t>-</w:t>
      </w:r>
      <w:r w:rsidR="00732D54">
        <w:t>driven engines are subject to</w:t>
      </w:r>
      <w:r w:rsidR="00DE02EC">
        <w:t xml:space="preserve"> South Coast Air Quality Management District</w:t>
      </w:r>
      <w:r w:rsidR="00732D54">
        <w:t xml:space="preserve"> </w:t>
      </w:r>
      <w:r w:rsidR="00DE02EC">
        <w:t>(</w:t>
      </w:r>
      <w:r w:rsidR="00732D54">
        <w:t>SCAQMD</w:t>
      </w:r>
      <w:r w:rsidR="00DE02EC">
        <w:t>)</w:t>
      </w:r>
      <w:r w:rsidR="00732D54">
        <w:t xml:space="preserve"> Rule 1110.2</w:t>
      </w:r>
      <w:r w:rsidR="00D22A6C">
        <w:t xml:space="preserve"> (see Section </w:t>
      </w:r>
      <w:r>
        <w:fldChar w:fldCharType="begin"/>
      </w:r>
      <w:r>
        <w:instrText xml:space="preserve"> REF _Ref36312921 \r \h  \* MERGEFORMAT </w:instrText>
      </w:r>
      <w:r>
        <w:fldChar w:fldCharType="separate"/>
      </w:r>
      <w:r w:rsidR="00AA68F8">
        <w:t>7.3</w:t>
      </w:r>
      <w:r>
        <w:fldChar w:fldCharType="end"/>
      </w:r>
      <w:r w:rsidR="00D22A6C">
        <w:t>)</w:t>
      </w:r>
      <w:r w:rsidR="00732D54">
        <w:t xml:space="preserve">. </w:t>
      </w:r>
    </w:p>
    <w:p w14:paraId="6B1A786D" w14:textId="0CE948F0" w:rsidR="001E2A8F" w:rsidRPr="008A0812" w:rsidRDefault="00732D54" w:rsidP="001E2A8F">
      <w:pPr>
        <w:pStyle w:val="BodyText"/>
      </w:pPr>
      <w:r>
        <w:t xml:space="preserve">The </w:t>
      </w:r>
      <w:r w:rsidR="003F006C">
        <w:t>electrically driven</w:t>
      </w:r>
      <w:r>
        <w:t xml:space="preserve"> </w:t>
      </w:r>
      <w:r w:rsidR="003F006C">
        <w:t xml:space="preserve">pump was installed in 2015 and has a </w:t>
      </w:r>
      <w:r>
        <w:t xml:space="preserve">200 </w:t>
      </w:r>
      <w:r w:rsidR="00120B1D">
        <w:t>horsepower (</w:t>
      </w:r>
      <w:r>
        <w:t>hp</w:t>
      </w:r>
      <w:r w:rsidR="00120B1D">
        <w:t>)</w:t>
      </w:r>
      <w:r>
        <w:t xml:space="preserve"> motor controlled with a </w:t>
      </w:r>
      <w:r w:rsidR="003F006C">
        <w:t>variable frequency drive (VFD)</w:t>
      </w:r>
      <w:r>
        <w:t xml:space="preserve">. </w:t>
      </w:r>
      <w:r w:rsidR="001E2A8F">
        <w:t xml:space="preserve">The speed of each engine is controlled </w:t>
      </w:r>
      <w:r w:rsidR="002A3746">
        <w:t>by</w:t>
      </w:r>
      <w:r w:rsidR="001E2A8F">
        <w:t xml:space="preserve"> a </w:t>
      </w:r>
      <w:r w:rsidR="009E5AFA">
        <w:t>miltronics level sensor</w:t>
      </w:r>
      <w:r w:rsidR="0099583A">
        <w:t xml:space="preserve"> that allows the pumps to run at a maximum speed of 900 rpm</w:t>
      </w:r>
      <w:r w:rsidR="001E2A8F">
        <w:t>. Under normal operation and headloss conditions</w:t>
      </w:r>
      <w:r w:rsidR="003A3F30">
        <w:t>,</w:t>
      </w:r>
      <w:r w:rsidR="001E2A8F">
        <w:t xml:space="preserve"> the approximate output capacity for each pump running alone is 13,500 gpm at 40 f</w:t>
      </w:r>
      <w:r w:rsidR="003F006C">
        <w:t>eet</w:t>
      </w:r>
      <w:r w:rsidR="001E2A8F">
        <w:t xml:space="preserve"> of head. The average daily flow through this </w:t>
      </w:r>
      <w:r w:rsidR="003A0D38">
        <w:t>lift</w:t>
      </w:r>
      <w:r w:rsidR="001E2A8F">
        <w:t xml:space="preserve"> station when its hydraulic capacity is reached is 31 mgd (based on a 2.0 peaking factor).</w:t>
      </w:r>
      <w:r w:rsidR="000D2D44">
        <w:t xml:space="preserve"> </w:t>
      </w:r>
    </w:p>
    <w:p w14:paraId="755F566E" w14:textId="3D989F70" w:rsidR="001E2A8F" w:rsidRPr="008A0812" w:rsidRDefault="001E2A8F" w:rsidP="001E2A8F">
      <w:pPr>
        <w:pStyle w:val="BodyText"/>
      </w:pPr>
      <w:r w:rsidRPr="008A0812">
        <w:t xml:space="preserve">The E Street </w:t>
      </w:r>
      <w:r w:rsidR="00AC7D7A" w:rsidRPr="008A0812">
        <w:t xml:space="preserve">Lift </w:t>
      </w:r>
      <w:r w:rsidRPr="008A0812">
        <w:t xml:space="preserve">Station pumps wastewater from the </w:t>
      </w:r>
      <w:r w:rsidR="00AC7D7A" w:rsidRPr="008A0812">
        <w:t xml:space="preserve">south </w:t>
      </w:r>
      <w:r w:rsidRPr="008A0812">
        <w:t>side of the service area</w:t>
      </w:r>
      <w:r w:rsidR="00AC7D7A" w:rsidRPr="008A0812">
        <w:t xml:space="preserve"> and from the Satellite Service Area of the City of Loma Linda</w:t>
      </w:r>
      <w:r w:rsidRPr="008A0812">
        <w:t xml:space="preserve">. The E Street </w:t>
      </w:r>
      <w:r w:rsidR="00AC7D7A" w:rsidRPr="008A0812">
        <w:t xml:space="preserve">Lift </w:t>
      </w:r>
      <w:r w:rsidRPr="008A0812">
        <w:t xml:space="preserve">Station houses three non-clog centrifugal pumps and the </w:t>
      </w:r>
      <w:r w:rsidR="00AC7D7A" w:rsidRPr="008A0812">
        <w:t xml:space="preserve">lift </w:t>
      </w:r>
      <w:r w:rsidRPr="008A0812">
        <w:t>station control system determines the number of on-line pumps based on the liquid level in the wet well. Pumping capacity is adjusted using VFDs to accommodate the varying influent wastewater flow.</w:t>
      </w:r>
      <w:r w:rsidR="000D2D44" w:rsidRPr="008A0812">
        <w:t xml:space="preserve"> </w:t>
      </w:r>
    </w:p>
    <w:p w14:paraId="52DD7CFB" w14:textId="08805D38" w:rsidR="001E2A8F" w:rsidRPr="008A0812" w:rsidRDefault="001E2A8F" w:rsidP="001E2A8F">
      <w:pPr>
        <w:pStyle w:val="BodyText"/>
      </w:pPr>
      <w:r w:rsidRPr="008A0812">
        <w:t xml:space="preserve">Both </w:t>
      </w:r>
      <w:r w:rsidR="00AC7D7A" w:rsidRPr="008A0812">
        <w:t>lift</w:t>
      </w:r>
      <w:r w:rsidRPr="008A0812">
        <w:t xml:space="preserve"> stations convey wastewater to the combined influent channel where it mixes with flows from the </w:t>
      </w:r>
      <w:r w:rsidR="0057569C">
        <w:t xml:space="preserve">East Influent Lift Station, which conveys flow from the </w:t>
      </w:r>
      <w:r w:rsidRPr="008A0812">
        <w:t xml:space="preserve">East </w:t>
      </w:r>
      <w:r w:rsidR="00AC7D7A" w:rsidRPr="008A0812">
        <w:t xml:space="preserve">Trunk </w:t>
      </w:r>
      <w:r w:rsidRPr="008A0812">
        <w:t xml:space="preserve">Sewer. Influent </w:t>
      </w:r>
      <w:r w:rsidR="00AC7D7A" w:rsidRPr="008A0812">
        <w:t xml:space="preserve">lift </w:t>
      </w:r>
      <w:r w:rsidRPr="008A0812">
        <w:t xml:space="preserve">station design information is summarized in </w:t>
      </w:r>
      <w:r w:rsidR="00520392" w:rsidRPr="008A0812">
        <w:fldChar w:fldCharType="begin"/>
      </w:r>
      <w:r w:rsidR="00520392" w:rsidRPr="008A0812">
        <w:instrText xml:space="preserve"> REF _Ref36213889 \h </w:instrText>
      </w:r>
      <w:r w:rsidR="008A0812">
        <w:instrText xml:space="preserve"> \* MERGEFORMAT </w:instrText>
      </w:r>
      <w:r w:rsidR="00520392" w:rsidRPr="008A0812">
        <w:fldChar w:fldCharType="separate"/>
      </w:r>
      <w:r w:rsidR="00AA68F8" w:rsidRPr="008A0812">
        <w:t xml:space="preserve">Table </w:t>
      </w:r>
      <w:r w:rsidR="00AA68F8">
        <w:rPr>
          <w:noProof/>
        </w:rPr>
        <w:t>1</w:t>
      </w:r>
      <w:r w:rsidR="00AA68F8" w:rsidRPr="008A0812">
        <w:rPr>
          <w:noProof/>
        </w:rPr>
        <w:noBreakHyphen/>
      </w:r>
      <w:r w:rsidR="00AA68F8">
        <w:rPr>
          <w:noProof/>
        </w:rPr>
        <w:t>2</w:t>
      </w:r>
      <w:r w:rsidR="00520392" w:rsidRPr="008A0812">
        <w:fldChar w:fldCharType="end"/>
      </w:r>
      <w:r w:rsidRPr="008A0812">
        <w:t xml:space="preserve">. </w:t>
      </w:r>
    </w:p>
    <w:p w14:paraId="68A396F3" w14:textId="335384D7" w:rsidR="001E2A8F" w:rsidRPr="008A0812" w:rsidRDefault="00520392" w:rsidP="00AA2FB4">
      <w:pPr>
        <w:pStyle w:val="Caption"/>
        <w:spacing w:before="200" w:after="120"/>
      </w:pPr>
      <w:bookmarkStart w:id="30" w:name="_Ref36213889"/>
      <w:bookmarkStart w:id="31" w:name="_Toc41684722"/>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30"/>
      <w:r w:rsidRPr="008A0812">
        <w:t xml:space="preserve">: </w:t>
      </w:r>
      <w:r w:rsidR="001E2A8F" w:rsidRPr="008A0812">
        <w:t xml:space="preserve">Influent </w:t>
      </w:r>
      <w:r w:rsidR="00AC7D7A" w:rsidRPr="008A0812">
        <w:t xml:space="preserve">Lift </w:t>
      </w:r>
      <w:r w:rsidR="001E2A8F" w:rsidRPr="008A0812">
        <w:t>Station Design Information</w:t>
      </w:r>
      <w:bookmarkEnd w:id="31"/>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1E2A8F" w:rsidRPr="008A0812" w14:paraId="0EC758EB" w14:textId="77777777" w:rsidTr="001E2A8F">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1153C9B5" w14:textId="7FFAE984" w:rsidR="001E2A8F" w:rsidRPr="008A0812" w:rsidRDefault="001E2A8F" w:rsidP="001E2A8F">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566DD0E3" w14:textId="57DD6AE8" w:rsidR="001E2A8F" w:rsidRPr="008A0812" w:rsidRDefault="001E2A8F" w:rsidP="001E2A8F">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4DF36DC7" w14:textId="645B2D28" w:rsidR="001E2A8F" w:rsidRPr="008A0812" w:rsidRDefault="001E2A8F" w:rsidP="0031230D">
            <w:pPr>
              <w:overflowPunct/>
              <w:autoSpaceDE/>
              <w:autoSpaceDN/>
              <w:adjustRightInd/>
              <w:jc w:val="center"/>
              <w:rPr>
                <w:rFonts w:ascii="Segoe UI" w:hAnsi="Segoe UI" w:cs="Segoe UI"/>
                <w:sz w:val="18"/>
                <w:szCs w:val="18"/>
              </w:rPr>
            </w:pPr>
            <w:r w:rsidRPr="008A0812">
              <w:rPr>
                <w:rFonts w:cs="Segoe UI"/>
                <w:b/>
                <w:bCs/>
              </w:rPr>
              <w:t>Design Flow</w:t>
            </w:r>
          </w:p>
        </w:tc>
      </w:tr>
      <w:tr w:rsidR="001E2A8F" w:rsidRPr="008A0812" w14:paraId="2B2CECC8" w14:textId="77777777" w:rsidTr="0057569C">
        <w:trPr>
          <w:trHeight w:val="285"/>
        </w:trPr>
        <w:tc>
          <w:tcPr>
            <w:tcW w:w="2775" w:type="dxa"/>
            <w:tcBorders>
              <w:top w:val="nil"/>
              <w:left w:val="single" w:sz="6" w:space="0" w:color="auto"/>
              <w:bottom w:val="single" w:sz="6" w:space="0" w:color="auto"/>
              <w:right w:val="single" w:sz="6" w:space="0" w:color="auto"/>
            </w:tcBorders>
            <w:shd w:val="clear" w:color="auto" w:fill="auto"/>
            <w:vAlign w:val="center"/>
            <w:hideMark/>
          </w:tcPr>
          <w:p w14:paraId="10AAD8E2" w14:textId="51E28AB6" w:rsidR="001E2A8F" w:rsidRPr="008A0812" w:rsidRDefault="001E2A8F" w:rsidP="005A4735">
            <w:pPr>
              <w:overflowPunct/>
              <w:autoSpaceDE/>
              <w:autoSpaceDN/>
              <w:adjustRightInd/>
              <w:jc w:val="center"/>
              <w:rPr>
                <w:rFonts w:ascii="Segoe UI" w:hAnsi="Segoe UI" w:cs="Segoe UI"/>
                <w:sz w:val="18"/>
                <w:szCs w:val="18"/>
              </w:rPr>
            </w:pPr>
            <w:r w:rsidRPr="008A0812">
              <w:rPr>
                <w:rFonts w:cs="Segoe UI"/>
              </w:rPr>
              <w:t xml:space="preserve">Arrowhead </w:t>
            </w:r>
            <w:r w:rsidR="00AC7D7A" w:rsidRPr="008A0812">
              <w:rPr>
                <w:rFonts w:cs="Segoe UI"/>
              </w:rPr>
              <w:t xml:space="preserve">Lift </w:t>
            </w:r>
            <w:r w:rsidRPr="008A0812">
              <w:rPr>
                <w:rFonts w:cs="Segoe UI"/>
              </w:rPr>
              <w:t>Station</w:t>
            </w:r>
          </w:p>
        </w:tc>
        <w:tc>
          <w:tcPr>
            <w:tcW w:w="3450" w:type="dxa"/>
            <w:tcBorders>
              <w:top w:val="nil"/>
              <w:left w:val="nil"/>
              <w:bottom w:val="single" w:sz="6" w:space="0" w:color="auto"/>
              <w:right w:val="single" w:sz="6" w:space="0" w:color="auto"/>
            </w:tcBorders>
            <w:shd w:val="clear" w:color="auto" w:fill="auto"/>
            <w:hideMark/>
          </w:tcPr>
          <w:p w14:paraId="054F21B5" w14:textId="59D9BE13" w:rsidR="001E2A8F" w:rsidRPr="008A0812" w:rsidRDefault="001E2A8F" w:rsidP="005A4735">
            <w:pPr>
              <w:overflowPunct/>
              <w:autoSpaceDE/>
              <w:autoSpaceDN/>
              <w:adjustRightInd/>
              <w:rPr>
                <w:rFonts w:ascii="Segoe UI" w:hAnsi="Segoe UI" w:cs="Segoe UI"/>
                <w:sz w:val="18"/>
                <w:szCs w:val="18"/>
              </w:rPr>
            </w:pPr>
            <w:r w:rsidRPr="008A0812">
              <w:rPr>
                <w:rFonts w:cs="Segoe UI"/>
              </w:rPr>
              <w:t xml:space="preserve">Quantity: </w:t>
            </w:r>
            <w:r w:rsidR="00732D54" w:rsidRPr="008A0812">
              <w:rPr>
                <w:rFonts w:cs="Segoe UI"/>
              </w:rPr>
              <w:t>5</w:t>
            </w:r>
          </w:p>
          <w:p w14:paraId="47CCDACB" w14:textId="2AC3D72A" w:rsidR="001E2A8F" w:rsidRPr="008A0812" w:rsidRDefault="001E2A8F" w:rsidP="005A4735">
            <w:pPr>
              <w:overflowPunct/>
              <w:autoSpaceDE/>
              <w:autoSpaceDN/>
              <w:adjustRightInd/>
              <w:rPr>
                <w:rFonts w:ascii="Segoe UI" w:hAnsi="Segoe UI" w:cs="Segoe UI"/>
                <w:sz w:val="18"/>
                <w:szCs w:val="18"/>
              </w:rPr>
            </w:pPr>
            <w:r w:rsidRPr="008A0812">
              <w:rPr>
                <w:rFonts w:cs="Segoe UI"/>
              </w:rPr>
              <w:t>Type: Variable Speed</w:t>
            </w:r>
            <w:r w:rsidR="003A0D38" w:rsidRPr="008A0812">
              <w:rPr>
                <w:rFonts w:cs="Segoe UI"/>
              </w:rPr>
              <w:t xml:space="preserve">: 2 digester gas- driven, 2 natural gas-driven, 1 electric </w:t>
            </w:r>
          </w:p>
        </w:tc>
        <w:tc>
          <w:tcPr>
            <w:tcW w:w="3105" w:type="dxa"/>
            <w:tcBorders>
              <w:top w:val="nil"/>
              <w:left w:val="nil"/>
              <w:bottom w:val="single" w:sz="6" w:space="0" w:color="auto"/>
              <w:right w:val="single" w:sz="6" w:space="0" w:color="auto"/>
            </w:tcBorders>
            <w:shd w:val="clear" w:color="auto" w:fill="auto"/>
            <w:vAlign w:val="center"/>
            <w:hideMark/>
          </w:tcPr>
          <w:p w14:paraId="18F286E0" w14:textId="7652B39F" w:rsidR="001E2A8F" w:rsidRPr="008A0812" w:rsidRDefault="001E2A8F" w:rsidP="005A4735">
            <w:pPr>
              <w:overflowPunct/>
              <w:autoSpaceDE/>
              <w:autoSpaceDN/>
              <w:adjustRightInd/>
              <w:jc w:val="center"/>
              <w:rPr>
                <w:rFonts w:ascii="Segoe UI" w:hAnsi="Segoe UI" w:cs="Segoe UI"/>
                <w:sz w:val="18"/>
                <w:szCs w:val="18"/>
              </w:rPr>
            </w:pPr>
            <w:r w:rsidRPr="008A0812">
              <w:rPr>
                <w:rFonts w:cs="Segoe UI"/>
              </w:rPr>
              <w:t>Capacity: 13,500 gpm (ea.)</w:t>
            </w:r>
          </w:p>
        </w:tc>
      </w:tr>
      <w:tr w:rsidR="001E2A8F" w:rsidRPr="008A0812" w14:paraId="5A249546" w14:textId="77777777" w:rsidTr="0057569C">
        <w:trPr>
          <w:trHeight w:val="720"/>
        </w:trPr>
        <w:tc>
          <w:tcPr>
            <w:tcW w:w="2775" w:type="dxa"/>
            <w:tcBorders>
              <w:top w:val="single" w:sz="6" w:space="0" w:color="auto"/>
              <w:left w:val="single" w:sz="6" w:space="0" w:color="auto"/>
              <w:bottom w:val="single" w:sz="4" w:space="0" w:color="auto"/>
              <w:right w:val="single" w:sz="6" w:space="0" w:color="auto"/>
            </w:tcBorders>
            <w:shd w:val="clear" w:color="auto" w:fill="auto"/>
            <w:vAlign w:val="center"/>
            <w:hideMark/>
          </w:tcPr>
          <w:p w14:paraId="75849157" w14:textId="61C15B90" w:rsidR="001E2A8F" w:rsidRPr="008A0812" w:rsidRDefault="001E2A8F" w:rsidP="005A4735">
            <w:pPr>
              <w:overflowPunct/>
              <w:autoSpaceDE/>
              <w:autoSpaceDN/>
              <w:adjustRightInd/>
              <w:jc w:val="center"/>
              <w:rPr>
                <w:rFonts w:ascii="Segoe UI" w:hAnsi="Segoe UI" w:cs="Segoe UI"/>
                <w:sz w:val="18"/>
                <w:szCs w:val="18"/>
              </w:rPr>
            </w:pPr>
            <w:r w:rsidRPr="008A0812">
              <w:rPr>
                <w:rFonts w:cs="Segoe UI"/>
              </w:rPr>
              <w:t>E</w:t>
            </w:r>
            <w:r w:rsidR="005A4735" w:rsidRPr="008A0812">
              <w:rPr>
                <w:rFonts w:cs="Segoe UI"/>
              </w:rPr>
              <w:t xml:space="preserve"> </w:t>
            </w:r>
            <w:r w:rsidRPr="008A0812">
              <w:rPr>
                <w:rFonts w:cs="Segoe UI"/>
              </w:rPr>
              <w:t xml:space="preserve">Street </w:t>
            </w:r>
            <w:r w:rsidR="00AC7D7A" w:rsidRPr="008A0812">
              <w:rPr>
                <w:rFonts w:cs="Segoe UI"/>
              </w:rPr>
              <w:t xml:space="preserve">Lift </w:t>
            </w:r>
            <w:r w:rsidRPr="008A0812">
              <w:rPr>
                <w:rFonts w:cs="Segoe UI"/>
              </w:rPr>
              <w:t>Station</w:t>
            </w:r>
          </w:p>
        </w:tc>
        <w:tc>
          <w:tcPr>
            <w:tcW w:w="3450" w:type="dxa"/>
            <w:tcBorders>
              <w:top w:val="single" w:sz="6" w:space="0" w:color="auto"/>
              <w:left w:val="nil"/>
              <w:bottom w:val="single" w:sz="4" w:space="0" w:color="auto"/>
              <w:right w:val="single" w:sz="6" w:space="0" w:color="auto"/>
            </w:tcBorders>
            <w:shd w:val="clear" w:color="auto" w:fill="auto"/>
            <w:vAlign w:val="center"/>
            <w:hideMark/>
          </w:tcPr>
          <w:p w14:paraId="79C8AAE4" w14:textId="5BF8E414" w:rsidR="001E2A8F" w:rsidRPr="008A0812" w:rsidRDefault="001E2A8F" w:rsidP="005A4735">
            <w:pPr>
              <w:overflowPunct/>
              <w:autoSpaceDE/>
              <w:autoSpaceDN/>
              <w:adjustRightInd/>
              <w:rPr>
                <w:rFonts w:ascii="Segoe UI" w:hAnsi="Segoe UI" w:cs="Segoe UI"/>
                <w:sz w:val="18"/>
                <w:szCs w:val="18"/>
              </w:rPr>
            </w:pPr>
            <w:r w:rsidRPr="008A0812">
              <w:rPr>
                <w:rFonts w:cs="Segoe UI"/>
              </w:rPr>
              <w:t>Quantity: 3 (2 Duty)</w:t>
            </w:r>
          </w:p>
          <w:p w14:paraId="2250E970" w14:textId="76A0FF7A" w:rsidR="001E2A8F" w:rsidRPr="008A0812" w:rsidRDefault="001E2A8F" w:rsidP="005A4735">
            <w:pPr>
              <w:overflowPunct/>
              <w:autoSpaceDE/>
              <w:autoSpaceDN/>
              <w:adjustRightInd/>
              <w:rPr>
                <w:rFonts w:ascii="Segoe UI" w:hAnsi="Segoe UI" w:cs="Segoe UI"/>
                <w:sz w:val="18"/>
                <w:szCs w:val="18"/>
              </w:rPr>
            </w:pPr>
            <w:r w:rsidRPr="008A0812">
              <w:rPr>
                <w:rFonts w:cs="Segoe UI"/>
              </w:rPr>
              <w:t>Type: Non-clog Centrifugal with VFDs</w:t>
            </w:r>
          </w:p>
        </w:tc>
        <w:tc>
          <w:tcPr>
            <w:tcW w:w="3105" w:type="dxa"/>
            <w:tcBorders>
              <w:top w:val="single" w:sz="6" w:space="0" w:color="auto"/>
              <w:left w:val="nil"/>
              <w:bottom w:val="single" w:sz="4" w:space="0" w:color="auto"/>
              <w:right w:val="single" w:sz="6" w:space="0" w:color="auto"/>
            </w:tcBorders>
            <w:shd w:val="clear" w:color="auto" w:fill="auto"/>
            <w:vAlign w:val="center"/>
            <w:hideMark/>
          </w:tcPr>
          <w:p w14:paraId="151823DD" w14:textId="5DC1CB3A" w:rsidR="001E2A8F" w:rsidRPr="008A0812" w:rsidRDefault="001E2A8F" w:rsidP="005A4735">
            <w:pPr>
              <w:overflowPunct/>
              <w:autoSpaceDE/>
              <w:autoSpaceDN/>
              <w:adjustRightInd/>
              <w:jc w:val="center"/>
              <w:rPr>
                <w:rFonts w:ascii="Segoe UI" w:hAnsi="Segoe UI" w:cs="Segoe UI"/>
                <w:sz w:val="18"/>
                <w:szCs w:val="18"/>
              </w:rPr>
            </w:pPr>
            <w:r w:rsidRPr="008A0812">
              <w:rPr>
                <w:rFonts w:cs="Segoe UI"/>
              </w:rPr>
              <w:t>Capacity: 4,500 gpm (ea.)</w:t>
            </w:r>
          </w:p>
        </w:tc>
      </w:tr>
      <w:tr w:rsidR="0057569C" w:rsidRPr="008A0812" w14:paraId="4835EC60" w14:textId="77777777" w:rsidTr="0057569C">
        <w:trPr>
          <w:trHeight w:val="1160"/>
        </w:trPr>
        <w:tc>
          <w:tcPr>
            <w:tcW w:w="2775" w:type="dxa"/>
            <w:tcBorders>
              <w:top w:val="single" w:sz="4" w:space="0" w:color="auto"/>
              <w:left w:val="single" w:sz="6" w:space="0" w:color="auto"/>
              <w:bottom w:val="single" w:sz="6" w:space="0" w:color="auto"/>
              <w:right w:val="single" w:sz="6" w:space="0" w:color="auto"/>
            </w:tcBorders>
            <w:shd w:val="clear" w:color="auto" w:fill="auto"/>
            <w:vAlign w:val="center"/>
          </w:tcPr>
          <w:p w14:paraId="5250088E" w14:textId="657A96EB" w:rsidR="0057569C" w:rsidRPr="008A0812" w:rsidRDefault="0057569C" w:rsidP="0057569C">
            <w:pPr>
              <w:overflowPunct/>
              <w:autoSpaceDE/>
              <w:autoSpaceDN/>
              <w:adjustRightInd/>
              <w:jc w:val="center"/>
              <w:rPr>
                <w:rFonts w:cs="Segoe UI"/>
              </w:rPr>
            </w:pPr>
            <w:r>
              <w:rPr>
                <w:rFonts w:cs="Segoe UI"/>
              </w:rPr>
              <w:t>East Influent Lift Station</w:t>
            </w:r>
          </w:p>
        </w:tc>
        <w:tc>
          <w:tcPr>
            <w:tcW w:w="3450" w:type="dxa"/>
            <w:tcBorders>
              <w:top w:val="single" w:sz="4" w:space="0" w:color="auto"/>
              <w:left w:val="nil"/>
              <w:bottom w:val="single" w:sz="6" w:space="0" w:color="auto"/>
              <w:right w:val="single" w:sz="6" w:space="0" w:color="auto"/>
            </w:tcBorders>
            <w:shd w:val="clear" w:color="auto" w:fill="auto"/>
            <w:vAlign w:val="center"/>
          </w:tcPr>
          <w:p w14:paraId="53C9C8EE" w14:textId="559F6E1E" w:rsidR="0057569C" w:rsidRPr="0057569C" w:rsidRDefault="0057569C" w:rsidP="0057569C">
            <w:pPr>
              <w:overflowPunct/>
              <w:autoSpaceDE/>
              <w:autoSpaceDN/>
              <w:adjustRightInd/>
              <w:rPr>
                <w:rFonts w:cs="Segoe UI"/>
              </w:rPr>
            </w:pPr>
            <w:r w:rsidRPr="008A0812">
              <w:rPr>
                <w:rFonts w:cs="Segoe UI"/>
              </w:rPr>
              <w:t>Quantity: </w:t>
            </w:r>
            <w:r>
              <w:rPr>
                <w:rFonts w:cs="Segoe UI"/>
              </w:rPr>
              <w:t>3 screw pumps</w:t>
            </w:r>
          </w:p>
          <w:p w14:paraId="7F2E2A33" w14:textId="440EBC02" w:rsidR="0057569C" w:rsidRPr="0057569C" w:rsidRDefault="0057569C" w:rsidP="0057569C">
            <w:pPr>
              <w:overflowPunct/>
              <w:autoSpaceDE/>
              <w:autoSpaceDN/>
              <w:adjustRightInd/>
              <w:rPr>
                <w:rFonts w:cs="Segoe UI"/>
              </w:rPr>
            </w:pPr>
            <w:r w:rsidRPr="008A0812">
              <w:rPr>
                <w:rFonts w:cs="Segoe UI"/>
              </w:rPr>
              <w:t xml:space="preserve">2 + 1 standby </w:t>
            </w:r>
            <w:r>
              <w:rPr>
                <w:rFonts w:cs="Segoe UI"/>
              </w:rPr>
              <w:t>(</w:t>
            </w:r>
            <w:r w:rsidRPr="008A0812">
              <w:rPr>
                <w:rFonts w:cs="Segoe UI"/>
              </w:rPr>
              <w:t>2 Future)</w:t>
            </w:r>
          </w:p>
          <w:p w14:paraId="63652226" w14:textId="2915DB44" w:rsidR="0057569C" w:rsidRPr="008A0812" w:rsidRDefault="0057569C" w:rsidP="0057569C">
            <w:pPr>
              <w:overflowPunct/>
              <w:autoSpaceDE/>
              <w:autoSpaceDN/>
              <w:adjustRightInd/>
              <w:rPr>
                <w:rFonts w:cs="Segoe UI"/>
              </w:rPr>
            </w:pPr>
            <w:r w:rsidRPr="008A0812">
              <w:rPr>
                <w:rFonts w:cs="Segoe UI"/>
              </w:rPr>
              <w:t>Size: 66-inch</w:t>
            </w:r>
          </w:p>
        </w:tc>
        <w:tc>
          <w:tcPr>
            <w:tcW w:w="3105" w:type="dxa"/>
            <w:tcBorders>
              <w:top w:val="single" w:sz="4" w:space="0" w:color="auto"/>
              <w:left w:val="nil"/>
              <w:bottom w:val="single" w:sz="6" w:space="0" w:color="auto"/>
              <w:right w:val="single" w:sz="6" w:space="0" w:color="auto"/>
            </w:tcBorders>
            <w:shd w:val="clear" w:color="auto" w:fill="auto"/>
            <w:vAlign w:val="center"/>
          </w:tcPr>
          <w:p w14:paraId="4689998B" w14:textId="77777777" w:rsidR="0057569C" w:rsidRPr="0057569C" w:rsidRDefault="0057569C" w:rsidP="0057569C">
            <w:pPr>
              <w:overflowPunct/>
              <w:autoSpaceDE/>
              <w:autoSpaceDN/>
              <w:adjustRightInd/>
              <w:jc w:val="center"/>
              <w:rPr>
                <w:rFonts w:cs="Segoe UI"/>
              </w:rPr>
            </w:pPr>
            <w:r w:rsidRPr="008A0812">
              <w:rPr>
                <w:rFonts w:cs="Segoe UI"/>
              </w:rPr>
              <w:t>Each at 12,500 gpm</w:t>
            </w:r>
          </w:p>
          <w:p w14:paraId="27D43B2B" w14:textId="77777777" w:rsidR="0057569C" w:rsidRPr="0057569C" w:rsidRDefault="0057569C" w:rsidP="0057569C">
            <w:pPr>
              <w:overflowPunct/>
              <w:autoSpaceDE/>
              <w:autoSpaceDN/>
              <w:adjustRightInd/>
              <w:jc w:val="center"/>
              <w:rPr>
                <w:rFonts w:cs="Segoe UI"/>
              </w:rPr>
            </w:pPr>
            <w:r w:rsidRPr="008A0812">
              <w:rPr>
                <w:rFonts w:cs="Segoe UI"/>
              </w:rPr>
              <w:t>18 mgd (Average)</w:t>
            </w:r>
          </w:p>
          <w:p w14:paraId="13EEBA03" w14:textId="77777777" w:rsidR="0057569C" w:rsidRPr="0057569C" w:rsidRDefault="0057569C" w:rsidP="0057569C">
            <w:pPr>
              <w:overflowPunct/>
              <w:autoSpaceDE/>
              <w:autoSpaceDN/>
              <w:adjustRightInd/>
              <w:jc w:val="center"/>
              <w:rPr>
                <w:rFonts w:cs="Segoe UI"/>
              </w:rPr>
            </w:pPr>
            <w:r w:rsidRPr="008A0812">
              <w:rPr>
                <w:rFonts w:cs="Segoe UI"/>
              </w:rPr>
              <w:t>24 mgd (Peak Day)</w:t>
            </w:r>
          </w:p>
          <w:p w14:paraId="39DC0198" w14:textId="4862D351" w:rsidR="0057569C" w:rsidRPr="008A0812" w:rsidRDefault="0057569C" w:rsidP="0057569C">
            <w:pPr>
              <w:overflowPunct/>
              <w:autoSpaceDE/>
              <w:autoSpaceDN/>
              <w:adjustRightInd/>
              <w:jc w:val="center"/>
              <w:rPr>
                <w:rFonts w:cs="Segoe UI"/>
              </w:rPr>
            </w:pPr>
            <w:r w:rsidRPr="008A0812">
              <w:rPr>
                <w:rFonts w:cs="Segoe UI"/>
              </w:rPr>
              <w:t>36 mgd (Peak Hour)</w:t>
            </w:r>
          </w:p>
        </w:tc>
      </w:tr>
    </w:tbl>
    <w:p w14:paraId="16109921" w14:textId="2109C580" w:rsidR="001E2A8F" w:rsidRPr="008A0812" w:rsidRDefault="001E2A8F" w:rsidP="001E2A8F">
      <w:pPr>
        <w:pStyle w:val="Heading4"/>
      </w:pPr>
      <w:bookmarkStart w:id="32" w:name="_Toc20239690"/>
      <w:bookmarkStart w:id="33" w:name="_Toc41680800"/>
      <w:r w:rsidRPr="008A0812">
        <w:t>East Hydraulic Structure</w:t>
      </w:r>
      <w:bookmarkEnd w:id="32"/>
      <w:bookmarkEnd w:id="33"/>
    </w:p>
    <w:p w14:paraId="3778582B" w14:textId="13D1551C" w:rsidR="001E2A8F" w:rsidRPr="008A0812" w:rsidRDefault="001E2A8F" w:rsidP="3C8A962A">
      <w:pPr>
        <w:pStyle w:val="BodyText"/>
      </w:pPr>
      <w:r>
        <w:t xml:space="preserve">Wastewater collected by gravity from the eastern service </w:t>
      </w:r>
      <w:r w:rsidR="5A6E3675">
        <w:t>area (</w:t>
      </w:r>
      <w:r w:rsidR="00AC7D7A">
        <w:t xml:space="preserve">eastern part of SBMWD Service Area and </w:t>
      </w:r>
      <w:r w:rsidR="00C62B2E">
        <w:t>all</w:t>
      </w:r>
      <w:r w:rsidR="00AC7D7A">
        <w:t xml:space="preserve"> of EVWD Service Area)</w:t>
      </w:r>
      <w:r>
        <w:t xml:space="preserve"> flows through the East Hydraulic Structure</w:t>
      </w:r>
      <w:r w:rsidR="7EF24C8C" w:rsidRPr="3C8A962A">
        <w:t xml:space="preserve"> via two 36-inch pipes where it combines to a </w:t>
      </w:r>
      <w:r w:rsidR="63CF1533" w:rsidRPr="3C8A962A">
        <w:t>54-inch</w:t>
      </w:r>
      <w:r w:rsidR="7EF24C8C" w:rsidRPr="3C8A962A">
        <w:t xml:space="preserve"> interceptor</w:t>
      </w:r>
      <w:r>
        <w:t xml:space="preserve"> and flows to the East Influent Junction Box. The water surface elevation (WSE) in the East Influent Junction Box is controlled by WSE in the downstream influent screw pump influent channel. The </w:t>
      </w:r>
      <w:r w:rsidR="08609461" w:rsidRPr="3C8A962A">
        <w:rPr>
          <w:rFonts w:eastAsia="Arial Narrow" w:cs="Arial Narrow"/>
        </w:rPr>
        <w:t>East Influent Lift Station</w:t>
      </w:r>
      <w:r w:rsidR="08609461">
        <w:t xml:space="preserve"> </w:t>
      </w:r>
      <w:r>
        <w:t>screw pumps lift the wastewater to the combined influent channel and headworks.</w:t>
      </w:r>
    </w:p>
    <w:p w14:paraId="484E2EE2" w14:textId="5E851566" w:rsidR="001E2A8F" w:rsidRPr="008A0812" w:rsidRDefault="009C76DF" w:rsidP="009C76DF">
      <w:pPr>
        <w:pStyle w:val="Heading4"/>
      </w:pPr>
      <w:bookmarkStart w:id="34" w:name="_Toc20239691"/>
      <w:bookmarkStart w:id="35" w:name="_Toc41680801"/>
      <w:r w:rsidRPr="008A0812">
        <w:t>Influent Metering Station</w:t>
      </w:r>
      <w:bookmarkEnd w:id="34"/>
      <w:bookmarkEnd w:id="35"/>
    </w:p>
    <w:p w14:paraId="3647984D" w14:textId="776769E6" w:rsidR="009C76DF" w:rsidRPr="008A0812" w:rsidRDefault="009C76DF" w:rsidP="009C76DF">
      <w:pPr>
        <w:pStyle w:val="BodyText"/>
      </w:pPr>
      <w:r>
        <w:t xml:space="preserve">The influent metering structure measures all influent wastewater entering the SBWRP from the Arrowhead </w:t>
      </w:r>
      <w:r w:rsidR="00AC7D7A">
        <w:t xml:space="preserve">Lift </w:t>
      </w:r>
      <w:r w:rsidR="009F3A41">
        <w:t>S</w:t>
      </w:r>
      <w:r>
        <w:t xml:space="preserve">tation, E Street </w:t>
      </w:r>
      <w:r w:rsidR="00AC7D7A">
        <w:t xml:space="preserve">Lift </w:t>
      </w:r>
      <w:r w:rsidR="009F3A41">
        <w:t>S</w:t>
      </w:r>
      <w:r>
        <w:t>tation, and East Hydraulic Structure</w:t>
      </w:r>
      <w:r w:rsidR="00E13AA4">
        <w:t xml:space="preserve"> except for the </w:t>
      </w:r>
      <w:r w:rsidR="007744FD">
        <w:t xml:space="preserve">drain line </w:t>
      </w:r>
      <w:r w:rsidR="00E13AA4">
        <w:t xml:space="preserve">from the historic Valley Truck Farm area </w:t>
      </w:r>
      <w:r w:rsidR="007744FD">
        <w:t>mentioned in Section 1.5.1</w:t>
      </w:r>
      <w:r>
        <w:t xml:space="preserve">. Influent </w:t>
      </w:r>
      <w:r w:rsidR="00DE02EC">
        <w:t xml:space="preserve">flow monitoring is required by the SWRCB. Flow </w:t>
      </w:r>
      <w:r>
        <w:t xml:space="preserve">measurements are used to determine chemical feeds and plant process pumping rates and </w:t>
      </w:r>
      <w:r w:rsidR="00DE02EC">
        <w:t xml:space="preserve">are </w:t>
      </w:r>
      <w:r>
        <w:t>recorded for statistical and historical plant data.</w:t>
      </w:r>
      <w:r w:rsidR="00C61B01">
        <w:t xml:space="preserve"> </w:t>
      </w:r>
    </w:p>
    <w:p w14:paraId="7AFE622B" w14:textId="501088EA" w:rsidR="009C76DF" w:rsidRPr="008A0812" w:rsidRDefault="009C76DF" w:rsidP="009C76DF">
      <w:pPr>
        <w:pStyle w:val="Heading4"/>
      </w:pPr>
      <w:bookmarkStart w:id="36" w:name="_Toc20239692"/>
      <w:bookmarkStart w:id="37" w:name="_Toc41680802"/>
      <w:r w:rsidRPr="008A0812">
        <w:t>Septage Receiving</w:t>
      </w:r>
      <w:bookmarkEnd w:id="36"/>
      <w:bookmarkEnd w:id="37"/>
    </w:p>
    <w:p w14:paraId="26B063F4" w14:textId="5B195190" w:rsidR="00A145D5" w:rsidRPr="008A0812" w:rsidRDefault="00A145D5" w:rsidP="3C8A962A">
      <w:pPr>
        <w:pStyle w:val="BodyText"/>
      </w:pPr>
      <w:bookmarkStart w:id="38" w:name="_Toc20239693"/>
      <w:r>
        <w:t xml:space="preserve">Septage is hauled by </w:t>
      </w:r>
      <w:r w:rsidR="00FF6E51">
        <w:t xml:space="preserve">permitted private </w:t>
      </w:r>
      <w:r w:rsidR="00E13AA4">
        <w:t>waste haulers</w:t>
      </w:r>
      <w:r w:rsidR="00FF6E51">
        <w:t xml:space="preserve"> in</w:t>
      </w:r>
      <w:r>
        <w:t xml:space="preserve"> trucks to the SBWRP and unloaded at the septage receiving station. Under normal conditions, septage flows through a motorized plug valve, a grinder, and another plug valve to a meter. After metering, the septage flows to the Arrowhead </w:t>
      </w:r>
      <w:r w:rsidR="003A0D38">
        <w:t>Lift</w:t>
      </w:r>
      <w:r>
        <w:t xml:space="preserve"> Station influent pi</w:t>
      </w:r>
      <w:r w:rsidR="31F4496F">
        <w:t>t</w:t>
      </w:r>
      <w:r>
        <w:t xml:space="preserve"> where it intermixes with raw wastewater and is pumped to preliminary processes. The receiving station samples and monitors the septage to determine whether there are excessive amounts of grease or other harmful substances which may upset plant operations.</w:t>
      </w:r>
      <w:bookmarkEnd w:id="38"/>
    </w:p>
    <w:p w14:paraId="04440970" w14:textId="6660C65E" w:rsidR="00A145D5" w:rsidRPr="008A0812" w:rsidRDefault="00A145D5" w:rsidP="00A145D5">
      <w:pPr>
        <w:pStyle w:val="Heading4"/>
      </w:pPr>
      <w:bookmarkStart w:id="39" w:name="_Toc20239694"/>
      <w:bookmarkStart w:id="40" w:name="_Toc41680803"/>
      <w:r>
        <w:t>Bar Screens</w:t>
      </w:r>
      <w:bookmarkEnd w:id="39"/>
      <w:bookmarkEnd w:id="40"/>
    </w:p>
    <w:p w14:paraId="3A4F6CD0" w14:textId="0D45D8B4" w:rsidR="00833F73" w:rsidRPr="008A0812" w:rsidRDefault="00A145D5" w:rsidP="00833F73">
      <w:pPr>
        <w:pStyle w:val="BodyText"/>
      </w:pPr>
      <w:r w:rsidRPr="008A0812">
        <w:t xml:space="preserve">Screening prevents large solids from entering the treatment process. The SBWRP utilizes three “climber-type” </w:t>
      </w:r>
      <w:r w:rsidR="00ED3F10" w:rsidRPr="008A0812">
        <w:t>mechanically cleaned</w:t>
      </w:r>
      <w:r w:rsidRPr="008A0812">
        <w:t xml:space="preserve"> bar screens to provide influent screening and one manually</w:t>
      </w:r>
      <w:r w:rsidR="00ED3F10" w:rsidRPr="008A0812">
        <w:t xml:space="preserve"> </w:t>
      </w:r>
      <w:r w:rsidRPr="008A0812">
        <w:t>cleaned bar screen, which is used for emergency bypass flow. The bar screens consist of vertically inclined stainless</w:t>
      </w:r>
      <w:r w:rsidR="00ED3F10" w:rsidRPr="008A0812">
        <w:t xml:space="preserve"> </w:t>
      </w:r>
      <w:r w:rsidRPr="008A0812">
        <w:t>steel bars spaced at equal intervals across a channel through which raw influent wastewater flows. To prevent solids deposition, low</w:t>
      </w:r>
      <w:r w:rsidR="00ED3F10" w:rsidRPr="008A0812">
        <w:t xml:space="preserve"> </w:t>
      </w:r>
      <w:r w:rsidRPr="008A0812">
        <w:t>pressure air is diffused into the influent wastewater in the bar screen inlet channel.</w:t>
      </w:r>
      <w:r w:rsidR="00266DB5" w:rsidRPr="008A0812">
        <w:t xml:space="preserve"> The air lines are no longer in use. </w:t>
      </w:r>
      <w:r w:rsidRPr="008A0812">
        <w:t xml:space="preserve">The bar screens are designed to meet design peak hour flow conditions with one unit out of service. </w:t>
      </w:r>
      <w:r w:rsidR="00ED3F10" w:rsidRPr="008A0812">
        <w:fldChar w:fldCharType="begin"/>
      </w:r>
      <w:r w:rsidR="00ED3F10" w:rsidRPr="008A0812">
        <w:instrText xml:space="preserve"> REF _Ref36213936 \h </w:instrText>
      </w:r>
      <w:r w:rsidR="008A0812">
        <w:instrText xml:space="preserve"> \* MERGEFORMAT </w:instrText>
      </w:r>
      <w:r w:rsidR="00ED3F10" w:rsidRPr="008A0812">
        <w:fldChar w:fldCharType="separate"/>
      </w:r>
      <w:r w:rsidR="00AA68F8" w:rsidRPr="008A0812">
        <w:t xml:space="preserve">Table </w:t>
      </w:r>
      <w:r w:rsidR="00AA68F8">
        <w:rPr>
          <w:noProof/>
        </w:rPr>
        <w:t>1</w:t>
      </w:r>
      <w:r w:rsidR="00AA68F8" w:rsidRPr="008A0812">
        <w:rPr>
          <w:noProof/>
        </w:rPr>
        <w:noBreakHyphen/>
      </w:r>
      <w:r w:rsidR="00AA68F8">
        <w:rPr>
          <w:noProof/>
        </w:rPr>
        <w:t>3</w:t>
      </w:r>
      <w:r w:rsidR="00ED3F10" w:rsidRPr="008A0812">
        <w:fldChar w:fldCharType="end"/>
      </w:r>
      <w:r w:rsidR="00ED3F10" w:rsidRPr="008A0812">
        <w:t xml:space="preserve"> summarizes the bar screen design criteria.</w:t>
      </w:r>
    </w:p>
    <w:p w14:paraId="140E4C7E" w14:textId="7BFCF67E" w:rsidR="00833F73" w:rsidRPr="008A0812" w:rsidRDefault="00AA2FB4" w:rsidP="00AA2FB4">
      <w:pPr>
        <w:pStyle w:val="Caption"/>
        <w:spacing w:before="200" w:after="120"/>
      </w:pPr>
      <w:bookmarkStart w:id="41" w:name="_Ref36213936"/>
      <w:bookmarkStart w:id="42" w:name="_Toc20061207"/>
      <w:bookmarkStart w:id="43" w:name="_Toc41684723"/>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41"/>
      <w:r w:rsidRPr="008A0812">
        <w:t xml:space="preserve">: </w:t>
      </w:r>
      <w:bookmarkEnd w:id="42"/>
      <w:r w:rsidR="00833F73" w:rsidRPr="008A0812">
        <w:t>Bar Screen Design Information</w:t>
      </w:r>
      <w:bookmarkEnd w:id="43"/>
      <w:r w:rsidR="00833F73"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A145D5" w:rsidRPr="008A0812" w14:paraId="3114E583"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41F904DF" w14:textId="79776113" w:rsidR="00A145D5" w:rsidRPr="008A0812" w:rsidRDefault="00A145D5" w:rsidP="00A145D5">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093CBEB3" w14:textId="5F556688" w:rsidR="00A145D5" w:rsidRPr="008A0812" w:rsidRDefault="00A145D5" w:rsidP="00A145D5">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7A6C8AC7" w14:textId="6A4B539F" w:rsidR="00A145D5" w:rsidRPr="008A0812" w:rsidRDefault="00A145D5" w:rsidP="0031230D">
            <w:pPr>
              <w:overflowPunct/>
              <w:autoSpaceDE/>
              <w:autoSpaceDN/>
              <w:adjustRightInd/>
              <w:jc w:val="center"/>
              <w:rPr>
                <w:rFonts w:ascii="Segoe UI" w:hAnsi="Segoe UI" w:cs="Segoe UI"/>
                <w:sz w:val="18"/>
                <w:szCs w:val="18"/>
              </w:rPr>
            </w:pPr>
            <w:r w:rsidRPr="008A0812">
              <w:rPr>
                <w:rFonts w:cs="Segoe UI"/>
                <w:b/>
                <w:bCs/>
              </w:rPr>
              <w:t>Design Flow</w:t>
            </w:r>
          </w:p>
        </w:tc>
      </w:tr>
      <w:tr w:rsidR="00A145D5" w:rsidRPr="008A0812" w14:paraId="52DF4567" w14:textId="77777777" w:rsidTr="00AA2FB4">
        <w:trPr>
          <w:cantSplit/>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09B597C1" w14:textId="73D403BF" w:rsidR="00A145D5" w:rsidRPr="008A0812" w:rsidRDefault="00A145D5" w:rsidP="0031230D">
            <w:pPr>
              <w:overflowPunct/>
              <w:autoSpaceDE/>
              <w:autoSpaceDN/>
              <w:adjustRightInd/>
              <w:rPr>
                <w:rFonts w:ascii="Segoe UI" w:hAnsi="Segoe UI" w:cs="Segoe UI"/>
                <w:sz w:val="18"/>
                <w:szCs w:val="18"/>
              </w:rPr>
            </w:pPr>
            <w:r w:rsidRPr="008A0812">
              <w:rPr>
                <w:rFonts w:cs="Segoe UI"/>
              </w:rPr>
              <w:t>Bar Screens</w:t>
            </w:r>
          </w:p>
        </w:tc>
        <w:tc>
          <w:tcPr>
            <w:tcW w:w="3450" w:type="dxa"/>
            <w:tcBorders>
              <w:top w:val="nil"/>
              <w:left w:val="nil"/>
              <w:bottom w:val="single" w:sz="6" w:space="0" w:color="auto"/>
              <w:right w:val="single" w:sz="6" w:space="0" w:color="auto"/>
            </w:tcBorders>
            <w:shd w:val="clear" w:color="auto" w:fill="auto"/>
            <w:hideMark/>
          </w:tcPr>
          <w:p w14:paraId="168B6D54" w14:textId="57733FAD" w:rsidR="00A145D5" w:rsidRPr="008A0812" w:rsidRDefault="00A145D5" w:rsidP="0031230D">
            <w:pPr>
              <w:overflowPunct/>
              <w:autoSpaceDE/>
              <w:autoSpaceDN/>
              <w:adjustRightInd/>
              <w:rPr>
                <w:rFonts w:ascii="Segoe UI" w:hAnsi="Segoe UI" w:cs="Segoe UI"/>
                <w:sz w:val="18"/>
                <w:szCs w:val="18"/>
              </w:rPr>
            </w:pPr>
            <w:r w:rsidRPr="008A0812">
              <w:rPr>
                <w:rFonts w:cs="Segoe UI"/>
              </w:rPr>
              <w:t>Quantity: 3</w:t>
            </w:r>
          </w:p>
          <w:p w14:paraId="7DEDFB6A" w14:textId="03EF2AB4" w:rsidR="00A145D5" w:rsidRPr="008A0812" w:rsidRDefault="00A145D5" w:rsidP="0031230D">
            <w:pPr>
              <w:overflowPunct/>
              <w:autoSpaceDE/>
              <w:autoSpaceDN/>
              <w:adjustRightInd/>
              <w:rPr>
                <w:rFonts w:ascii="Segoe UI" w:hAnsi="Segoe UI" w:cs="Segoe UI"/>
                <w:sz w:val="18"/>
                <w:szCs w:val="18"/>
              </w:rPr>
            </w:pPr>
            <w:r w:rsidRPr="008A0812">
              <w:rPr>
                <w:rFonts w:cs="Segoe UI"/>
              </w:rPr>
              <w:t xml:space="preserve">Mechanically </w:t>
            </w:r>
            <w:r w:rsidR="00ED4101" w:rsidRPr="008A0812">
              <w:rPr>
                <w:rFonts w:cs="Segoe UI"/>
              </w:rPr>
              <w:t>C</w:t>
            </w:r>
            <w:r w:rsidRPr="008A0812">
              <w:rPr>
                <w:rFonts w:cs="Segoe UI"/>
              </w:rPr>
              <w:t xml:space="preserve">leaned </w:t>
            </w:r>
            <w:r w:rsidR="00ED4101" w:rsidRPr="008A0812">
              <w:rPr>
                <w:rFonts w:cs="Segoe UI"/>
              </w:rPr>
              <w:t>C</w:t>
            </w:r>
            <w:r w:rsidRPr="008A0812">
              <w:rPr>
                <w:rFonts w:cs="Segoe UI"/>
              </w:rPr>
              <w:t>limber</w:t>
            </w:r>
            <w:r w:rsidR="00ED4101" w:rsidRPr="008A0812">
              <w:rPr>
                <w:rFonts w:cs="Segoe UI"/>
              </w:rPr>
              <w:t>-</w:t>
            </w:r>
            <w:r w:rsidRPr="008A0812">
              <w:rPr>
                <w:rFonts w:cs="Segoe UI"/>
              </w:rPr>
              <w:t>type</w:t>
            </w:r>
          </w:p>
          <w:p w14:paraId="2DD311C9" w14:textId="7B3024A1" w:rsidR="00A145D5" w:rsidRPr="008A0812" w:rsidRDefault="00A145D5" w:rsidP="0031230D">
            <w:pPr>
              <w:overflowPunct/>
              <w:autoSpaceDE/>
              <w:autoSpaceDN/>
              <w:adjustRightInd/>
              <w:rPr>
                <w:rFonts w:ascii="Segoe UI" w:hAnsi="Segoe UI" w:cs="Segoe UI"/>
                <w:sz w:val="18"/>
                <w:szCs w:val="18"/>
              </w:rPr>
            </w:pPr>
            <w:r w:rsidRPr="008A0812">
              <w:rPr>
                <w:rFonts w:cs="Segoe UI"/>
              </w:rPr>
              <w:t>Channel Width: 6 feet</w:t>
            </w:r>
          </w:p>
          <w:p w14:paraId="155E24AA" w14:textId="00FA36F1" w:rsidR="00A145D5" w:rsidRPr="008A0812" w:rsidRDefault="00A145D5" w:rsidP="0031230D">
            <w:pPr>
              <w:overflowPunct/>
              <w:autoSpaceDE/>
              <w:autoSpaceDN/>
              <w:adjustRightInd/>
              <w:rPr>
                <w:rFonts w:ascii="Segoe UI" w:hAnsi="Segoe UI" w:cs="Segoe UI"/>
                <w:sz w:val="18"/>
                <w:szCs w:val="18"/>
              </w:rPr>
            </w:pPr>
            <w:r w:rsidRPr="008A0812">
              <w:rPr>
                <w:rFonts w:cs="Segoe UI"/>
              </w:rPr>
              <w:t>Clear Screen Velocity:</w:t>
            </w:r>
          </w:p>
          <w:p w14:paraId="57B13CA9" w14:textId="0A781EFE" w:rsidR="00A145D5" w:rsidRPr="008A0812" w:rsidRDefault="00A145D5" w:rsidP="0031230D">
            <w:pPr>
              <w:overflowPunct/>
              <w:autoSpaceDE/>
              <w:autoSpaceDN/>
              <w:adjustRightInd/>
              <w:rPr>
                <w:rFonts w:ascii="Segoe UI" w:hAnsi="Segoe UI" w:cs="Segoe UI"/>
                <w:sz w:val="18"/>
                <w:szCs w:val="18"/>
              </w:rPr>
            </w:pPr>
            <w:r w:rsidRPr="008A0812">
              <w:rPr>
                <w:rFonts w:cs="Segoe UI"/>
              </w:rPr>
              <w:t>2.1 feet/sec</w:t>
            </w:r>
            <w:r w:rsidR="00ED4101" w:rsidRPr="008A0812">
              <w:rPr>
                <w:rFonts w:cs="Segoe UI"/>
              </w:rPr>
              <w:t>.</w:t>
            </w:r>
            <w:r w:rsidRPr="008A0812">
              <w:rPr>
                <w:rFonts w:cs="Segoe UI"/>
              </w:rPr>
              <w:t xml:space="preserve"> (Peak Day)</w:t>
            </w:r>
          </w:p>
          <w:p w14:paraId="4571145C" w14:textId="3D499D29" w:rsidR="00A145D5" w:rsidRPr="008A0812" w:rsidRDefault="00A145D5" w:rsidP="0031230D">
            <w:pPr>
              <w:overflowPunct/>
              <w:autoSpaceDE/>
              <w:autoSpaceDN/>
              <w:adjustRightInd/>
              <w:rPr>
                <w:rFonts w:ascii="Segoe UI" w:hAnsi="Segoe UI" w:cs="Segoe UI"/>
                <w:sz w:val="18"/>
                <w:szCs w:val="18"/>
              </w:rPr>
            </w:pPr>
            <w:r w:rsidRPr="008A0812">
              <w:rPr>
                <w:rFonts w:cs="Segoe UI"/>
              </w:rPr>
              <w:t>2.5 feet/sec</w:t>
            </w:r>
            <w:r w:rsidR="00ED4101" w:rsidRPr="008A0812">
              <w:rPr>
                <w:rFonts w:cs="Segoe UI"/>
              </w:rPr>
              <w:t>.</w:t>
            </w:r>
            <w:r w:rsidRPr="008A0812">
              <w:rPr>
                <w:rFonts w:cs="Segoe UI"/>
              </w:rPr>
              <w:t xml:space="preserve"> (Peak Hour)</w:t>
            </w:r>
          </w:p>
        </w:tc>
        <w:tc>
          <w:tcPr>
            <w:tcW w:w="3105" w:type="dxa"/>
            <w:tcBorders>
              <w:top w:val="nil"/>
              <w:left w:val="nil"/>
              <w:bottom w:val="single" w:sz="6" w:space="0" w:color="auto"/>
              <w:right w:val="single" w:sz="6" w:space="0" w:color="auto"/>
            </w:tcBorders>
            <w:shd w:val="clear" w:color="auto" w:fill="auto"/>
            <w:hideMark/>
          </w:tcPr>
          <w:p w14:paraId="1E26D5A8" w14:textId="66D3E59B" w:rsidR="00A145D5" w:rsidRPr="008A0812" w:rsidRDefault="00A145D5" w:rsidP="0031230D">
            <w:pPr>
              <w:overflowPunct/>
              <w:autoSpaceDE/>
              <w:autoSpaceDN/>
              <w:adjustRightInd/>
              <w:rPr>
                <w:rFonts w:ascii="Segoe UI" w:hAnsi="Segoe UI" w:cs="Segoe UI"/>
                <w:sz w:val="18"/>
                <w:szCs w:val="18"/>
              </w:rPr>
            </w:pPr>
            <w:r w:rsidRPr="008A0812">
              <w:rPr>
                <w:rFonts w:cs="Segoe UI"/>
              </w:rPr>
              <w:t>90 mgd (Peak Hour flow with one unit out of service)</w:t>
            </w:r>
          </w:p>
        </w:tc>
      </w:tr>
      <w:tr w:rsidR="00A145D5" w:rsidRPr="008A0812" w14:paraId="499B15F9" w14:textId="77777777" w:rsidTr="00AA2FB4">
        <w:trPr>
          <w:cantSplit/>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5A76632C" w14:textId="27A09B51" w:rsidR="00A145D5" w:rsidRPr="008A0812" w:rsidRDefault="00A145D5" w:rsidP="0031230D">
            <w:pPr>
              <w:overflowPunct/>
              <w:autoSpaceDE/>
              <w:autoSpaceDN/>
              <w:adjustRightInd/>
              <w:rPr>
                <w:rFonts w:ascii="Segoe UI" w:hAnsi="Segoe UI" w:cs="Segoe UI"/>
                <w:sz w:val="18"/>
                <w:szCs w:val="18"/>
              </w:rPr>
            </w:pPr>
            <w:r w:rsidRPr="008A0812">
              <w:rPr>
                <w:rFonts w:cs="Segoe UI"/>
              </w:rPr>
              <w:t>Emergency Bypass</w:t>
            </w:r>
          </w:p>
        </w:tc>
        <w:tc>
          <w:tcPr>
            <w:tcW w:w="3450" w:type="dxa"/>
            <w:tcBorders>
              <w:top w:val="nil"/>
              <w:left w:val="nil"/>
              <w:bottom w:val="single" w:sz="6" w:space="0" w:color="auto"/>
              <w:right w:val="single" w:sz="6" w:space="0" w:color="auto"/>
            </w:tcBorders>
            <w:shd w:val="clear" w:color="auto" w:fill="auto"/>
            <w:hideMark/>
          </w:tcPr>
          <w:p w14:paraId="0AC77843" w14:textId="22A84E6C" w:rsidR="00A145D5" w:rsidRPr="008A0812" w:rsidRDefault="00A145D5" w:rsidP="0031230D">
            <w:pPr>
              <w:overflowPunct/>
              <w:autoSpaceDE/>
              <w:autoSpaceDN/>
              <w:adjustRightInd/>
              <w:rPr>
                <w:rFonts w:ascii="Segoe UI" w:hAnsi="Segoe UI" w:cs="Segoe UI"/>
                <w:sz w:val="18"/>
                <w:szCs w:val="18"/>
              </w:rPr>
            </w:pPr>
            <w:r w:rsidRPr="008A0812">
              <w:rPr>
                <w:rFonts w:cs="Segoe UI"/>
              </w:rPr>
              <w:t>Quantity: 1</w:t>
            </w:r>
          </w:p>
          <w:p w14:paraId="215D5DAF" w14:textId="3A16744A" w:rsidR="00A145D5" w:rsidRPr="008A0812" w:rsidRDefault="00A145D5" w:rsidP="0031230D">
            <w:pPr>
              <w:overflowPunct/>
              <w:autoSpaceDE/>
              <w:autoSpaceDN/>
              <w:adjustRightInd/>
              <w:rPr>
                <w:rFonts w:ascii="Segoe UI" w:hAnsi="Segoe UI" w:cs="Segoe UI"/>
                <w:sz w:val="18"/>
                <w:szCs w:val="18"/>
              </w:rPr>
            </w:pPr>
            <w:r w:rsidRPr="008A0812">
              <w:rPr>
                <w:rFonts w:cs="Segoe UI"/>
              </w:rPr>
              <w:t xml:space="preserve">Manually </w:t>
            </w:r>
            <w:r w:rsidR="00ED4101" w:rsidRPr="008A0812">
              <w:rPr>
                <w:rFonts w:cs="Segoe UI"/>
              </w:rPr>
              <w:t>C</w:t>
            </w:r>
            <w:r w:rsidRPr="008A0812">
              <w:rPr>
                <w:rFonts w:cs="Segoe UI"/>
              </w:rPr>
              <w:t xml:space="preserve">leaned </w:t>
            </w:r>
            <w:r w:rsidR="00ED4101" w:rsidRPr="008A0812">
              <w:rPr>
                <w:rFonts w:cs="Segoe UI"/>
              </w:rPr>
              <w:t>B</w:t>
            </w:r>
            <w:r w:rsidRPr="008A0812">
              <w:rPr>
                <w:rFonts w:cs="Segoe UI"/>
              </w:rPr>
              <w:t xml:space="preserve">ar </w:t>
            </w:r>
            <w:r w:rsidR="00ED4101" w:rsidRPr="008A0812">
              <w:rPr>
                <w:rFonts w:cs="Segoe UI"/>
              </w:rPr>
              <w:t>S</w:t>
            </w:r>
            <w:r w:rsidRPr="008A0812">
              <w:rPr>
                <w:rFonts w:cs="Segoe UI"/>
              </w:rPr>
              <w:t>creen</w:t>
            </w:r>
          </w:p>
          <w:p w14:paraId="15DFD705" w14:textId="6CD87724" w:rsidR="00A145D5" w:rsidRPr="008A0812" w:rsidRDefault="00A145D5" w:rsidP="0031230D">
            <w:pPr>
              <w:overflowPunct/>
              <w:autoSpaceDE/>
              <w:autoSpaceDN/>
              <w:adjustRightInd/>
              <w:rPr>
                <w:rFonts w:ascii="Segoe UI" w:hAnsi="Segoe UI" w:cs="Segoe UI"/>
                <w:sz w:val="18"/>
                <w:szCs w:val="18"/>
              </w:rPr>
            </w:pPr>
            <w:r w:rsidRPr="008A0812">
              <w:rPr>
                <w:rFonts w:cs="Segoe UI"/>
              </w:rPr>
              <w:t>Channel Width: 8 feet</w:t>
            </w:r>
          </w:p>
        </w:tc>
        <w:tc>
          <w:tcPr>
            <w:tcW w:w="3105" w:type="dxa"/>
            <w:tcBorders>
              <w:top w:val="nil"/>
              <w:left w:val="nil"/>
              <w:bottom w:val="single" w:sz="6" w:space="0" w:color="auto"/>
              <w:right w:val="single" w:sz="6" w:space="0" w:color="auto"/>
            </w:tcBorders>
            <w:shd w:val="clear" w:color="auto" w:fill="auto"/>
            <w:hideMark/>
          </w:tcPr>
          <w:p w14:paraId="4748A97E" w14:textId="7D3B1D10" w:rsidR="00A145D5" w:rsidRPr="008A0812" w:rsidRDefault="00A145D5" w:rsidP="0031230D">
            <w:pPr>
              <w:overflowPunct/>
              <w:autoSpaceDE/>
              <w:autoSpaceDN/>
              <w:adjustRightInd/>
              <w:rPr>
                <w:rFonts w:ascii="Segoe UI" w:hAnsi="Segoe UI" w:cs="Segoe UI"/>
                <w:sz w:val="18"/>
                <w:szCs w:val="18"/>
              </w:rPr>
            </w:pPr>
            <w:r w:rsidRPr="008A0812">
              <w:rPr>
                <w:rFonts w:cs="Segoe UI"/>
              </w:rPr>
              <w:t>N/</w:t>
            </w:r>
            <w:r w:rsidR="00830987" w:rsidRPr="008A0812">
              <w:rPr>
                <w:rFonts w:cs="Segoe UI"/>
              </w:rPr>
              <w:t>A</w:t>
            </w:r>
            <w:r w:rsidRPr="008A0812">
              <w:rPr>
                <w:rFonts w:cs="Segoe UI"/>
              </w:rPr>
              <w:t> </w:t>
            </w:r>
          </w:p>
        </w:tc>
      </w:tr>
    </w:tbl>
    <w:p w14:paraId="5FF707E7" w14:textId="21338DD3" w:rsidR="00A145D5" w:rsidRPr="008A0812" w:rsidRDefault="00A145D5" w:rsidP="00A145D5">
      <w:pPr>
        <w:pStyle w:val="Heading4"/>
      </w:pPr>
      <w:bookmarkStart w:id="44" w:name="_Toc20239695"/>
      <w:bookmarkStart w:id="45" w:name="_Toc41680804"/>
      <w:r>
        <w:t>Grit Removal</w:t>
      </w:r>
      <w:bookmarkEnd w:id="44"/>
      <w:bookmarkEnd w:id="45"/>
    </w:p>
    <w:p w14:paraId="7C765A97" w14:textId="0FA63B79" w:rsidR="00833F73" w:rsidRPr="008A0812" w:rsidRDefault="00A145D5" w:rsidP="00833F73">
      <w:pPr>
        <w:pStyle w:val="BodyText"/>
      </w:pPr>
      <w:r w:rsidRPr="008A0812">
        <w:t xml:space="preserve">The grit removal system consists of </w:t>
      </w:r>
      <w:r w:rsidR="0010593D" w:rsidRPr="008A0812">
        <w:t xml:space="preserve">aerated grit chambers with </w:t>
      </w:r>
      <w:r w:rsidRPr="008A0812">
        <w:t>grit hoppers</w:t>
      </w:r>
      <w:r w:rsidR="0010593D" w:rsidRPr="008A0812">
        <w:t xml:space="preserve"> and grit </w:t>
      </w:r>
      <w:r w:rsidR="00ED3F10" w:rsidRPr="008A0812">
        <w:t>slurry</w:t>
      </w:r>
      <w:r w:rsidR="0010593D" w:rsidRPr="008A0812">
        <w:t xml:space="preserve"> pumps to convey to the grit classifier and auger system</w:t>
      </w:r>
      <w:r w:rsidRPr="008A0812">
        <w:t>, diffusers, and other ancillary system components located above the hopper. Screened wastewater enters each grit chamber through 48-inch by 60-inch opening</w:t>
      </w:r>
      <w:r w:rsidR="002A1895" w:rsidRPr="008A0812">
        <w:t>s</w:t>
      </w:r>
      <w:r w:rsidRPr="008A0812">
        <w:t xml:space="preserve"> equipped with a sluice gate for isolation. Four</w:t>
      </w:r>
      <w:r w:rsidR="007E63D0" w:rsidRPr="008A0812">
        <w:t xml:space="preserve"> structurally</w:t>
      </w:r>
      <w:r w:rsidRPr="008A0812">
        <w:t xml:space="preserve"> identical grit chambers are available for removing grit from the wastewater. The degritted wastewater exits each grit chamber into the grit chamber collection channel through 84-inch by 48-inch bottom</w:t>
      </w:r>
      <w:r w:rsidR="00DF55ED" w:rsidRPr="008A0812">
        <w:t>-</w:t>
      </w:r>
      <w:r w:rsidRPr="008A0812">
        <w:t xml:space="preserve">opening sluice gates. Each grit chamber </w:t>
      </w:r>
      <w:r w:rsidR="00952177" w:rsidRPr="008A0812">
        <w:t>is</w:t>
      </w:r>
      <w:r w:rsidRPr="008A0812">
        <w:t xml:space="preserve"> dewatered through the grit slurry piping. </w:t>
      </w:r>
      <w:r w:rsidR="00ED3F10" w:rsidRPr="008A0812">
        <w:fldChar w:fldCharType="begin"/>
      </w:r>
      <w:r w:rsidR="00ED3F10" w:rsidRPr="008A0812">
        <w:instrText xml:space="preserve"> REF _Ref36214058 \h </w:instrText>
      </w:r>
      <w:r w:rsidR="008A0812">
        <w:instrText xml:space="preserve"> \* MERGEFORMAT </w:instrText>
      </w:r>
      <w:r w:rsidR="00ED3F10" w:rsidRPr="008A0812">
        <w:fldChar w:fldCharType="separate"/>
      </w:r>
      <w:r w:rsidR="00AA68F8" w:rsidRPr="008A0812">
        <w:t xml:space="preserve">Table </w:t>
      </w:r>
      <w:r w:rsidR="00AA68F8">
        <w:rPr>
          <w:noProof/>
        </w:rPr>
        <w:t>1</w:t>
      </w:r>
      <w:r w:rsidR="00AA68F8" w:rsidRPr="008A0812">
        <w:rPr>
          <w:noProof/>
        </w:rPr>
        <w:noBreakHyphen/>
      </w:r>
      <w:r w:rsidR="00AA68F8">
        <w:rPr>
          <w:noProof/>
        </w:rPr>
        <w:t>4</w:t>
      </w:r>
      <w:r w:rsidR="00ED3F10" w:rsidRPr="008A0812">
        <w:fldChar w:fldCharType="end"/>
      </w:r>
      <w:r w:rsidR="00ED3F10" w:rsidRPr="008A0812">
        <w:t xml:space="preserve"> summarizes the grit</w:t>
      </w:r>
      <w:r w:rsidRPr="008A0812">
        <w:t xml:space="preserve"> removal system design criteria</w:t>
      </w:r>
      <w:bookmarkStart w:id="46" w:name="_Hlk20060899"/>
      <w:r w:rsidR="00ED3F10" w:rsidRPr="008A0812">
        <w:t>.</w:t>
      </w:r>
    </w:p>
    <w:p w14:paraId="637E4412" w14:textId="6F846F87" w:rsidR="00833F73" w:rsidRPr="008A0812" w:rsidRDefault="00AA2FB4" w:rsidP="00AA2FB4">
      <w:pPr>
        <w:pStyle w:val="Caption"/>
        <w:spacing w:before="200" w:after="120"/>
      </w:pPr>
      <w:bookmarkStart w:id="47" w:name="_Ref36214058"/>
      <w:bookmarkStart w:id="48" w:name="_Toc41684724"/>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47"/>
      <w:r w:rsidRPr="008A0812">
        <w:t xml:space="preserve">: </w:t>
      </w:r>
      <w:r w:rsidR="00833F73" w:rsidRPr="008A0812">
        <w:t>Grit Removal Design Information</w:t>
      </w:r>
      <w:bookmarkEnd w:id="48"/>
      <w:r w:rsidR="00833F73"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A145D5" w:rsidRPr="008A0812" w14:paraId="04970D70" w14:textId="77777777" w:rsidTr="00833F73">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bookmarkEnd w:id="46"/>
          <w:p w14:paraId="143CB6DC" w14:textId="31FFD2DF" w:rsidR="00A145D5" w:rsidRPr="008A0812" w:rsidRDefault="00A145D5" w:rsidP="00A145D5">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783FDA41" w14:textId="3E498DCD" w:rsidR="00A145D5" w:rsidRPr="008A0812" w:rsidRDefault="00A145D5" w:rsidP="00A145D5">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44A4E2A1" w14:textId="26D1D4AE" w:rsidR="00A145D5" w:rsidRPr="008A0812" w:rsidRDefault="00A145D5" w:rsidP="0031230D">
            <w:pPr>
              <w:overflowPunct/>
              <w:autoSpaceDE/>
              <w:autoSpaceDN/>
              <w:adjustRightInd/>
              <w:jc w:val="center"/>
              <w:rPr>
                <w:rFonts w:ascii="Segoe UI" w:hAnsi="Segoe UI" w:cs="Segoe UI"/>
                <w:sz w:val="18"/>
                <w:szCs w:val="18"/>
              </w:rPr>
            </w:pPr>
            <w:r w:rsidRPr="008A0812">
              <w:rPr>
                <w:rFonts w:cs="Segoe UI"/>
                <w:b/>
                <w:bCs/>
              </w:rPr>
              <w:t>Design Flow</w:t>
            </w:r>
          </w:p>
        </w:tc>
      </w:tr>
      <w:tr w:rsidR="00A145D5" w:rsidRPr="008A0812" w14:paraId="19D8EE8A" w14:textId="77777777" w:rsidTr="00833F73">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27D378E3" w14:textId="1FB35678"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Grit Chambers</w:t>
            </w:r>
          </w:p>
        </w:tc>
        <w:tc>
          <w:tcPr>
            <w:tcW w:w="3450" w:type="dxa"/>
            <w:tcBorders>
              <w:top w:val="nil"/>
              <w:left w:val="nil"/>
              <w:bottom w:val="single" w:sz="6" w:space="0" w:color="auto"/>
              <w:right w:val="single" w:sz="6" w:space="0" w:color="auto"/>
            </w:tcBorders>
            <w:shd w:val="clear" w:color="auto" w:fill="auto"/>
            <w:hideMark/>
          </w:tcPr>
          <w:p w14:paraId="76D16E95" w14:textId="28451987"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Quantity: 4</w:t>
            </w:r>
            <w:r w:rsidR="00B94DD9" w:rsidRPr="008A0812">
              <w:rPr>
                <w:rFonts w:cs="Segoe UI"/>
              </w:rPr>
              <w:t xml:space="preserve"> (3 + 1 Future)</w:t>
            </w:r>
          </w:p>
          <w:p w14:paraId="5B8C4D54" w14:textId="783F146A"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u w:val="single"/>
              </w:rPr>
              <w:t>Overflow Rate</w:t>
            </w:r>
          </w:p>
          <w:p w14:paraId="307F6B74" w14:textId="4450F84E"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Average: 17,900 gpd/</w:t>
            </w:r>
            <w:r w:rsidR="00ED4101" w:rsidRPr="008A0812">
              <w:rPr>
                <w:rFonts w:cs="Segoe UI"/>
              </w:rPr>
              <w:t>sf</w:t>
            </w:r>
          </w:p>
          <w:p w14:paraId="234A161D" w14:textId="23AB3AD1"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Peak Day: 23,800 gpd/sf</w:t>
            </w:r>
          </w:p>
          <w:p w14:paraId="6C3F0942" w14:textId="7AFC2D5A"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Peak Hour: 35,700 gpd/sf</w:t>
            </w:r>
          </w:p>
          <w:p w14:paraId="4953280E" w14:textId="7A948D1E"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u w:val="single"/>
              </w:rPr>
              <w:t>Air Supply</w:t>
            </w:r>
            <w:r w:rsidR="007F0749" w:rsidRPr="008A0812">
              <w:rPr>
                <w:rFonts w:cs="Segoe UI"/>
                <w:u w:val="single"/>
              </w:rPr>
              <w:t xml:space="preserve"> (only </w:t>
            </w:r>
            <w:r w:rsidR="00892834" w:rsidRPr="008A0812">
              <w:rPr>
                <w:rFonts w:cs="Segoe UI"/>
                <w:u w:val="single"/>
              </w:rPr>
              <w:t>C</w:t>
            </w:r>
            <w:r w:rsidR="007F0749" w:rsidRPr="008A0812">
              <w:rPr>
                <w:rFonts w:cs="Segoe UI"/>
                <w:u w:val="single"/>
              </w:rPr>
              <w:t>hambers 1 – 3)</w:t>
            </w:r>
          </w:p>
          <w:p w14:paraId="3433CF26" w14:textId="77777777" w:rsidR="00ED4101" w:rsidRPr="008A0812" w:rsidRDefault="00A145D5" w:rsidP="00A145D5">
            <w:pPr>
              <w:overflowPunct/>
              <w:autoSpaceDE/>
              <w:autoSpaceDN/>
              <w:adjustRightInd/>
              <w:jc w:val="both"/>
              <w:rPr>
                <w:rFonts w:cs="Segoe UI"/>
              </w:rPr>
            </w:pPr>
            <w:r w:rsidRPr="008A0812">
              <w:rPr>
                <w:rFonts w:cs="Segoe UI"/>
              </w:rPr>
              <w:t>Maximum Air Flow: 5 cfm/</w:t>
            </w:r>
            <w:r w:rsidR="00ED4101" w:rsidRPr="008A0812">
              <w:rPr>
                <w:rFonts w:cs="Segoe UI"/>
              </w:rPr>
              <w:t>LF</w:t>
            </w:r>
            <w:r w:rsidRPr="008A0812">
              <w:rPr>
                <w:rFonts w:cs="Segoe UI"/>
              </w:rPr>
              <w:t> of</w:t>
            </w:r>
          </w:p>
          <w:p w14:paraId="16347D53" w14:textId="429EC71C"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basin length </w:t>
            </w:r>
          </w:p>
        </w:tc>
        <w:tc>
          <w:tcPr>
            <w:tcW w:w="3105" w:type="dxa"/>
            <w:tcBorders>
              <w:top w:val="nil"/>
              <w:left w:val="nil"/>
              <w:bottom w:val="single" w:sz="6" w:space="0" w:color="auto"/>
              <w:right w:val="single" w:sz="6" w:space="0" w:color="auto"/>
            </w:tcBorders>
            <w:shd w:val="clear" w:color="auto" w:fill="auto"/>
            <w:hideMark/>
          </w:tcPr>
          <w:p w14:paraId="76B8A3A1" w14:textId="5AD8DD91" w:rsidR="00A145D5" w:rsidRPr="008A0812" w:rsidRDefault="00A145D5" w:rsidP="00A145D5">
            <w:pPr>
              <w:overflowPunct/>
              <w:autoSpaceDE/>
              <w:autoSpaceDN/>
              <w:adjustRightInd/>
              <w:jc w:val="both"/>
              <w:rPr>
                <w:rFonts w:ascii="Segoe UI" w:hAnsi="Segoe UI" w:cs="Segoe UI"/>
                <w:sz w:val="18"/>
                <w:szCs w:val="18"/>
                <w:u w:val="single"/>
              </w:rPr>
            </w:pPr>
            <w:r w:rsidRPr="008A0812">
              <w:rPr>
                <w:rFonts w:cs="Segoe UI"/>
                <w:u w:val="single"/>
              </w:rPr>
              <w:t>Each Chamber</w:t>
            </w:r>
          </w:p>
          <w:p w14:paraId="246A4676" w14:textId="4CB8F305"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Average: 15 mgd</w:t>
            </w:r>
          </w:p>
          <w:p w14:paraId="1C1DD0CC" w14:textId="6E4FDD82"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Peak Day: 20 mgd</w:t>
            </w:r>
          </w:p>
          <w:p w14:paraId="3EDFD0DD" w14:textId="08F1A423"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Peak Hour: 30 mgd</w:t>
            </w:r>
          </w:p>
          <w:p w14:paraId="2B5C9550" w14:textId="3932995F" w:rsidR="00A145D5" w:rsidRPr="008A0812" w:rsidRDefault="00A145D5" w:rsidP="00A145D5">
            <w:pPr>
              <w:overflowPunct/>
              <w:autoSpaceDE/>
              <w:autoSpaceDN/>
              <w:adjustRightInd/>
              <w:jc w:val="both"/>
              <w:rPr>
                <w:rFonts w:ascii="Segoe UI" w:hAnsi="Segoe UI" w:cs="Segoe UI"/>
                <w:sz w:val="18"/>
                <w:szCs w:val="18"/>
              </w:rPr>
            </w:pPr>
          </w:p>
        </w:tc>
      </w:tr>
      <w:tr w:rsidR="00A145D5" w:rsidRPr="008A0812" w14:paraId="3C61AD3F" w14:textId="77777777" w:rsidTr="00100A2F">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3243DAC2" w14:textId="327A29C9"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Grit Slurry Pumps</w:t>
            </w:r>
          </w:p>
        </w:tc>
        <w:tc>
          <w:tcPr>
            <w:tcW w:w="3450" w:type="dxa"/>
            <w:tcBorders>
              <w:top w:val="nil"/>
              <w:left w:val="nil"/>
              <w:bottom w:val="single" w:sz="6" w:space="0" w:color="auto"/>
              <w:right w:val="single" w:sz="6" w:space="0" w:color="auto"/>
            </w:tcBorders>
            <w:shd w:val="clear" w:color="auto" w:fill="auto"/>
            <w:hideMark/>
          </w:tcPr>
          <w:p w14:paraId="702C07E9" w14:textId="263E17FD"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Number: 5 (3</w:t>
            </w:r>
            <w:r w:rsidR="00892834" w:rsidRPr="008A0812">
              <w:rPr>
                <w:rFonts w:cs="Segoe UI"/>
              </w:rPr>
              <w:t xml:space="preserve"> </w:t>
            </w:r>
            <w:r w:rsidRPr="008A0812">
              <w:rPr>
                <w:rFonts w:cs="Segoe UI"/>
              </w:rPr>
              <w:t>+</w:t>
            </w:r>
            <w:r w:rsidR="00892834" w:rsidRPr="008A0812">
              <w:rPr>
                <w:rFonts w:cs="Segoe UI"/>
              </w:rPr>
              <w:t xml:space="preserve"> </w:t>
            </w:r>
            <w:r w:rsidRPr="008A0812">
              <w:rPr>
                <w:rFonts w:cs="Segoe UI"/>
              </w:rPr>
              <w:t>2 standby)</w:t>
            </w:r>
          </w:p>
          <w:p w14:paraId="643861C4" w14:textId="49462726"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Type: Recessed Impeller</w:t>
            </w:r>
          </w:p>
          <w:p w14:paraId="620B7A3D" w14:textId="77777777"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 </w:t>
            </w:r>
          </w:p>
        </w:tc>
        <w:tc>
          <w:tcPr>
            <w:tcW w:w="3105" w:type="dxa"/>
            <w:tcBorders>
              <w:top w:val="nil"/>
              <w:left w:val="nil"/>
              <w:bottom w:val="single" w:sz="6" w:space="0" w:color="auto"/>
              <w:right w:val="single" w:sz="6" w:space="0" w:color="auto"/>
            </w:tcBorders>
            <w:shd w:val="clear" w:color="auto" w:fill="auto"/>
            <w:hideMark/>
          </w:tcPr>
          <w:p w14:paraId="6D5D4E6C" w14:textId="604962FF"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Hydraulic Capacity (ea</w:t>
            </w:r>
            <w:r w:rsidR="00ED4101" w:rsidRPr="008A0812">
              <w:rPr>
                <w:rFonts w:cs="Segoe UI"/>
              </w:rPr>
              <w:t>.</w:t>
            </w:r>
            <w:r w:rsidRPr="008A0812">
              <w:rPr>
                <w:rFonts w:cs="Segoe UI"/>
              </w:rPr>
              <w:t>): 600 gpm</w:t>
            </w:r>
          </w:p>
          <w:p w14:paraId="2F968464" w14:textId="695BCC4A"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Fixed Capacity: 1,800 gpm</w:t>
            </w:r>
          </w:p>
        </w:tc>
      </w:tr>
      <w:tr w:rsidR="00A145D5" w:rsidRPr="008A0812" w14:paraId="304C4D97" w14:textId="77777777" w:rsidTr="00100A2F">
        <w:trPr>
          <w:trHeight w:val="285"/>
        </w:trPr>
        <w:tc>
          <w:tcPr>
            <w:tcW w:w="2775" w:type="dxa"/>
            <w:tcBorders>
              <w:top w:val="single" w:sz="6" w:space="0" w:color="auto"/>
              <w:left w:val="single" w:sz="6" w:space="0" w:color="auto"/>
              <w:bottom w:val="single" w:sz="6" w:space="0" w:color="auto"/>
              <w:right w:val="single" w:sz="6" w:space="0" w:color="auto"/>
            </w:tcBorders>
            <w:shd w:val="clear" w:color="auto" w:fill="auto"/>
            <w:hideMark/>
          </w:tcPr>
          <w:p w14:paraId="0A401737" w14:textId="4A84E2E3" w:rsidR="00A145D5" w:rsidRPr="008A0812" w:rsidRDefault="00A145D5" w:rsidP="00A145D5">
            <w:pPr>
              <w:overflowPunct/>
              <w:autoSpaceDE/>
              <w:autoSpaceDN/>
              <w:adjustRightInd/>
              <w:jc w:val="both"/>
              <w:rPr>
                <w:rFonts w:ascii="Segoe UI" w:hAnsi="Segoe UI" w:cs="Segoe UI"/>
                <w:sz w:val="18"/>
                <w:szCs w:val="18"/>
              </w:rPr>
            </w:pPr>
            <w:bookmarkStart w:id="49" w:name="_Hlk41481284"/>
            <w:r w:rsidRPr="008A0812">
              <w:rPr>
                <w:rFonts w:cs="Segoe UI"/>
              </w:rPr>
              <w:t>Grit Was</w:t>
            </w:r>
            <w:r w:rsidR="00977EC9" w:rsidRPr="008A0812">
              <w:rPr>
                <w:rFonts w:cs="Segoe UI"/>
              </w:rPr>
              <w:t>h</w:t>
            </w:r>
            <w:r w:rsidRPr="008A0812">
              <w:rPr>
                <w:rFonts w:cs="Segoe UI"/>
              </w:rPr>
              <w:t>/Bin Loading</w:t>
            </w:r>
          </w:p>
        </w:tc>
        <w:tc>
          <w:tcPr>
            <w:tcW w:w="3450" w:type="dxa"/>
            <w:tcBorders>
              <w:top w:val="single" w:sz="6" w:space="0" w:color="auto"/>
              <w:left w:val="nil"/>
              <w:bottom w:val="single" w:sz="6" w:space="0" w:color="auto"/>
              <w:right w:val="single" w:sz="6" w:space="0" w:color="auto"/>
            </w:tcBorders>
            <w:shd w:val="clear" w:color="auto" w:fill="auto"/>
            <w:hideMark/>
          </w:tcPr>
          <w:p w14:paraId="57C75DD7" w14:textId="28D9E723"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Number of Bays: 2 (1</w:t>
            </w:r>
            <w:r w:rsidR="007F0749" w:rsidRPr="008A0812">
              <w:rPr>
                <w:rFonts w:cs="Segoe UI"/>
              </w:rPr>
              <w:t xml:space="preserve"> for grit bin </w:t>
            </w:r>
            <w:r w:rsidRPr="008A0812">
              <w:rPr>
                <w:rFonts w:cs="Segoe UI"/>
              </w:rPr>
              <w:t>+</w:t>
            </w:r>
            <w:r w:rsidR="005C2E5D" w:rsidRPr="008A0812">
              <w:rPr>
                <w:rFonts w:cs="Segoe UI"/>
              </w:rPr>
              <w:t xml:space="preserve"> </w:t>
            </w:r>
            <w:r w:rsidRPr="008A0812">
              <w:rPr>
                <w:rFonts w:cs="Segoe UI"/>
              </w:rPr>
              <w:t xml:space="preserve">1 </w:t>
            </w:r>
            <w:r w:rsidR="007F0749" w:rsidRPr="008A0812">
              <w:rPr>
                <w:rFonts w:cs="Segoe UI"/>
              </w:rPr>
              <w:t>for screenings compactor and bin</w:t>
            </w:r>
            <w:r w:rsidRPr="008A0812">
              <w:rPr>
                <w:rFonts w:cs="Segoe UI"/>
              </w:rPr>
              <w:t>)</w:t>
            </w:r>
          </w:p>
          <w:p w14:paraId="1667D82D" w14:textId="1FAE0F3C"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Overflow Rate: 12,000 gpd/sf</w:t>
            </w:r>
          </w:p>
          <w:p w14:paraId="28DCEC5F" w14:textId="738B271E"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Weir Overflow Rate: 200,000 gpd/ft</w:t>
            </w:r>
          </w:p>
          <w:p w14:paraId="3E64D0ED" w14:textId="3C689E30"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Peak Hourly Grit Loading: 80 cf/hour</w:t>
            </w:r>
          </w:p>
          <w:p w14:paraId="3CAFFAD3" w14:textId="34C5447F"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Number: 2 (1</w:t>
            </w:r>
            <w:r w:rsidR="005C2E5D" w:rsidRPr="008A0812">
              <w:rPr>
                <w:rFonts w:cs="Segoe UI"/>
              </w:rPr>
              <w:t xml:space="preserve"> </w:t>
            </w:r>
            <w:r w:rsidRPr="008A0812">
              <w:rPr>
                <w:rFonts w:cs="Segoe UI"/>
              </w:rPr>
              <w:t>+</w:t>
            </w:r>
            <w:r w:rsidR="005C2E5D" w:rsidRPr="008A0812">
              <w:rPr>
                <w:rFonts w:cs="Segoe UI"/>
              </w:rPr>
              <w:t xml:space="preserve"> </w:t>
            </w:r>
            <w:r w:rsidRPr="008A0812">
              <w:rPr>
                <w:rFonts w:cs="Segoe UI"/>
              </w:rPr>
              <w:t>1 standby)</w:t>
            </w:r>
          </w:p>
          <w:p w14:paraId="46364B9E" w14:textId="774188AB"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Diameter: 16 inches</w:t>
            </w:r>
          </w:p>
          <w:p w14:paraId="2BFFB382" w14:textId="28250DDF"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u w:val="single"/>
              </w:rPr>
              <w:t>Screenings Conveyors</w:t>
            </w:r>
          </w:p>
          <w:p w14:paraId="0B96442B" w14:textId="3091E055"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Number: 2</w:t>
            </w:r>
          </w:p>
          <w:p w14:paraId="1EC1D31B" w14:textId="0EE1996D"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Type: 1</w:t>
            </w:r>
            <w:r w:rsidR="005C2E5D" w:rsidRPr="008A0812">
              <w:rPr>
                <w:rFonts w:cs="Segoe UI"/>
              </w:rPr>
              <w:t xml:space="preserve"> </w:t>
            </w:r>
            <w:r w:rsidRPr="008A0812">
              <w:rPr>
                <w:rFonts w:cs="Segoe UI"/>
              </w:rPr>
              <w:t>inclined sidewall, 1 flat</w:t>
            </w:r>
          </w:p>
          <w:p w14:paraId="0CCC701A" w14:textId="7A1F4E4E"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Screenings Loading: 0.06 cy/</w:t>
            </w:r>
            <w:r w:rsidR="00D734C4" w:rsidRPr="008A0812">
              <w:rPr>
                <w:rFonts w:cs="Segoe UI"/>
              </w:rPr>
              <w:t>mgd</w:t>
            </w:r>
          </w:p>
        </w:tc>
        <w:tc>
          <w:tcPr>
            <w:tcW w:w="3105" w:type="dxa"/>
            <w:tcBorders>
              <w:top w:val="single" w:sz="6" w:space="0" w:color="auto"/>
              <w:left w:val="nil"/>
              <w:bottom w:val="single" w:sz="6" w:space="0" w:color="auto"/>
              <w:right w:val="single" w:sz="6" w:space="0" w:color="auto"/>
            </w:tcBorders>
            <w:shd w:val="clear" w:color="auto" w:fill="auto"/>
            <w:hideMark/>
          </w:tcPr>
          <w:p w14:paraId="7553F0DD" w14:textId="7A67CB11" w:rsidR="00A145D5" w:rsidRPr="008A0812" w:rsidRDefault="00A145D5" w:rsidP="00A145D5">
            <w:pPr>
              <w:overflowPunct/>
              <w:autoSpaceDE/>
              <w:autoSpaceDN/>
              <w:adjustRightInd/>
              <w:jc w:val="both"/>
              <w:rPr>
                <w:rFonts w:ascii="Segoe UI" w:hAnsi="Segoe UI" w:cs="Segoe UI"/>
                <w:sz w:val="18"/>
                <w:szCs w:val="18"/>
              </w:rPr>
            </w:pPr>
            <w:r w:rsidRPr="008A0812">
              <w:rPr>
                <w:rFonts w:cs="Segoe UI"/>
              </w:rPr>
              <w:t>Hydraulic Capacity (ea</w:t>
            </w:r>
            <w:r w:rsidR="00ED4101" w:rsidRPr="008A0812">
              <w:rPr>
                <w:rFonts w:cs="Segoe UI"/>
              </w:rPr>
              <w:t>.</w:t>
            </w:r>
            <w:r w:rsidRPr="008A0812">
              <w:rPr>
                <w:rFonts w:cs="Segoe UI"/>
              </w:rPr>
              <w:t>): 3,600 gpm</w:t>
            </w:r>
          </w:p>
        </w:tc>
      </w:tr>
    </w:tbl>
    <w:p w14:paraId="5949F630" w14:textId="0D4530B9" w:rsidR="00A145D5" w:rsidRPr="008A0812" w:rsidRDefault="00A145D5" w:rsidP="00A145D5">
      <w:pPr>
        <w:pStyle w:val="Heading3"/>
      </w:pPr>
      <w:bookmarkStart w:id="50" w:name="_Toc41680805"/>
      <w:r w:rsidRPr="008A0812">
        <w:t>Primary and Secondary Treatment</w:t>
      </w:r>
      <w:bookmarkEnd w:id="50"/>
    </w:p>
    <w:p w14:paraId="6FD78081" w14:textId="28E9D50A" w:rsidR="00A145D5" w:rsidRPr="008A0812" w:rsidRDefault="00A145D5" w:rsidP="00A145D5">
      <w:pPr>
        <w:pStyle w:val="BodyText"/>
      </w:pPr>
      <w:r w:rsidRPr="008A0812">
        <w:t xml:space="preserve">Primary and secondary treatment is accomplished by the four parallel treatment units: Unit 1, Units 2N and 2S, and NRC. Each of these units has its own independent </w:t>
      </w:r>
      <w:r w:rsidR="00F8551D" w:rsidRPr="008A0812">
        <w:t>return activated sludge (</w:t>
      </w:r>
      <w:r w:rsidRPr="008A0812">
        <w:t>RAS</w:t>
      </w:r>
      <w:r w:rsidR="00F8551D" w:rsidRPr="008A0812">
        <w:t>)</w:t>
      </w:r>
      <w:r w:rsidRPr="008A0812">
        <w:t xml:space="preserve"> system, so from the point of view of process biology, the four units function as individual treatment </w:t>
      </w:r>
      <w:r w:rsidR="00B94DD9" w:rsidRPr="008A0812">
        <w:t>trains</w:t>
      </w:r>
      <w:r w:rsidRPr="008A0812">
        <w:t>.</w:t>
      </w:r>
    </w:p>
    <w:p w14:paraId="21ACB29B" w14:textId="6B760309" w:rsidR="00A145D5" w:rsidRPr="008A0812" w:rsidRDefault="00A145D5" w:rsidP="00A145D5">
      <w:pPr>
        <w:pStyle w:val="Heading4"/>
      </w:pPr>
      <w:bookmarkStart w:id="51" w:name="_Toc41680806"/>
      <w:bookmarkEnd w:id="49"/>
      <w:r>
        <w:t>Primary Clarifiers</w:t>
      </w:r>
      <w:bookmarkEnd w:id="51"/>
    </w:p>
    <w:p w14:paraId="7C088308" w14:textId="67164272" w:rsidR="00A145D5" w:rsidRPr="008A0812" w:rsidRDefault="00A145D5" w:rsidP="00A145D5">
      <w:pPr>
        <w:pStyle w:val="BodyText"/>
      </w:pPr>
      <w:bookmarkStart w:id="52" w:name="_Hlk41481445"/>
      <w:r w:rsidRPr="008A0812">
        <w:t xml:space="preserve">In the circular clarifiers, Unit 1 and Unit 2, the wastewater generally enters in the middle and flows towards the outside edge. Settled sludge is pushed to a hopper that is in the middle of the tank bottom. Floating material is removed by a surface skimmer connected to the sludge collector. The flow enters Unit 1 primary clarifier through a 42-inch gravity line from the headworks splitter box and Unit 2 through a 48-inch line from the headworks splitter box via a diversion box which splits the flow to the north or south clarifier. Flow passes through the clarifier over weirs in radial troughs and is collected in a circular effluent trough. </w:t>
      </w:r>
      <w:r w:rsidR="00C96849" w:rsidRPr="008A0812">
        <w:t xml:space="preserve">The original dual inboard discharge weirs were replaced at Unit 1 with single outboard discharge weirs. </w:t>
      </w:r>
      <w:r w:rsidRPr="008A0812">
        <w:t>A circular baffle wall extending a few inches above the water surface forces the entering wastewater to go down before it continues towards the peripheral discharge weir to reduce the possibility of “short-circuiting.”</w:t>
      </w:r>
      <w:r w:rsidR="00DB2026" w:rsidRPr="008A0812">
        <w:t xml:space="preserve"> </w:t>
      </w:r>
      <w:r w:rsidR="0018768D" w:rsidRPr="008A0812">
        <w:t xml:space="preserve">Back-up for the Unit 1 clarifier is provided by </w:t>
      </w:r>
      <w:r w:rsidR="007F1D98" w:rsidRPr="008A0812">
        <w:t>four rectangular clarifiers</w:t>
      </w:r>
      <w:r w:rsidR="002D54E1" w:rsidRPr="008A0812">
        <w:t xml:space="preserve"> </w:t>
      </w:r>
      <w:r w:rsidR="0018768D" w:rsidRPr="008A0812">
        <w:t>(</w:t>
      </w:r>
      <w:r w:rsidR="00DB2026" w:rsidRPr="008A0812">
        <w:t>Unit 3</w:t>
      </w:r>
      <w:r w:rsidR="0018768D" w:rsidRPr="008A0812">
        <w:t>).</w:t>
      </w:r>
      <w:r w:rsidR="002D54E1" w:rsidRPr="008A0812">
        <w:t xml:space="preserve"> </w:t>
      </w:r>
      <w:r w:rsidR="00C96849" w:rsidRPr="008A0812">
        <w:t>Unit 3 primary effluent is directed to Unit 1 aeration system via P</w:t>
      </w:r>
      <w:r w:rsidR="00C71FA5" w:rsidRPr="008A0812">
        <w:t>I</w:t>
      </w:r>
      <w:r w:rsidR="00C96849" w:rsidRPr="008A0812">
        <w:t xml:space="preserve">PL. </w:t>
      </w:r>
      <w:r w:rsidR="002D54E1" w:rsidRPr="008A0812">
        <w:t xml:space="preserve">The Unit 3 clarifiers </w:t>
      </w:r>
      <w:r w:rsidR="006432E4" w:rsidRPr="008A0812">
        <w:t>have not been used under normal operating conditions since 2015</w:t>
      </w:r>
      <w:r w:rsidR="005C2E5D" w:rsidRPr="008A0812">
        <w:t xml:space="preserve"> but are currently being put back online so they can be rotated in and out of service with the Unit 1 primary clarifiers</w:t>
      </w:r>
      <w:r w:rsidR="002D54E1" w:rsidRPr="008A0812">
        <w:t>.</w:t>
      </w:r>
      <w:r w:rsidR="0018768D" w:rsidRPr="008A0812">
        <w:t xml:space="preserve"> </w:t>
      </w:r>
    </w:p>
    <w:bookmarkEnd w:id="52"/>
    <w:p w14:paraId="24183042" w14:textId="0F692576" w:rsidR="00833F73" w:rsidRPr="008A0812" w:rsidRDefault="00A145D5" w:rsidP="00833F73">
      <w:pPr>
        <w:pStyle w:val="BodyText"/>
      </w:pPr>
      <w:r w:rsidRPr="008A0812">
        <w:t xml:space="preserve">The </w:t>
      </w:r>
      <w:r w:rsidR="00F325B0" w:rsidRPr="008A0812">
        <w:t xml:space="preserve">estimated </w:t>
      </w:r>
      <w:r w:rsidRPr="008A0812">
        <w:t xml:space="preserve">capacity </w:t>
      </w:r>
      <w:r w:rsidR="00F325B0" w:rsidRPr="008A0812">
        <w:t>is based on</w:t>
      </w:r>
      <w:r w:rsidRPr="008A0812">
        <w:t xml:space="preserve"> the surface overflow rate (SOR) as the critical hydraulic condition for treatment. Typical design SOR range</w:t>
      </w:r>
      <w:r w:rsidR="00CD3FAD" w:rsidRPr="008A0812">
        <w:t>s from</w:t>
      </w:r>
      <w:r w:rsidRPr="008A0812">
        <w:t xml:space="preserve"> 600 to 1,000 gpd/ft</w:t>
      </w:r>
      <w:r w:rsidRPr="008A0812">
        <w:rPr>
          <w:vertAlign w:val="superscript"/>
        </w:rPr>
        <w:t>2</w:t>
      </w:r>
      <w:r w:rsidRPr="008A0812">
        <w:t xml:space="preserve"> of surface area. The clarifier depth is determined by providing between 90 to 150 minutes of detention time for the total flow (including recycle streams) through the tank. Design criteria for the primary clarifiers is shown in </w:t>
      </w:r>
      <w:r w:rsidR="00AA2FB4" w:rsidRPr="008A0812">
        <w:fldChar w:fldCharType="begin"/>
      </w:r>
      <w:r w:rsidR="00AA2FB4" w:rsidRPr="008A0812">
        <w:instrText xml:space="preserve"> REF _Ref36214077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5</w:t>
      </w:r>
      <w:r w:rsidR="00AA2FB4" w:rsidRPr="008A0812">
        <w:fldChar w:fldCharType="end"/>
      </w:r>
      <w:r w:rsidRPr="008A0812">
        <w:t xml:space="preserve">. </w:t>
      </w:r>
    </w:p>
    <w:p w14:paraId="4F00177D" w14:textId="684D4640" w:rsidR="00833F73" w:rsidRPr="008A0812" w:rsidRDefault="00AA2FB4" w:rsidP="00AA2FB4">
      <w:pPr>
        <w:pStyle w:val="Caption"/>
        <w:spacing w:before="200" w:after="120"/>
      </w:pPr>
      <w:bookmarkStart w:id="53" w:name="_Ref36214077"/>
      <w:bookmarkStart w:id="54" w:name="_Toc41684725"/>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53"/>
      <w:r w:rsidRPr="008A0812">
        <w:t xml:space="preserve">: </w:t>
      </w:r>
      <w:r w:rsidR="00833F73" w:rsidRPr="008A0812">
        <w:t>Primary Clarifier Design Information</w:t>
      </w:r>
      <w:bookmarkEnd w:id="54"/>
      <w:r w:rsidR="00833F73"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AD34F6" w:rsidRPr="008A0812" w14:paraId="0E93D0F0" w14:textId="77777777" w:rsidTr="00833F73">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11AAC973" w14:textId="729D6B06" w:rsidR="00AD34F6" w:rsidRPr="008A0812" w:rsidRDefault="00AD34F6" w:rsidP="00BC3044">
            <w:pPr>
              <w:keepNext/>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5FFEEC02" w14:textId="1C1FAEAE" w:rsidR="00AD34F6" w:rsidRPr="008A0812" w:rsidRDefault="00AD34F6" w:rsidP="00BC3044">
            <w:pPr>
              <w:keepNext/>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51B10183" w14:textId="067D1977" w:rsidR="00AD34F6" w:rsidRPr="008A0812" w:rsidRDefault="00AD34F6" w:rsidP="00BC3044">
            <w:pPr>
              <w:keepNext/>
              <w:overflowPunct/>
              <w:autoSpaceDE/>
              <w:autoSpaceDN/>
              <w:adjustRightInd/>
              <w:rPr>
                <w:rFonts w:ascii="Segoe UI" w:hAnsi="Segoe UI" w:cs="Segoe UI"/>
                <w:sz w:val="18"/>
                <w:szCs w:val="18"/>
              </w:rPr>
            </w:pPr>
            <w:r w:rsidRPr="008A0812">
              <w:rPr>
                <w:rFonts w:cs="Segoe UI"/>
                <w:b/>
                <w:bCs/>
              </w:rPr>
              <w:t>Design Flow</w:t>
            </w:r>
          </w:p>
        </w:tc>
      </w:tr>
      <w:tr w:rsidR="00AD34F6" w:rsidRPr="008A0812" w14:paraId="61B96144" w14:textId="77777777" w:rsidTr="00833F73">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7B43542C" w14:textId="66D400B3"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Unit 1 Primary Clarifier</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61011178" w14:textId="31A78004"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Quantity: 1</w:t>
            </w:r>
          </w:p>
          <w:p w14:paraId="0108219B" w14:textId="01E6F0C0"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Diameter: 140 ft</w:t>
            </w:r>
          </w:p>
          <w:p w14:paraId="2FFDF833" w14:textId="13AE9A51"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Side Water Depth: 10 ft</w:t>
            </w:r>
          </w:p>
          <w:p w14:paraId="3D277B8B" w14:textId="46C76391"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Area: 15,400 ft</w:t>
            </w:r>
            <w:r w:rsidRPr="008A0812">
              <w:rPr>
                <w:rFonts w:cs="Segoe UI"/>
                <w:sz w:val="17"/>
                <w:szCs w:val="17"/>
                <w:vertAlign w:val="superscript"/>
              </w:rPr>
              <w:t>2</w:t>
            </w:r>
          </w:p>
          <w:p w14:paraId="2EBB5F9F" w14:textId="3DEFC5BE"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Volume: 183,000 ft</w:t>
            </w:r>
            <w:r w:rsidRPr="008A0812">
              <w:rPr>
                <w:rFonts w:cs="Segoe UI"/>
                <w:sz w:val="17"/>
                <w:szCs w:val="17"/>
                <w:vertAlign w:val="superscript"/>
              </w:rPr>
              <w:t>3</w:t>
            </w:r>
          </w:p>
          <w:p w14:paraId="655029EE" w14:textId="3281EF8D"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(1,370,000 gal)</w:t>
            </w:r>
          </w:p>
          <w:p w14:paraId="4F658120" w14:textId="3DCFD2C8"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Overflow: 1,000 gals/day-ft</w:t>
            </w:r>
            <w:r w:rsidRPr="008A0812">
              <w:rPr>
                <w:rFonts w:cs="Segoe UI"/>
                <w:sz w:val="17"/>
                <w:szCs w:val="17"/>
                <w:vertAlign w:val="superscript"/>
              </w:rPr>
              <w:t>2</w:t>
            </w:r>
          </w:p>
          <w:p w14:paraId="04179786" w14:textId="68D62556"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Detention time: 2.1 hours</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181C9C91" w14:textId="2F052FC1"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Clarifier:</w:t>
            </w:r>
          </w:p>
          <w:p w14:paraId="1CAF1296" w14:textId="1573B914"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15.4 mgd</w:t>
            </w:r>
          </w:p>
          <w:p w14:paraId="0368C8E8" w14:textId="77777777"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 </w:t>
            </w:r>
          </w:p>
          <w:p w14:paraId="65F01989" w14:textId="138FF8E7"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Total Unit 1 Clarifiers:</w:t>
            </w:r>
          </w:p>
          <w:p w14:paraId="471091E2" w14:textId="7505DA39" w:rsidR="00AD34F6" w:rsidRPr="008A0812" w:rsidRDefault="006432E4" w:rsidP="00BC3044">
            <w:pPr>
              <w:keepNext/>
              <w:overflowPunct/>
              <w:autoSpaceDE/>
              <w:autoSpaceDN/>
              <w:adjustRightInd/>
              <w:rPr>
                <w:rFonts w:ascii="Segoe UI" w:hAnsi="Segoe UI" w:cs="Segoe UI"/>
                <w:sz w:val="18"/>
                <w:szCs w:val="18"/>
              </w:rPr>
            </w:pPr>
            <w:r w:rsidRPr="008A0812">
              <w:rPr>
                <w:rFonts w:cs="Segoe UI"/>
              </w:rPr>
              <w:t>15.4</w:t>
            </w:r>
            <w:r w:rsidR="00AD34F6" w:rsidRPr="008A0812">
              <w:rPr>
                <w:rFonts w:cs="Segoe UI"/>
              </w:rPr>
              <w:t xml:space="preserve"> mgd</w:t>
            </w:r>
          </w:p>
        </w:tc>
      </w:tr>
      <w:tr w:rsidR="00AD34F6" w:rsidRPr="008A0812" w14:paraId="53F693E6" w14:textId="77777777" w:rsidTr="00833F73">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593F7674" w14:textId="07B53C5E"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Unit 2 Primary Clarifiers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72B0225E" w14:textId="7A63368B"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Quantity: 2</w:t>
            </w:r>
          </w:p>
          <w:p w14:paraId="6A23755E" w14:textId="4B307EB0"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Diameter: 120 ft</w:t>
            </w:r>
          </w:p>
          <w:p w14:paraId="6D5A95DA" w14:textId="4203D352"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Side Water Depth: 9</w:t>
            </w:r>
            <w:r w:rsidR="0031230D" w:rsidRPr="008A0812">
              <w:rPr>
                <w:rFonts w:cs="Segoe UI"/>
              </w:rPr>
              <w:t xml:space="preserve"> </w:t>
            </w:r>
            <w:r w:rsidRPr="008A0812">
              <w:rPr>
                <w:rFonts w:cs="Segoe UI"/>
              </w:rPr>
              <w:t>ft</w:t>
            </w:r>
          </w:p>
          <w:p w14:paraId="4733ABF4" w14:textId="221ED0CC"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Area (each) 11,300 ft</w:t>
            </w:r>
            <w:r w:rsidRPr="008A0812">
              <w:rPr>
                <w:rFonts w:cs="Segoe UI"/>
                <w:sz w:val="17"/>
                <w:szCs w:val="17"/>
                <w:vertAlign w:val="superscript"/>
              </w:rPr>
              <w:t>2</w:t>
            </w:r>
          </w:p>
          <w:p w14:paraId="24588EE0" w14:textId="133CDB6F"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Volume (each): 120,700 ft</w:t>
            </w:r>
            <w:r w:rsidRPr="008A0812">
              <w:rPr>
                <w:rFonts w:cs="Segoe UI"/>
                <w:sz w:val="17"/>
                <w:szCs w:val="17"/>
                <w:vertAlign w:val="superscript"/>
              </w:rPr>
              <w:t>3</w:t>
            </w:r>
          </w:p>
          <w:p w14:paraId="746DFC0B" w14:textId="20BAE314"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(902,650 gallons)</w:t>
            </w:r>
          </w:p>
          <w:p w14:paraId="3A6B1594" w14:textId="3CA6411F"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Overflow: 660 gal/day-ft</w:t>
            </w:r>
            <w:r w:rsidRPr="008A0812">
              <w:rPr>
                <w:rFonts w:cs="Segoe UI"/>
                <w:sz w:val="17"/>
                <w:szCs w:val="17"/>
                <w:vertAlign w:val="superscript"/>
              </w:rPr>
              <w:t>2</w:t>
            </w:r>
          </w:p>
          <w:p w14:paraId="392791AD" w14:textId="511D0758"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Detention Time: 2.9 hours</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E0C7B8E" w14:textId="61AFA6F0"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Each Clarifier:</w:t>
            </w:r>
          </w:p>
          <w:p w14:paraId="7FECCB07" w14:textId="2AA43B93"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7.5 mgd</w:t>
            </w:r>
          </w:p>
          <w:p w14:paraId="3A35C095" w14:textId="77777777"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 </w:t>
            </w:r>
          </w:p>
          <w:p w14:paraId="3B29E37B" w14:textId="798E4FF0"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Total Unit 2 Clarifiers:</w:t>
            </w:r>
          </w:p>
          <w:p w14:paraId="5108A6DF" w14:textId="639DACB6"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15 mgd</w:t>
            </w:r>
          </w:p>
        </w:tc>
      </w:tr>
      <w:tr w:rsidR="00AD34F6" w:rsidRPr="008A0812" w14:paraId="69442F11" w14:textId="77777777" w:rsidTr="00833F73">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6B15007D" w14:textId="77777777" w:rsidR="00AD34F6" w:rsidRPr="008A0812" w:rsidRDefault="00AD34F6" w:rsidP="00BC3044">
            <w:pPr>
              <w:keepNext/>
              <w:overflowPunct/>
              <w:autoSpaceDE/>
              <w:autoSpaceDN/>
              <w:adjustRightInd/>
              <w:rPr>
                <w:rFonts w:cs="Segoe UI"/>
              </w:rPr>
            </w:pPr>
            <w:r w:rsidRPr="008A0812">
              <w:rPr>
                <w:rFonts w:cs="Segoe UI"/>
              </w:rPr>
              <w:t>Unit 3 Primary Clarifiers</w:t>
            </w:r>
          </w:p>
          <w:p w14:paraId="27589682" w14:textId="4D583D03" w:rsidR="00AD34F6" w:rsidRPr="008A0812" w:rsidRDefault="002762DC" w:rsidP="00BC3044">
            <w:pPr>
              <w:keepNext/>
              <w:overflowPunct/>
              <w:autoSpaceDE/>
              <w:autoSpaceDN/>
              <w:adjustRightInd/>
              <w:rPr>
                <w:rFonts w:ascii="Segoe UI" w:hAnsi="Segoe UI" w:cs="Segoe UI"/>
                <w:sz w:val="18"/>
                <w:szCs w:val="18"/>
              </w:rPr>
            </w:pPr>
            <w:r w:rsidRPr="008A0812">
              <w:rPr>
                <w:rFonts w:cs="Segoe UI"/>
              </w:rPr>
              <w:t>(Back-up for Unit 1 Clarifier)</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0C92CCB3" w14:textId="32F7AC24"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Quantity: 4</w:t>
            </w:r>
          </w:p>
          <w:p w14:paraId="76C3AFD6" w14:textId="6293BBBD"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Type: Rectangular</w:t>
            </w:r>
          </w:p>
          <w:p w14:paraId="4C3DA984" w14:textId="5896399F"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Side Water Depth: 10 ft</w:t>
            </w:r>
          </w:p>
          <w:p w14:paraId="749D01B2" w14:textId="162D5B30"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Width: 26 ft</w:t>
            </w:r>
          </w:p>
          <w:p w14:paraId="4656F436" w14:textId="650FEC6B"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Length: 162 ft</w:t>
            </w:r>
          </w:p>
          <w:p w14:paraId="10E3A0D9" w14:textId="73F5EBF9"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Area (each): 4,413</w:t>
            </w:r>
            <w:r w:rsidR="00120B1D" w:rsidRPr="008A0812">
              <w:rPr>
                <w:rFonts w:cs="Segoe UI"/>
              </w:rPr>
              <w:t xml:space="preserve"> ft</w:t>
            </w:r>
            <w:r w:rsidR="00120B1D" w:rsidRPr="008A0812">
              <w:rPr>
                <w:rFonts w:cs="Segoe UI"/>
                <w:vertAlign w:val="superscript"/>
              </w:rPr>
              <w:t>2</w:t>
            </w:r>
          </w:p>
          <w:p w14:paraId="079E6786" w14:textId="70837488"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Volume (each): 297,000 gal</w:t>
            </w:r>
          </w:p>
          <w:p w14:paraId="62F6261E" w14:textId="7BEC45BC"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Overflow Rate 850 gal/day-</w:t>
            </w:r>
            <w:r w:rsidR="00120B1D" w:rsidRPr="008A0812">
              <w:rPr>
                <w:rFonts w:cs="Segoe UI"/>
              </w:rPr>
              <w:t>ft</w:t>
            </w:r>
            <w:r w:rsidR="00120B1D" w:rsidRPr="008A0812">
              <w:rPr>
                <w:rFonts w:cs="Segoe UI"/>
                <w:vertAlign w:val="superscript"/>
              </w:rPr>
              <w:t>2</w:t>
            </w:r>
          </w:p>
          <w:p w14:paraId="18212DB5" w14:textId="2C535D0D"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Detention Time:</w:t>
            </w:r>
            <w:r w:rsidR="000D2D44" w:rsidRPr="008A0812">
              <w:rPr>
                <w:rFonts w:cs="Segoe UI"/>
              </w:rPr>
              <w:t xml:space="preserve"> </w:t>
            </w:r>
            <w:r w:rsidRPr="008A0812">
              <w:rPr>
                <w:rFonts w:cs="Segoe UI"/>
              </w:rPr>
              <w:t>1.9 hours</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BE3464E" w14:textId="0F5A7A12"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Each Clarifier:</w:t>
            </w:r>
          </w:p>
          <w:p w14:paraId="690CF819" w14:textId="1D09CA86"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3.75 mgd</w:t>
            </w:r>
          </w:p>
          <w:p w14:paraId="3196C826" w14:textId="77777777"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 </w:t>
            </w:r>
          </w:p>
          <w:p w14:paraId="00893752" w14:textId="1BAB432F"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Total Unit 3 Clarifiers:</w:t>
            </w:r>
          </w:p>
          <w:p w14:paraId="2B1BEC47" w14:textId="143D2703" w:rsidR="00AD34F6" w:rsidRPr="008A0812" w:rsidRDefault="00AD34F6" w:rsidP="00BC3044">
            <w:pPr>
              <w:keepNext/>
              <w:overflowPunct/>
              <w:autoSpaceDE/>
              <w:autoSpaceDN/>
              <w:adjustRightInd/>
              <w:rPr>
                <w:rFonts w:ascii="Segoe UI" w:hAnsi="Segoe UI" w:cs="Segoe UI"/>
                <w:sz w:val="18"/>
                <w:szCs w:val="18"/>
              </w:rPr>
            </w:pPr>
            <w:r w:rsidRPr="008A0812">
              <w:rPr>
                <w:rFonts w:cs="Segoe UI"/>
              </w:rPr>
              <w:t>15 mgd</w:t>
            </w:r>
          </w:p>
        </w:tc>
      </w:tr>
    </w:tbl>
    <w:p w14:paraId="4C0AB228" w14:textId="5BB17977" w:rsidR="00A145D5" w:rsidRPr="008A0812" w:rsidRDefault="00AD34F6" w:rsidP="00AD34F6">
      <w:pPr>
        <w:pStyle w:val="Heading4"/>
      </w:pPr>
      <w:bookmarkStart w:id="55" w:name="_Toc41680807"/>
      <w:r>
        <w:t>Primary Sludge Pumping</w:t>
      </w:r>
      <w:bookmarkEnd w:id="55"/>
    </w:p>
    <w:p w14:paraId="34EB93E6" w14:textId="1DEFA194" w:rsidR="00AD34F6" w:rsidRPr="008A0812" w:rsidRDefault="00AD34F6" w:rsidP="00AD34F6">
      <w:pPr>
        <w:pStyle w:val="BodyText"/>
      </w:pPr>
      <w:r w:rsidRPr="008A0812">
        <w:t xml:space="preserve">Primary sludge pumping is operated to maintain thin underflow and short sludge blanket retention times (i.e. “thin-sludge pumping mode”) to prevent fermentation of settled solids and to increase clarifier efficiency. The primary sludge is normally withdrawn automatically by the primary sludge pumps on a timed cycle to allow for sludge thickening to approximately 5% solids. In addition, the pumps operate in conjunction with the sludge grinder, which runs with the pump. </w:t>
      </w:r>
      <w:r w:rsidR="00C71FA5" w:rsidRPr="008A0812">
        <w:t>There</w:t>
      </w:r>
      <w:r w:rsidR="00C96849" w:rsidRPr="008A0812">
        <w:t xml:space="preserve"> is a bypass for the grinder system in case of failure</w:t>
      </w:r>
      <w:r w:rsidRPr="008A0812">
        <w:t xml:space="preserve">. </w:t>
      </w:r>
    </w:p>
    <w:p w14:paraId="254A54A0" w14:textId="01B9935F" w:rsidR="00B25495" w:rsidRPr="008A0812" w:rsidRDefault="00AD34F6" w:rsidP="00E13AA4">
      <w:pPr>
        <w:pStyle w:val="BodyText"/>
      </w:pPr>
      <w:r w:rsidRPr="008A0812">
        <w:t xml:space="preserve">The </w:t>
      </w:r>
      <w:r w:rsidR="002405F8" w:rsidRPr="008A0812">
        <w:t>p</w:t>
      </w:r>
      <w:r w:rsidRPr="008A0812">
        <w:t xml:space="preserve">rimary </w:t>
      </w:r>
      <w:r w:rsidR="002405F8" w:rsidRPr="008A0812">
        <w:t>s</w:t>
      </w:r>
      <w:r w:rsidRPr="008A0812">
        <w:t xml:space="preserve">ludge pumps at Unit 1 and Unit 2 Sludge Pump </w:t>
      </w:r>
      <w:r w:rsidR="002405F8" w:rsidRPr="008A0812">
        <w:t>S</w:t>
      </w:r>
      <w:r w:rsidRPr="008A0812">
        <w:t xml:space="preserve">tation are </w:t>
      </w:r>
      <w:r w:rsidR="008916BB" w:rsidRPr="008A0812">
        <w:t xml:space="preserve">currently </w:t>
      </w:r>
      <w:r w:rsidRPr="008A0812">
        <w:t>duplex, piston-type positive displacement pumps each driven by a 15</w:t>
      </w:r>
      <w:r w:rsidR="00120B1D" w:rsidRPr="008A0812">
        <w:t xml:space="preserve"> </w:t>
      </w:r>
      <w:r w:rsidRPr="008A0812">
        <w:t>h</w:t>
      </w:r>
      <w:r w:rsidR="00C71FA5" w:rsidRPr="008A0812">
        <w:t>p</w:t>
      </w:r>
      <w:r w:rsidRPr="008A0812">
        <w:t xml:space="preserve"> electric motor.</w:t>
      </w:r>
      <w:r w:rsidR="008916BB" w:rsidRPr="008A0812">
        <w:t xml:space="preserve"> Some have been switched to Seepex progressive cavity pumps (Unit 1 #2 and Unit 2 #1)</w:t>
      </w:r>
      <w:r w:rsidR="00C71FA5" w:rsidRPr="008A0812">
        <w:t xml:space="preserve"> and replacement of the remaining pumps has been budgeted</w:t>
      </w:r>
      <w:r w:rsidR="008916BB" w:rsidRPr="008A0812">
        <w:t xml:space="preserve"> for this fiscal year.</w:t>
      </w:r>
      <w:r w:rsidR="00E13AA4" w:rsidRPr="008A0812">
        <w:t xml:space="preserve"> </w:t>
      </w:r>
      <w:r w:rsidR="00C71FA5" w:rsidRPr="008A0812">
        <w:t>F</w:t>
      </w:r>
      <w:r w:rsidRPr="008A0812">
        <w:t>loatable</w:t>
      </w:r>
      <w:r w:rsidR="00C71FA5" w:rsidRPr="008A0812">
        <w:t xml:space="preserve"> materials, such a</w:t>
      </w:r>
      <w:r w:rsidRPr="008A0812">
        <w:t xml:space="preserve">s shredded plastic and trash from the bar screen and </w:t>
      </w:r>
      <w:r w:rsidR="00C71FA5" w:rsidRPr="008A0812">
        <w:t xml:space="preserve">other </w:t>
      </w:r>
      <w:r w:rsidRPr="008A0812">
        <w:t xml:space="preserve">light material </w:t>
      </w:r>
      <w:r w:rsidR="00C71FA5" w:rsidRPr="008A0812">
        <w:t xml:space="preserve">such as </w:t>
      </w:r>
      <w:r w:rsidRPr="008A0812">
        <w:t xml:space="preserve">fats and grease, </w:t>
      </w:r>
      <w:r w:rsidR="00C71FA5" w:rsidRPr="008A0812">
        <w:t xml:space="preserve">are </w:t>
      </w:r>
      <w:r w:rsidRPr="008A0812">
        <w:t xml:space="preserve">usually called scum. Two pumps recirculate and convey the contents of the primary scum wet well </w:t>
      </w:r>
      <w:r w:rsidR="008916BB" w:rsidRPr="008A0812">
        <w:t xml:space="preserve">directly </w:t>
      </w:r>
      <w:r w:rsidRPr="008A0812">
        <w:t xml:space="preserve">to the </w:t>
      </w:r>
      <w:r w:rsidR="008916BB" w:rsidRPr="008A0812">
        <w:t xml:space="preserve">digesters </w:t>
      </w:r>
      <w:r w:rsidRPr="008A0812">
        <w:t xml:space="preserve">via the primary sludge pump discharge line. </w:t>
      </w:r>
      <w:r w:rsidR="00C71FA5" w:rsidRPr="008A0812">
        <w:fldChar w:fldCharType="begin"/>
      </w:r>
      <w:r w:rsidR="00C71FA5" w:rsidRPr="008A0812">
        <w:instrText xml:space="preserve"> REF _Ref36214096 \h </w:instrText>
      </w:r>
      <w:r w:rsidR="008A0812">
        <w:instrText xml:space="preserve"> \* MERGEFORMAT </w:instrText>
      </w:r>
      <w:r w:rsidR="00C71FA5" w:rsidRPr="008A0812">
        <w:fldChar w:fldCharType="separate"/>
      </w:r>
      <w:r w:rsidR="00AA68F8" w:rsidRPr="008A0812">
        <w:t xml:space="preserve">Table </w:t>
      </w:r>
      <w:r w:rsidR="00AA68F8">
        <w:rPr>
          <w:noProof/>
        </w:rPr>
        <w:t>1</w:t>
      </w:r>
      <w:r w:rsidR="00AA68F8" w:rsidRPr="008A0812">
        <w:rPr>
          <w:noProof/>
        </w:rPr>
        <w:noBreakHyphen/>
      </w:r>
      <w:r w:rsidR="00AA68F8">
        <w:rPr>
          <w:noProof/>
        </w:rPr>
        <w:t>6</w:t>
      </w:r>
      <w:r w:rsidR="00C71FA5" w:rsidRPr="008A0812">
        <w:fldChar w:fldCharType="end"/>
      </w:r>
      <w:r w:rsidR="00C71FA5" w:rsidRPr="008A0812">
        <w:t xml:space="preserve"> summarizes p</w:t>
      </w:r>
      <w:r w:rsidRPr="008A0812">
        <w:t>rimary sludge and scum pump design criteria.</w:t>
      </w:r>
      <w:r w:rsidR="00833F73" w:rsidRPr="008A0812">
        <w:t xml:space="preserve"> </w:t>
      </w:r>
    </w:p>
    <w:p w14:paraId="07D78533" w14:textId="52DA9228" w:rsidR="00133907" w:rsidRPr="008A0812" w:rsidRDefault="00AA2FB4" w:rsidP="00AA2FB4">
      <w:pPr>
        <w:pStyle w:val="Caption"/>
        <w:spacing w:before="200" w:after="120"/>
      </w:pPr>
      <w:bookmarkStart w:id="56" w:name="_Ref36214096"/>
      <w:bookmarkStart w:id="57" w:name="_Toc20825518"/>
      <w:bookmarkStart w:id="58" w:name="_Toc41684726"/>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56"/>
      <w:r w:rsidRPr="008A0812">
        <w:t xml:space="preserve">: </w:t>
      </w:r>
      <w:r w:rsidR="00133907" w:rsidRPr="008A0812">
        <w:t>Primary Sludge and Scum Pumping Design Information</w:t>
      </w:r>
      <w:bookmarkEnd w:id="57"/>
      <w:bookmarkEnd w:id="58"/>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133907" w:rsidRPr="008A0812" w14:paraId="363B8A80"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721DACAC"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777636B2"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0D1D406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b/>
                <w:bCs/>
              </w:rPr>
              <w:t>Design Flow</w:t>
            </w:r>
          </w:p>
        </w:tc>
      </w:tr>
      <w:tr w:rsidR="00133907" w:rsidRPr="008A0812" w14:paraId="01C74836" w14:textId="77777777" w:rsidTr="00AA2FB4">
        <w:trPr>
          <w:cantSplit/>
          <w:trHeight w:val="285"/>
          <w:tblHeader/>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253D325C"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Primary Sludge</w:t>
            </w:r>
            <w:r w:rsidRPr="008A0812">
              <w:rPr>
                <w:rFonts w:ascii="Times New Roman" w:hAnsi="Times New Roman"/>
              </w:rPr>
              <w:t> </w:t>
            </w:r>
            <w:r w:rsidRPr="008A0812">
              <w:rPr>
                <w:rFonts w:cs="Segoe UI"/>
              </w:rPr>
              <w:t>Pumps and Scum Pumps – Unit 1 </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37C1AF7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Primary Sludge Pumps</w:t>
            </w:r>
          </w:p>
          <w:p w14:paraId="1C74487C"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Quantity: 2</w:t>
            </w:r>
          </w:p>
          <w:p w14:paraId="340D8CFF" w14:textId="7939D4E5"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Type: </w:t>
            </w:r>
            <w:r w:rsidR="009B1FD1" w:rsidRPr="008A0812">
              <w:rPr>
                <w:rFonts w:cs="Segoe UI"/>
              </w:rPr>
              <w:t xml:space="preserve"> Duplex </w:t>
            </w:r>
            <w:r w:rsidR="00120B1D" w:rsidRPr="008A0812">
              <w:rPr>
                <w:rFonts w:cs="Segoe UI"/>
              </w:rPr>
              <w:t>Plunger</w:t>
            </w:r>
            <w:r w:rsidR="009B1FD1" w:rsidRPr="008A0812">
              <w:rPr>
                <w:rFonts w:cs="Segoe UI"/>
              </w:rPr>
              <w:t xml:space="preserve"> (</w:t>
            </w:r>
            <w:r w:rsidR="00120B1D" w:rsidRPr="008A0812">
              <w:rPr>
                <w:rFonts w:cs="Segoe UI"/>
              </w:rPr>
              <w:t>#</w:t>
            </w:r>
            <w:r w:rsidR="009B1FD1" w:rsidRPr="008A0812">
              <w:rPr>
                <w:rFonts w:cs="Segoe UI"/>
              </w:rPr>
              <w:t>1)</w:t>
            </w:r>
            <w:r w:rsidR="00120B1D" w:rsidRPr="008A0812">
              <w:rPr>
                <w:rFonts w:cs="Segoe UI"/>
              </w:rPr>
              <w:t>; Seepex Progressive Cavity (#2)</w:t>
            </w:r>
          </w:p>
          <w:p w14:paraId="06E6E536" w14:textId="18CFD92A"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90-250 gpm at 60 TDH </w:t>
            </w:r>
          </w:p>
          <w:p w14:paraId="62F40289"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15 hp </w:t>
            </w:r>
          </w:p>
          <w:p w14:paraId="46122B45"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p w14:paraId="4212C65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Scum Pumps</w:t>
            </w:r>
            <w:r w:rsidRPr="008A0812">
              <w:rPr>
                <w:rFonts w:cs="Segoe UI"/>
              </w:rPr>
              <w:t> </w:t>
            </w:r>
          </w:p>
          <w:p w14:paraId="654ED98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Quantity: 2 </w:t>
            </w:r>
          </w:p>
          <w:p w14:paraId="1CFB2007" w14:textId="286B5664"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Type: </w:t>
            </w:r>
            <w:r w:rsidR="009B1FD1" w:rsidRPr="008A0812">
              <w:rPr>
                <w:rFonts w:cs="Segoe UI"/>
              </w:rPr>
              <w:t>Duplex Plunger</w:t>
            </w:r>
            <w:r w:rsidRPr="008A0812">
              <w:rPr>
                <w:rFonts w:cs="Segoe UI"/>
              </w:rPr>
              <w:t> </w:t>
            </w:r>
          </w:p>
          <w:p w14:paraId="6908712D" w14:textId="38DE0FE6"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90 gpm at 60 TDH </w:t>
            </w:r>
          </w:p>
          <w:p w14:paraId="03EAB3E0"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5 hp </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E035AC3"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Total Capacity: 500 gpm</w:t>
            </w:r>
          </w:p>
          <w:p w14:paraId="41BDC222"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27CD5D48" w14:textId="3AA952B3" w:rsidR="00133907" w:rsidRPr="008A0812" w:rsidRDefault="00133907" w:rsidP="00AA2FB4">
            <w:pPr>
              <w:overflowPunct/>
              <w:autoSpaceDE/>
              <w:autoSpaceDN/>
              <w:adjustRightInd/>
              <w:jc w:val="center"/>
              <w:rPr>
                <w:rFonts w:ascii="Times New Roman" w:hAnsi="Times New Roman"/>
              </w:rPr>
            </w:pPr>
            <w:r w:rsidRPr="008A0812">
              <w:rPr>
                <w:rFonts w:ascii="Times New Roman" w:hAnsi="Times New Roman"/>
              </w:rPr>
              <w:t> </w:t>
            </w:r>
          </w:p>
          <w:p w14:paraId="0CD67107" w14:textId="19BABE69" w:rsidR="00246A26" w:rsidRPr="008A0812" w:rsidRDefault="00246A26" w:rsidP="00AA2FB4">
            <w:pPr>
              <w:overflowPunct/>
              <w:autoSpaceDE/>
              <w:autoSpaceDN/>
              <w:adjustRightInd/>
              <w:jc w:val="center"/>
              <w:rPr>
                <w:rFonts w:ascii="Times New Roman" w:hAnsi="Times New Roman"/>
                <w:sz w:val="18"/>
                <w:szCs w:val="18"/>
              </w:rPr>
            </w:pPr>
          </w:p>
          <w:p w14:paraId="2C2783B5" w14:textId="02F48E20" w:rsidR="00246A26" w:rsidRPr="008A0812" w:rsidRDefault="00246A26" w:rsidP="00AA2FB4">
            <w:pPr>
              <w:overflowPunct/>
              <w:autoSpaceDE/>
              <w:autoSpaceDN/>
              <w:adjustRightInd/>
              <w:jc w:val="center"/>
              <w:rPr>
                <w:rFonts w:ascii="Times New Roman" w:hAnsi="Times New Roman"/>
                <w:sz w:val="18"/>
                <w:szCs w:val="18"/>
              </w:rPr>
            </w:pPr>
          </w:p>
          <w:p w14:paraId="7AFD0D28" w14:textId="58EEA5D4" w:rsidR="00246A26" w:rsidRPr="008A0812" w:rsidRDefault="00246A26" w:rsidP="00AA2FB4">
            <w:pPr>
              <w:overflowPunct/>
              <w:autoSpaceDE/>
              <w:autoSpaceDN/>
              <w:adjustRightInd/>
              <w:jc w:val="center"/>
              <w:rPr>
                <w:rFonts w:ascii="Times New Roman" w:hAnsi="Times New Roman"/>
                <w:sz w:val="18"/>
                <w:szCs w:val="18"/>
              </w:rPr>
            </w:pPr>
          </w:p>
          <w:p w14:paraId="565C8EF4" w14:textId="77777777" w:rsidR="00246A26" w:rsidRPr="008A0812" w:rsidRDefault="00246A26" w:rsidP="00AA2FB4">
            <w:pPr>
              <w:overflowPunct/>
              <w:autoSpaceDE/>
              <w:autoSpaceDN/>
              <w:adjustRightInd/>
              <w:jc w:val="center"/>
              <w:rPr>
                <w:rFonts w:ascii="Segoe UI" w:hAnsi="Segoe UI" w:cs="Segoe UI"/>
                <w:sz w:val="18"/>
                <w:szCs w:val="18"/>
              </w:rPr>
            </w:pPr>
          </w:p>
          <w:p w14:paraId="0C805F36"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33D15C1B" w14:textId="3064DC7C"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Total Capacity: </w:t>
            </w:r>
            <w:r w:rsidR="00246A26" w:rsidRPr="008A0812">
              <w:rPr>
                <w:rFonts w:cs="Segoe UI"/>
              </w:rPr>
              <w:t>18</w:t>
            </w:r>
            <w:r w:rsidRPr="008A0812">
              <w:rPr>
                <w:rFonts w:cs="Segoe UI"/>
              </w:rPr>
              <w:t>0 gpm </w:t>
            </w:r>
          </w:p>
        </w:tc>
      </w:tr>
      <w:tr w:rsidR="00133907" w:rsidRPr="008A0812" w14:paraId="0D6F8A5C" w14:textId="77777777" w:rsidTr="00AA2FB4">
        <w:trPr>
          <w:cantSplit/>
          <w:trHeight w:val="285"/>
          <w:tblHeader/>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5529EF45"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Primary Sludge</w:t>
            </w:r>
            <w:r w:rsidRPr="008A0812">
              <w:rPr>
                <w:rFonts w:ascii="Times New Roman" w:hAnsi="Times New Roman"/>
              </w:rPr>
              <w:t> </w:t>
            </w:r>
            <w:r w:rsidRPr="008A0812">
              <w:rPr>
                <w:rFonts w:cs="Segoe UI"/>
              </w:rPr>
              <w:t>Pumps and Scum Pumps – Unit 2 </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44CD17FD"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Primary Sludge Pumps</w:t>
            </w:r>
            <w:r w:rsidRPr="008A0812">
              <w:rPr>
                <w:rFonts w:cs="Segoe UI"/>
              </w:rPr>
              <w:t> </w:t>
            </w:r>
          </w:p>
          <w:p w14:paraId="0B1E214D"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Quantity: 2 </w:t>
            </w:r>
          </w:p>
          <w:p w14:paraId="1DF03907" w14:textId="3A14AEAA"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Type: </w:t>
            </w:r>
            <w:r w:rsidR="009B1FD1" w:rsidRPr="008A0812">
              <w:rPr>
                <w:rFonts w:cs="Segoe UI"/>
              </w:rPr>
              <w:t>Seepex Progressive Cavity</w:t>
            </w:r>
            <w:r w:rsidR="00120B1D" w:rsidRPr="008A0812">
              <w:rPr>
                <w:rFonts w:cs="Segoe UI"/>
              </w:rPr>
              <w:t xml:space="preserve"> (#1) and Duplex Plunger (#2) </w:t>
            </w:r>
          </w:p>
          <w:p w14:paraId="23C881E9"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90-250 gpm at 60 TDH </w:t>
            </w:r>
          </w:p>
          <w:p w14:paraId="5E2C7C3E"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15 hp, 50 rpm </w:t>
            </w:r>
          </w:p>
          <w:p w14:paraId="6BA743FE"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p w14:paraId="0AE84F94"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Scum Pumps</w:t>
            </w:r>
            <w:r w:rsidRPr="008A0812">
              <w:rPr>
                <w:rFonts w:cs="Segoe UI"/>
              </w:rPr>
              <w:t> </w:t>
            </w:r>
          </w:p>
          <w:p w14:paraId="0D418E40"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Quantity: 1 </w:t>
            </w:r>
          </w:p>
          <w:p w14:paraId="26FAEA8B"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Type: Simplex Piston-type Positive Displacement </w:t>
            </w:r>
          </w:p>
          <w:p w14:paraId="0304A04E"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75-130 gpm at 60 TDH </w:t>
            </w:r>
          </w:p>
          <w:p w14:paraId="63868097"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15 hp, 50 rpm </w:t>
            </w:r>
          </w:p>
          <w:p w14:paraId="39FFF9CC"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p w14:paraId="2C1EE8E4"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Scum Grinder</w:t>
            </w:r>
            <w:r w:rsidRPr="008A0812">
              <w:rPr>
                <w:rFonts w:cs="Segoe UI"/>
              </w:rPr>
              <w:t> </w:t>
            </w:r>
          </w:p>
          <w:p w14:paraId="38D94E3E" w14:textId="5BC19268"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Quantity: </w:t>
            </w:r>
            <w:r w:rsidR="009B1FD1" w:rsidRPr="008A0812">
              <w:rPr>
                <w:rFonts w:cs="Segoe UI"/>
              </w:rPr>
              <w:t>1 </w:t>
            </w:r>
          </w:p>
          <w:p w14:paraId="039B6B15"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3-160 gpm </w:t>
            </w:r>
          </w:p>
          <w:p w14:paraId="7C67ADD6"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2 hp </w:t>
            </w:r>
          </w:p>
          <w:p w14:paraId="3084E733"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5A65E20"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Total Capacity: 500 gpm </w:t>
            </w:r>
          </w:p>
          <w:p w14:paraId="0A75E039"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6727A214"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7681BC05" w14:textId="37E517C8" w:rsidR="00133907" w:rsidRPr="008A0812" w:rsidRDefault="00133907" w:rsidP="00AA2FB4">
            <w:pPr>
              <w:overflowPunct/>
              <w:autoSpaceDE/>
              <w:autoSpaceDN/>
              <w:adjustRightInd/>
              <w:jc w:val="center"/>
              <w:rPr>
                <w:rFonts w:ascii="Times New Roman" w:hAnsi="Times New Roman"/>
              </w:rPr>
            </w:pPr>
            <w:r w:rsidRPr="008A0812">
              <w:rPr>
                <w:rFonts w:ascii="Times New Roman" w:hAnsi="Times New Roman"/>
              </w:rPr>
              <w:t> </w:t>
            </w:r>
          </w:p>
          <w:p w14:paraId="6ACE3822" w14:textId="044C6073" w:rsidR="00246A26" w:rsidRPr="008A0812" w:rsidRDefault="00246A26" w:rsidP="00AA2FB4">
            <w:pPr>
              <w:overflowPunct/>
              <w:autoSpaceDE/>
              <w:autoSpaceDN/>
              <w:adjustRightInd/>
              <w:jc w:val="center"/>
              <w:rPr>
                <w:rFonts w:ascii="Times New Roman" w:hAnsi="Times New Roman"/>
                <w:sz w:val="18"/>
                <w:szCs w:val="18"/>
              </w:rPr>
            </w:pPr>
          </w:p>
          <w:p w14:paraId="011CC511" w14:textId="77777777" w:rsidR="00246A26" w:rsidRPr="008A0812" w:rsidRDefault="00246A26" w:rsidP="00AA2FB4">
            <w:pPr>
              <w:overflowPunct/>
              <w:autoSpaceDE/>
              <w:autoSpaceDN/>
              <w:adjustRightInd/>
              <w:jc w:val="center"/>
              <w:rPr>
                <w:rFonts w:ascii="Segoe UI" w:hAnsi="Segoe UI" w:cs="Segoe UI"/>
                <w:sz w:val="18"/>
                <w:szCs w:val="18"/>
              </w:rPr>
            </w:pPr>
          </w:p>
          <w:p w14:paraId="6A16F517"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0DC55524"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Total Capacity: 130 gpm </w:t>
            </w:r>
          </w:p>
          <w:p w14:paraId="665FFB20"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4B8D02C8" w14:textId="77777777" w:rsidR="00246A26" w:rsidRPr="008A0812" w:rsidRDefault="00246A26" w:rsidP="00AA2FB4">
            <w:pPr>
              <w:overflowPunct/>
              <w:autoSpaceDE/>
              <w:autoSpaceDN/>
              <w:adjustRightInd/>
              <w:jc w:val="center"/>
              <w:rPr>
                <w:rFonts w:ascii="Times New Roman" w:hAnsi="Times New Roman"/>
              </w:rPr>
            </w:pPr>
          </w:p>
          <w:p w14:paraId="3D220BCB" w14:textId="77777777" w:rsidR="00246A26" w:rsidRPr="008A0812" w:rsidRDefault="00246A26" w:rsidP="00AA2FB4">
            <w:pPr>
              <w:overflowPunct/>
              <w:autoSpaceDE/>
              <w:autoSpaceDN/>
              <w:adjustRightInd/>
              <w:jc w:val="center"/>
              <w:rPr>
                <w:rFonts w:ascii="Times New Roman" w:hAnsi="Times New Roman"/>
              </w:rPr>
            </w:pPr>
          </w:p>
          <w:p w14:paraId="0B31EB8C" w14:textId="7BB07FC1"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15260313"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6E509FA1" w14:textId="77777777" w:rsidR="00133907" w:rsidRPr="008A0812" w:rsidRDefault="00133907" w:rsidP="00AA2FB4">
            <w:pPr>
              <w:overflowPunct/>
              <w:autoSpaceDE/>
              <w:autoSpaceDN/>
              <w:adjustRightInd/>
              <w:jc w:val="center"/>
              <w:rPr>
                <w:rFonts w:ascii="Segoe UI" w:hAnsi="Segoe UI" w:cs="Segoe UI"/>
                <w:sz w:val="18"/>
                <w:szCs w:val="18"/>
              </w:rPr>
            </w:pPr>
            <w:r w:rsidRPr="008A0812">
              <w:rPr>
                <w:rFonts w:ascii="Times New Roman" w:hAnsi="Times New Roman"/>
              </w:rPr>
              <w:t> </w:t>
            </w:r>
          </w:p>
          <w:p w14:paraId="2608D86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Total Capacity: 320 gpm </w:t>
            </w:r>
          </w:p>
          <w:p w14:paraId="3C61C280"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tc>
      </w:tr>
      <w:tr w:rsidR="00133907" w:rsidRPr="008A0812" w14:paraId="6EB08A55" w14:textId="77777777" w:rsidTr="00AA2FB4">
        <w:trPr>
          <w:cantSplit/>
          <w:trHeight w:val="285"/>
          <w:tblHeader/>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0B1BA771"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Primary Sludge Pumps – Unit 3 </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3EF3607C"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Primary Sludge Pumps</w:t>
            </w:r>
            <w:r w:rsidRPr="008A0812">
              <w:rPr>
                <w:rFonts w:cs="Segoe UI"/>
              </w:rPr>
              <w:t> </w:t>
            </w:r>
          </w:p>
          <w:p w14:paraId="19C944FF"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Quantity: 3 </w:t>
            </w:r>
          </w:p>
          <w:p w14:paraId="5968BD35"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Type: Plunger duplex </w:t>
            </w:r>
          </w:p>
          <w:p w14:paraId="222F7A8A"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Motor (ea.): 15 hp, 50 rpm </w:t>
            </w:r>
          </w:p>
          <w:p w14:paraId="127CC346"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u w:val="single"/>
              </w:rPr>
              <w:t>Scum Pumps</w:t>
            </w:r>
            <w:r w:rsidRPr="008A0812">
              <w:rPr>
                <w:rFonts w:cs="Segoe UI"/>
              </w:rPr>
              <w:t> </w:t>
            </w:r>
          </w:p>
          <w:p w14:paraId="575BFE50" w14:textId="5873D1C2"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Quantity: </w:t>
            </w:r>
            <w:r w:rsidR="009B1FD1" w:rsidRPr="008A0812">
              <w:rPr>
                <w:rFonts w:cs="Segoe UI"/>
              </w:rPr>
              <w:t>2 </w:t>
            </w:r>
          </w:p>
          <w:p w14:paraId="7F383181" w14:textId="6E42E244"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Type: </w:t>
            </w:r>
            <w:r w:rsidR="009B1FD1" w:rsidRPr="008A0812">
              <w:rPr>
                <w:rFonts w:cs="Segoe UI"/>
              </w:rPr>
              <w:t>Komline-Sanderson</w:t>
            </w:r>
            <w:r w:rsidRPr="008A0812">
              <w:rPr>
                <w:rFonts w:cs="Segoe UI"/>
              </w:rPr>
              <w:t> </w:t>
            </w:r>
          </w:p>
          <w:p w14:paraId="29D01807" w14:textId="16EF4AAF"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Capacity (ea.): </w:t>
            </w:r>
            <w:r w:rsidR="009B1FD1" w:rsidRPr="008A0812">
              <w:rPr>
                <w:rFonts w:cs="Segoe UI"/>
              </w:rPr>
              <w:t>130 gpm</w:t>
            </w:r>
            <w:r w:rsidRPr="008A0812">
              <w:rPr>
                <w:rFonts w:cs="Segoe UI"/>
              </w:rPr>
              <w:t> </w:t>
            </w:r>
          </w:p>
          <w:p w14:paraId="2F368941" w14:textId="7510D857" w:rsidR="00133907" w:rsidRPr="008A0812" w:rsidRDefault="00133907" w:rsidP="00AA2FB4">
            <w:pPr>
              <w:overflowPunct/>
              <w:autoSpaceDE/>
              <w:autoSpaceDN/>
              <w:adjustRightInd/>
              <w:rPr>
                <w:rFonts w:ascii="Segoe UI" w:hAnsi="Segoe UI" w:cs="Segoe UI"/>
                <w:sz w:val="18"/>
                <w:szCs w:val="18"/>
              </w:rPr>
            </w:pPr>
            <w:r w:rsidRPr="008A0812">
              <w:rPr>
                <w:rFonts w:cs="Segoe UI"/>
              </w:rPr>
              <w:t xml:space="preserve">Motor (ea.): </w:t>
            </w:r>
            <w:r w:rsidR="009B1FD1" w:rsidRPr="008A0812">
              <w:rPr>
                <w:rFonts w:cs="Segoe UI"/>
              </w:rPr>
              <w:t>15 hp</w:t>
            </w:r>
            <w:r w:rsidRPr="008A0812">
              <w:rPr>
                <w:rFonts w:cs="Segoe UI"/>
              </w:rPr>
              <w:t> </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A3C4BBE"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Capacity (ea.): 250 gpm </w:t>
            </w:r>
          </w:p>
          <w:p w14:paraId="56329CA7" w14:textId="77777777" w:rsidR="00133907" w:rsidRPr="008A0812" w:rsidRDefault="00133907" w:rsidP="00AA2FB4">
            <w:pPr>
              <w:overflowPunct/>
              <w:autoSpaceDE/>
              <w:autoSpaceDN/>
              <w:adjustRightInd/>
              <w:rPr>
                <w:rFonts w:ascii="Segoe UI" w:hAnsi="Segoe UI" w:cs="Segoe UI"/>
                <w:sz w:val="18"/>
                <w:szCs w:val="18"/>
              </w:rPr>
            </w:pPr>
            <w:r w:rsidRPr="008A0812">
              <w:rPr>
                <w:rFonts w:cs="Segoe UI"/>
              </w:rPr>
              <w:t> </w:t>
            </w:r>
          </w:p>
        </w:tc>
      </w:tr>
    </w:tbl>
    <w:p w14:paraId="20453C91" w14:textId="122B1A74" w:rsidR="00AD34F6" w:rsidRPr="008A0812" w:rsidRDefault="00833F73" w:rsidP="00833F73">
      <w:pPr>
        <w:pStyle w:val="Heading4"/>
      </w:pPr>
      <w:bookmarkStart w:id="59" w:name="_Toc41680808"/>
      <w:bookmarkStart w:id="60" w:name="_Hlk41481355"/>
      <w:r>
        <w:t>Secondary Treatment</w:t>
      </w:r>
      <w:bookmarkEnd w:id="59"/>
    </w:p>
    <w:p w14:paraId="7DCE092C" w14:textId="74A2C4AA" w:rsidR="001A3D85" w:rsidRPr="008A0812" w:rsidRDefault="00833F73" w:rsidP="001A3D85">
      <w:pPr>
        <w:pStyle w:val="BodyText"/>
      </w:pPr>
      <w:r w:rsidRPr="008A0812">
        <w:t>Secondary treatment uses an activated sludge process to stabilize the soluble and dissolved organic matter by biological oxidation. The system produces a settleable floc that is separated from the secondary effluent through settling. The secondary process includes activated sludge bioreactors, secondary clarifiers, and the NRC.</w:t>
      </w:r>
      <w:r w:rsidR="000D2D44" w:rsidRPr="008A0812">
        <w:t xml:space="preserve"> </w:t>
      </w:r>
      <w:r w:rsidR="002C44AC" w:rsidRPr="008A0812">
        <w:t xml:space="preserve">The activated sludge system consists of one large Claerator (Unit 1) and two smaller Claerators (Unit 2N and 2S). The Unit 1 Claerator includes two concentric-rings of </w:t>
      </w:r>
      <w:r w:rsidR="00FC63AF" w:rsidRPr="008A0812">
        <w:t xml:space="preserve">18 </w:t>
      </w:r>
      <w:r w:rsidR="002C44AC" w:rsidRPr="008A0812">
        <w:t xml:space="preserve">step-feed aeration basins and two secondary clarifiers (East and West). Unit 2 consists of two Claerators (Units 2N and 2S) each including a circular primary clarifier and two concentric-rings of ten step-feed aeration basins followed by one circular secondary clarifier each. The rated design </w:t>
      </w:r>
      <w:r w:rsidR="004E316D" w:rsidRPr="008A0812">
        <w:t xml:space="preserve">flow of the </w:t>
      </w:r>
      <w:r w:rsidR="002C44AC" w:rsidRPr="008A0812">
        <w:t xml:space="preserve">Unit 1 </w:t>
      </w:r>
      <w:r w:rsidR="004E316D" w:rsidRPr="008A0812">
        <w:t xml:space="preserve">Claerator is 15 mgd and the design flow for each </w:t>
      </w:r>
      <w:r w:rsidR="002C44AC" w:rsidRPr="008A0812">
        <w:t xml:space="preserve">Unit 2 </w:t>
      </w:r>
      <w:r w:rsidR="004E316D" w:rsidRPr="008A0812">
        <w:t xml:space="preserve">Claerator is </w:t>
      </w:r>
      <w:r w:rsidR="002C44AC" w:rsidRPr="008A0812">
        <w:t>7.5 mg</w:t>
      </w:r>
      <w:r w:rsidR="004E316D" w:rsidRPr="008A0812">
        <w:t xml:space="preserve">d. </w:t>
      </w:r>
      <w:r w:rsidR="004E316D" w:rsidRPr="008A0812">
        <w:fldChar w:fldCharType="begin"/>
      </w:r>
      <w:r w:rsidR="004E316D" w:rsidRPr="008A0812">
        <w:instrText xml:space="preserve"> REF _Ref36214180 \h </w:instrText>
      </w:r>
      <w:r w:rsidR="008A0812">
        <w:instrText xml:space="preserve"> \* MERGEFORMAT </w:instrText>
      </w:r>
      <w:r w:rsidR="004E316D" w:rsidRPr="008A0812">
        <w:fldChar w:fldCharType="separate"/>
      </w:r>
      <w:r w:rsidR="00AA68F8" w:rsidRPr="008A0812">
        <w:t xml:space="preserve">Table </w:t>
      </w:r>
      <w:r w:rsidR="00AA68F8">
        <w:rPr>
          <w:noProof/>
        </w:rPr>
        <w:t>1</w:t>
      </w:r>
      <w:r w:rsidR="00AA68F8" w:rsidRPr="008A0812">
        <w:rPr>
          <w:noProof/>
        </w:rPr>
        <w:noBreakHyphen/>
      </w:r>
      <w:r w:rsidR="00AA68F8">
        <w:rPr>
          <w:noProof/>
        </w:rPr>
        <w:t>7</w:t>
      </w:r>
      <w:r w:rsidR="004E316D" w:rsidRPr="008A0812">
        <w:fldChar w:fldCharType="end"/>
      </w:r>
      <w:r w:rsidR="004E316D" w:rsidRPr="008A0812">
        <w:t xml:space="preserve"> summarizes the a</w:t>
      </w:r>
      <w:r w:rsidR="002C44AC" w:rsidRPr="008A0812">
        <w:t>eration basin design criteria.</w:t>
      </w:r>
      <w:r w:rsidR="001A3D85" w:rsidRPr="008A0812">
        <w:t xml:space="preserve"> </w:t>
      </w:r>
    </w:p>
    <w:p w14:paraId="6442DE75" w14:textId="5DDF5F0A" w:rsidR="001A3D85" w:rsidRPr="008A0812" w:rsidRDefault="00AA2FB4" w:rsidP="00AA2FB4">
      <w:pPr>
        <w:pStyle w:val="Caption"/>
        <w:spacing w:before="200" w:after="120"/>
      </w:pPr>
      <w:bookmarkStart w:id="61" w:name="_Ref36214180"/>
      <w:bookmarkStart w:id="62" w:name="_Toc41684727"/>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61"/>
      <w:r w:rsidRPr="008A0812">
        <w:t xml:space="preserve">: </w:t>
      </w:r>
      <w:r w:rsidR="001A3D85" w:rsidRPr="008A0812">
        <w:t>Aeration Basin Design Information</w:t>
      </w:r>
      <w:bookmarkEnd w:id="62"/>
      <w:r w:rsidR="001A3D85"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1A3D85" w:rsidRPr="008A0812" w14:paraId="331A1543" w14:textId="77777777" w:rsidTr="001A3D85">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0FF59256" w14:textId="73952D1E" w:rsidR="001A3D85" w:rsidRPr="008A0812" w:rsidRDefault="001A3D85" w:rsidP="001A3D85">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5AFBB971" w14:textId="3CF0BC61" w:rsidR="001A3D85" w:rsidRPr="008A0812" w:rsidRDefault="001A3D85" w:rsidP="001A3D85">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060619D8" w14:textId="7A779F0A" w:rsidR="001A3D85" w:rsidRPr="008A0812" w:rsidRDefault="001A3D85" w:rsidP="0031230D">
            <w:pPr>
              <w:overflowPunct/>
              <w:autoSpaceDE/>
              <w:autoSpaceDN/>
              <w:adjustRightInd/>
              <w:jc w:val="center"/>
              <w:rPr>
                <w:rFonts w:ascii="Segoe UI" w:hAnsi="Segoe UI" w:cs="Segoe UI"/>
                <w:sz w:val="18"/>
                <w:szCs w:val="18"/>
              </w:rPr>
            </w:pPr>
            <w:r w:rsidRPr="008A0812">
              <w:rPr>
                <w:rFonts w:cs="Segoe UI"/>
                <w:b/>
                <w:bCs/>
              </w:rPr>
              <w:t>Design Flow</w:t>
            </w:r>
          </w:p>
        </w:tc>
      </w:tr>
      <w:tr w:rsidR="001A3D85" w:rsidRPr="008A0812" w14:paraId="14B95374" w14:textId="77777777" w:rsidTr="001A3D85">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0AAE821C" w14:textId="2DDDAEBA" w:rsidR="001A3D85" w:rsidRPr="008A0812" w:rsidRDefault="001A3D85" w:rsidP="001A3D85">
            <w:pPr>
              <w:overflowPunct/>
              <w:autoSpaceDE/>
              <w:autoSpaceDN/>
              <w:adjustRightInd/>
              <w:rPr>
                <w:rFonts w:ascii="Segoe UI" w:hAnsi="Segoe UI" w:cs="Segoe UI"/>
                <w:sz w:val="18"/>
                <w:szCs w:val="18"/>
              </w:rPr>
            </w:pPr>
            <w:r w:rsidRPr="008A0812">
              <w:rPr>
                <w:rFonts w:cs="Segoe UI"/>
              </w:rPr>
              <w:t>Unit 1 Aeration Basins</w:t>
            </w:r>
          </w:p>
          <w:p w14:paraId="63C22CAF" w14:textId="77777777" w:rsidR="001A3D85" w:rsidRPr="008A0812" w:rsidRDefault="001A3D85" w:rsidP="001A3D85">
            <w:pPr>
              <w:overflowPunct/>
              <w:autoSpaceDE/>
              <w:autoSpaceDN/>
              <w:adjustRightInd/>
              <w:rPr>
                <w:rFonts w:ascii="Segoe UI" w:hAnsi="Segoe UI" w:cs="Segoe UI"/>
                <w:sz w:val="18"/>
                <w:szCs w:val="18"/>
              </w:rPr>
            </w:pPr>
            <w:r w:rsidRPr="008A0812">
              <w:rPr>
                <w:rFonts w:cs="Segoe UI"/>
              </w:rPr>
              <w:t> </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2B391E7A" w14:textId="36FC3B9A" w:rsidR="001A3D85" w:rsidRPr="008A0812" w:rsidRDefault="001A3D85" w:rsidP="001A3D85">
            <w:pPr>
              <w:overflowPunct/>
              <w:autoSpaceDE/>
              <w:autoSpaceDN/>
              <w:adjustRightInd/>
              <w:rPr>
                <w:rFonts w:ascii="Segoe UI" w:hAnsi="Segoe UI" w:cs="Segoe UI"/>
                <w:sz w:val="18"/>
                <w:szCs w:val="18"/>
              </w:rPr>
            </w:pPr>
            <w:r w:rsidRPr="008A0812">
              <w:rPr>
                <w:rFonts w:cs="Segoe UI"/>
              </w:rPr>
              <w:t>Quantity: 1</w:t>
            </w:r>
          </w:p>
          <w:p w14:paraId="4952ED2F" w14:textId="05874111" w:rsidR="001A3D85" w:rsidRPr="008A0812" w:rsidRDefault="001A3D85" w:rsidP="001A3D85">
            <w:pPr>
              <w:overflowPunct/>
              <w:autoSpaceDE/>
              <w:autoSpaceDN/>
              <w:adjustRightInd/>
              <w:rPr>
                <w:rFonts w:ascii="Segoe UI" w:hAnsi="Segoe UI" w:cs="Segoe UI"/>
                <w:sz w:val="18"/>
                <w:szCs w:val="18"/>
              </w:rPr>
            </w:pPr>
            <w:r w:rsidRPr="008A0812">
              <w:rPr>
                <w:rFonts w:cs="Segoe UI"/>
              </w:rPr>
              <w:t>Type: Circular</w:t>
            </w:r>
          </w:p>
          <w:p w14:paraId="0D620D21" w14:textId="30D7CC8B" w:rsidR="001A3D85" w:rsidRPr="008A0812" w:rsidRDefault="001A3D85" w:rsidP="001A3D85">
            <w:pPr>
              <w:overflowPunct/>
              <w:autoSpaceDE/>
              <w:autoSpaceDN/>
              <w:adjustRightInd/>
              <w:rPr>
                <w:rFonts w:ascii="Segoe UI" w:hAnsi="Segoe UI" w:cs="Segoe UI"/>
                <w:sz w:val="18"/>
                <w:szCs w:val="18"/>
              </w:rPr>
            </w:pPr>
            <w:r w:rsidRPr="008A0812">
              <w:rPr>
                <w:rFonts w:cs="Segoe UI"/>
              </w:rPr>
              <w:t>HRT (@125% flow): 5 hours</w:t>
            </w:r>
          </w:p>
          <w:p w14:paraId="059E516E" w14:textId="430EEFA0" w:rsidR="001A3D85" w:rsidRPr="008A0812" w:rsidRDefault="001A3D85" w:rsidP="001A3D85">
            <w:pPr>
              <w:overflowPunct/>
              <w:autoSpaceDE/>
              <w:autoSpaceDN/>
              <w:adjustRightInd/>
              <w:rPr>
                <w:rFonts w:ascii="Segoe UI" w:hAnsi="Segoe UI" w:cs="Segoe UI"/>
                <w:sz w:val="18"/>
                <w:szCs w:val="18"/>
              </w:rPr>
            </w:pPr>
            <w:r w:rsidRPr="008A0812">
              <w:rPr>
                <w:rFonts w:cs="Segoe UI"/>
              </w:rPr>
              <w:t xml:space="preserve">Side </w:t>
            </w:r>
            <w:r w:rsidR="0085092C" w:rsidRPr="008A0812">
              <w:rPr>
                <w:rFonts w:cs="Segoe UI"/>
              </w:rPr>
              <w:t>W</w:t>
            </w:r>
            <w:r w:rsidRPr="008A0812">
              <w:rPr>
                <w:rFonts w:cs="Segoe UI"/>
              </w:rPr>
              <w:t xml:space="preserve">ater </w:t>
            </w:r>
            <w:r w:rsidR="0085092C" w:rsidRPr="008A0812">
              <w:rPr>
                <w:rFonts w:cs="Segoe UI"/>
              </w:rPr>
              <w:t>D</w:t>
            </w:r>
            <w:r w:rsidRPr="008A0812">
              <w:rPr>
                <w:rFonts w:cs="Segoe UI"/>
              </w:rPr>
              <w:t>epth: 14 ft</w:t>
            </w:r>
          </w:p>
          <w:p w14:paraId="25A6A368" w14:textId="53AE2880" w:rsidR="001A3D85" w:rsidRPr="008A0812" w:rsidRDefault="001A3D85" w:rsidP="001A3D85">
            <w:pPr>
              <w:overflowPunct/>
              <w:autoSpaceDE/>
              <w:autoSpaceDN/>
              <w:adjustRightInd/>
              <w:rPr>
                <w:rFonts w:ascii="Segoe UI" w:hAnsi="Segoe UI" w:cs="Segoe UI"/>
                <w:sz w:val="18"/>
                <w:szCs w:val="18"/>
              </w:rPr>
            </w:pPr>
            <w:r w:rsidRPr="008A0812">
              <w:rPr>
                <w:rFonts w:cs="Segoe UI"/>
              </w:rPr>
              <w:t>Inside Bays: 334,300 gallons</w:t>
            </w:r>
          </w:p>
          <w:p w14:paraId="04D79A56" w14:textId="5B54A744" w:rsidR="001A3D85" w:rsidRPr="008A0812" w:rsidRDefault="001A3D85" w:rsidP="001A3D85">
            <w:pPr>
              <w:overflowPunct/>
              <w:autoSpaceDE/>
              <w:autoSpaceDN/>
              <w:adjustRightInd/>
              <w:rPr>
                <w:rFonts w:ascii="Segoe UI" w:hAnsi="Segoe UI" w:cs="Segoe UI"/>
                <w:sz w:val="18"/>
                <w:szCs w:val="18"/>
              </w:rPr>
            </w:pPr>
            <w:r w:rsidRPr="008A0812">
              <w:rPr>
                <w:rFonts w:cs="Segoe UI"/>
              </w:rPr>
              <w:t>Outside Bays: 447,500 gallons</w:t>
            </w:r>
          </w:p>
          <w:p w14:paraId="5E4888A4" w14:textId="59A1C3B4" w:rsidR="001A3D85" w:rsidRPr="008A0812" w:rsidRDefault="001A3D85" w:rsidP="001A3D85">
            <w:pPr>
              <w:overflowPunct/>
              <w:autoSpaceDE/>
              <w:autoSpaceDN/>
              <w:adjustRightInd/>
              <w:rPr>
                <w:rFonts w:ascii="Segoe UI" w:hAnsi="Segoe UI" w:cs="Segoe UI"/>
                <w:sz w:val="18"/>
                <w:szCs w:val="18"/>
              </w:rPr>
            </w:pPr>
            <w:r w:rsidRPr="008A0812">
              <w:rPr>
                <w:rFonts w:cs="Segoe UI"/>
              </w:rPr>
              <w:t>Total Volume: 3,910,000 gallons</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1FAEECA6" w14:textId="4771F2A4" w:rsidR="001A3D85" w:rsidRPr="008A0812" w:rsidRDefault="004E316D" w:rsidP="001A3D85">
            <w:pPr>
              <w:overflowPunct/>
              <w:autoSpaceDE/>
              <w:autoSpaceDN/>
              <w:adjustRightInd/>
              <w:rPr>
                <w:rFonts w:ascii="Segoe UI" w:hAnsi="Segoe UI" w:cs="Segoe UI"/>
                <w:sz w:val="18"/>
                <w:szCs w:val="18"/>
              </w:rPr>
            </w:pPr>
            <w:r w:rsidRPr="008A0812">
              <w:rPr>
                <w:rFonts w:cs="Segoe UI"/>
              </w:rPr>
              <w:t>1</w:t>
            </w:r>
            <w:r w:rsidR="001A3D85" w:rsidRPr="008A0812">
              <w:rPr>
                <w:rFonts w:cs="Segoe UI"/>
              </w:rPr>
              <w:t>5 mgd</w:t>
            </w:r>
          </w:p>
        </w:tc>
      </w:tr>
      <w:tr w:rsidR="001A3D85" w:rsidRPr="008A0812" w14:paraId="482DFF86" w14:textId="77777777" w:rsidTr="001A3D85">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24C356FE" w14:textId="2C84E359" w:rsidR="001A3D85" w:rsidRPr="008A0812" w:rsidRDefault="001A3D85" w:rsidP="001A3D85">
            <w:pPr>
              <w:overflowPunct/>
              <w:autoSpaceDE/>
              <w:autoSpaceDN/>
              <w:adjustRightInd/>
              <w:rPr>
                <w:rFonts w:ascii="Segoe UI" w:hAnsi="Segoe UI" w:cs="Segoe UI"/>
                <w:sz w:val="18"/>
                <w:szCs w:val="18"/>
              </w:rPr>
            </w:pPr>
            <w:r w:rsidRPr="008A0812">
              <w:rPr>
                <w:rFonts w:cs="Segoe UI"/>
              </w:rPr>
              <w:t>Unit 2 Aeration Basins</w:t>
            </w:r>
          </w:p>
          <w:p w14:paraId="74ED1D8B" w14:textId="01CE3934" w:rsidR="001A3D85" w:rsidRPr="008A0812" w:rsidRDefault="00FC63AF" w:rsidP="001A3D85">
            <w:pPr>
              <w:overflowPunct/>
              <w:autoSpaceDE/>
              <w:autoSpaceDN/>
              <w:adjustRightInd/>
              <w:rPr>
                <w:rFonts w:cs="Segoe UI"/>
              </w:rPr>
            </w:pPr>
            <w:r w:rsidRPr="008A0812">
              <w:rPr>
                <w:rFonts w:cs="Segoe UI"/>
              </w:rPr>
              <w:t xml:space="preserve"> -</w:t>
            </w:r>
            <w:r w:rsidR="001A3D85" w:rsidRPr="008A0812">
              <w:rPr>
                <w:rFonts w:cs="Segoe UI"/>
              </w:rPr>
              <w:t>Unit 2 North</w:t>
            </w:r>
          </w:p>
          <w:p w14:paraId="47936471" w14:textId="5F753B75" w:rsidR="001A3D85" w:rsidRPr="008A0812" w:rsidRDefault="00FC63AF" w:rsidP="001A3D85">
            <w:pPr>
              <w:overflowPunct/>
              <w:autoSpaceDE/>
              <w:autoSpaceDN/>
              <w:adjustRightInd/>
              <w:rPr>
                <w:rFonts w:ascii="Segoe UI" w:hAnsi="Segoe UI" w:cs="Segoe UI"/>
                <w:sz w:val="18"/>
                <w:szCs w:val="18"/>
              </w:rPr>
            </w:pPr>
            <w:r w:rsidRPr="008A0812">
              <w:rPr>
                <w:rFonts w:cs="Segoe UI"/>
              </w:rPr>
              <w:t xml:space="preserve"> -</w:t>
            </w:r>
            <w:r w:rsidR="001A3D85" w:rsidRPr="008A0812">
              <w:rPr>
                <w:rFonts w:cs="Segoe UI"/>
              </w:rPr>
              <w:t>Unit 2 South</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7C812222" w14:textId="43A79B7A" w:rsidR="001A3D85" w:rsidRPr="008A0812" w:rsidRDefault="001A3D85" w:rsidP="001A3D85">
            <w:pPr>
              <w:overflowPunct/>
              <w:autoSpaceDE/>
              <w:autoSpaceDN/>
              <w:adjustRightInd/>
              <w:rPr>
                <w:rFonts w:ascii="Segoe UI" w:hAnsi="Segoe UI" w:cs="Segoe UI"/>
                <w:sz w:val="18"/>
                <w:szCs w:val="18"/>
              </w:rPr>
            </w:pPr>
            <w:r w:rsidRPr="008A0812">
              <w:rPr>
                <w:rFonts w:cs="Segoe UI"/>
              </w:rPr>
              <w:t>Quantity: 2</w:t>
            </w:r>
          </w:p>
          <w:p w14:paraId="01075F74" w14:textId="10046D7E" w:rsidR="001A3D85" w:rsidRPr="008A0812" w:rsidRDefault="001A3D85" w:rsidP="001A3D85">
            <w:pPr>
              <w:overflowPunct/>
              <w:autoSpaceDE/>
              <w:autoSpaceDN/>
              <w:adjustRightInd/>
              <w:rPr>
                <w:rFonts w:ascii="Segoe UI" w:hAnsi="Segoe UI" w:cs="Segoe UI"/>
                <w:sz w:val="18"/>
                <w:szCs w:val="18"/>
              </w:rPr>
            </w:pPr>
            <w:r w:rsidRPr="008A0812">
              <w:rPr>
                <w:rFonts w:cs="Segoe UI"/>
              </w:rPr>
              <w:t>Type: Circular</w:t>
            </w:r>
          </w:p>
          <w:p w14:paraId="12E5843D" w14:textId="14E929E8" w:rsidR="001A3D85" w:rsidRPr="008A0812" w:rsidRDefault="001A3D85" w:rsidP="001A3D85">
            <w:pPr>
              <w:overflowPunct/>
              <w:autoSpaceDE/>
              <w:autoSpaceDN/>
              <w:adjustRightInd/>
              <w:rPr>
                <w:rFonts w:ascii="Segoe UI" w:hAnsi="Segoe UI" w:cs="Segoe UI"/>
                <w:sz w:val="18"/>
                <w:szCs w:val="18"/>
              </w:rPr>
            </w:pPr>
            <w:r w:rsidRPr="008A0812">
              <w:rPr>
                <w:rFonts w:cs="Segoe UI"/>
              </w:rPr>
              <w:t>HRT (@125% flow): 6 hours</w:t>
            </w:r>
          </w:p>
          <w:p w14:paraId="0A0EDA40" w14:textId="5C69C2B3" w:rsidR="001A3D85" w:rsidRPr="008A0812" w:rsidRDefault="001A3D85" w:rsidP="001A3D85">
            <w:pPr>
              <w:overflowPunct/>
              <w:autoSpaceDE/>
              <w:autoSpaceDN/>
              <w:adjustRightInd/>
              <w:rPr>
                <w:rFonts w:ascii="Segoe UI" w:hAnsi="Segoe UI" w:cs="Segoe UI"/>
                <w:sz w:val="18"/>
                <w:szCs w:val="18"/>
              </w:rPr>
            </w:pPr>
            <w:r w:rsidRPr="008A0812">
              <w:rPr>
                <w:rFonts w:cs="Segoe UI"/>
              </w:rPr>
              <w:t xml:space="preserve">Side </w:t>
            </w:r>
            <w:r w:rsidR="0085092C" w:rsidRPr="008A0812">
              <w:rPr>
                <w:rFonts w:cs="Segoe UI"/>
              </w:rPr>
              <w:t>W</w:t>
            </w:r>
            <w:r w:rsidRPr="008A0812">
              <w:rPr>
                <w:rFonts w:cs="Segoe UI"/>
              </w:rPr>
              <w:t xml:space="preserve">ater </w:t>
            </w:r>
            <w:r w:rsidR="0085092C" w:rsidRPr="008A0812">
              <w:rPr>
                <w:rFonts w:cs="Segoe UI"/>
              </w:rPr>
              <w:t>D</w:t>
            </w:r>
            <w:r w:rsidRPr="008A0812">
              <w:rPr>
                <w:rFonts w:cs="Segoe UI"/>
              </w:rPr>
              <w:t>epth: 14 ft</w:t>
            </w:r>
          </w:p>
          <w:p w14:paraId="76D7902B" w14:textId="2DDB1F78" w:rsidR="001A3D85" w:rsidRPr="008A0812" w:rsidRDefault="001A3D85" w:rsidP="001A3D85">
            <w:pPr>
              <w:overflowPunct/>
              <w:autoSpaceDE/>
              <w:autoSpaceDN/>
              <w:adjustRightInd/>
              <w:rPr>
                <w:rFonts w:ascii="Segoe UI" w:hAnsi="Segoe UI" w:cs="Segoe UI"/>
                <w:sz w:val="18"/>
                <w:szCs w:val="18"/>
              </w:rPr>
            </w:pPr>
            <w:r w:rsidRPr="008A0812">
              <w:rPr>
                <w:rFonts w:cs="Segoe UI"/>
              </w:rPr>
              <w:t>Inside Bays: 200,000 gallons</w:t>
            </w:r>
          </w:p>
          <w:p w14:paraId="46C2ABAF" w14:textId="4A52F717" w:rsidR="001A3D85" w:rsidRPr="008A0812" w:rsidRDefault="001A3D85" w:rsidP="001A3D85">
            <w:pPr>
              <w:overflowPunct/>
              <w:autoSpaceDE/>
              <w:autoSpaceDN/>
              <w:adjustRightInd/>
              <w:rPr>
                <w:rFonts w:ascii="Segoe UI" w:hAnsi="Segoe UI" w:cs="Segoe UI"/>
                <w:sz w:val="18"/>
                <w:szCs w:val="18"/>
              </w:rPr>
            </w:pPr>
            <w:r w:rsidRPr="008A0812">
              <w:rPr>
                <w:rFonts w:cs="Segoe UI"/>
              </w:rPr>
              <w:t>Outside Bays: 268,000 gallons</w:t>
            </w:r>
          </w:p>
          <w:p w14:paraId="35412394" w14:textId="605F45A9" w:rsidR="001A3D85" w:rsidRPr="008A0812" w:rsidRDefault="001A3D85" w:rsidP="001A3D85">
            <w:pPr>
              <w:overflowPunct/>
              <w:autoSpaceDE/>
              <w:autoSpaceDN/>
              <w:adjustRightInd/>
              <w:rPr>
                <w:rFonts w:ascii="Segoe UI" w:hAnsi="Segoe UI" w:cs="Segoe UI"/>
                <w:sz w:val="18"/>
                <w:szCs w:val="18"/>
              </w:rPr>
            </w:pPr>
            <w:r w:rsidRPr="008A0812">
              <w:rPr>
                <w:rFonts w:cs="Segoe UI"/>
              </w:rPr>
              <w:t>Total Volume (ea</w:t>
            </w:r>
            <w:r w:rsidR="0085092C" w:rsidRPr="008A0812">
              <w:rPr>
                <w:rFonts w:cs="Segoe UI"/>
              </w:rPr>
              <w:t>.</w:t>
            </w:r>
            <w:r w:rsidRPr="008A0812">
              <w:rPr>
                <w:rFonts w:cs="Segoe UI"/>
              </w:rPr>
              <w:t>): 2,340,000 gallons</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1EFEB7CA" w14:textId="2F1E42FA" w:rsidR="001A3D85" w:rsidRPr="008A0812" w:rsidRDefault="001A3D85" w:rsidP="001A3D85">
            <w:pPr>
              <w:overflowPunct/>
              <w:autoSpaceDE/>
              <w:autoSpaceDN/>
              <w:adjustRightInd/>
              <w:rPr>
                <w:rFonts w:ascii="Segoe UI" w:hAnsi="Segoe UI" w:cs="Segoe UI"/>
                <w:sz w:val="18"/>
                <w:szCs w:val="18"/>
              </w:rPr>
            </w:pPr>
            <w:r w:rsidRPr="008A0812">
              <w:rPr>
                <w:rFonts w:cs="Segoe UI"/>
              </w:rPr>
              <w:t>7.5 mgd (each)</w:t>
            </w:r>
          </w:p>
          <w:p w14:paraId="2CDD7DC0" w14:textId="77777777" w:rsidR="001A3D85" w:rsidRPr="008A0812" w:rsidRDefault="001A3D85" w:rsidP="001A3D85">
            <w:pPr>
              <w:overflowPunct/>
              <w:autoSpaceDE/>
              <w:autoSpaceDN/>
              <w:adjustRightInd/>
              <w:rPr>
                <w:rFonts w:ascii="Segoe UI" w:hAnsi="Segoe UI" w:cs="Segoe UI"/>
                <w:sz w:val="18"/>
                <w:szCs w:val="18"/>
              </w:rPr>
            </w:pPr>
            <w:r w:rsidRPr="008A0812">
              <w:rPr>
                <w:rFonts w:cs="Segoe UI"/>
              </w:rPr>
              <w:t> </w:t>
            </w:r>
          </w:p>
        </w:tc>
      </w:tr>
    </w:tbl>
    <w:p w14:paraId="3F071BF1" w14:textId="02DCB2EE" w:rsidR="001A3D85" w:rsidRPr="008A0812" w:rsidRDefault="001A3D85" w:rsidP="001A3D85">
      <w:pPr>
        <w:pStyle w:val="BodyText"/>
      </w:pPr>
      <w:r w:rsidRPr="008A0812">
        <w:t>Secondary clarifiers are very similar in structure to primary clarifiers</w:t>
      </w:r>
      <w:r w:rsidR="004E316D" w:rsidRPr="008A0812">
        <w:t xml:space="preserve"> and are </w:t>
      </w:r>
      <w:r w:rsidRPr="008A0812">
        <w:t xml:space="preserve">equipped with similar mechanical equipment. Loading and sludge settling characteristics are the </w:t>
      </w:r>
      <w:r w:rsidR="004E316D" w:rsidRPr="008A0812">
        <w:t>most important</w:t>
      </w:r>
      <w:r w:rsidRPr="008A0812">
        <w:t xml:space="preserve"> factors affecting their operation. The settling characteristics of the solids are developed in the aeration tank </w:t>
      </w:r>
      <w:r w:rsidR="0078234A" w:rsidRPr="008A0812">
        <w:t xml:space="preserve">and </w:t>
      </w:r>
      <w:r w:rsidRPr="008A0812">
        <w:t>are affected by</w:t>
      </w:r>
      <w:r w:rsidR="00E4559F" w:rsidRPr="008A0812">
        <w:t xml:space="preserve"> mixed liquor suspended solids</w:t>
      </w:r>
      <w:r w:rsidRPr="008A0812">
        <w:t xml:space="preserve"> </w:t>
      </w:r>
      <w:r w:rsidR="00E4559F" w:rsidRPr="008A0812">
        <w:t>(</w:t>
      </w:r>
      <w:r w:rsidRPr="008A0812">
        <w:t>MLSS</w:t>
      </w:r>
      <w:r w:rsidR="00E4559F" w:rsidRPr="008A0812">
        <w:t>)</w:t>
      </w:r>
      <w:r w:rsidRPr="008A0812">
        <w:t xml:space="preserve"> concentration</w:t>
      </w:r>
      <w:r w:rsidR="004E316D" w:rsidRPr="008A0812">
        <w:t>. T</w:t>
      </w:r>
      <w:r w:rsidRPr="008A0812">
        <w:t xml:space="preserve">he settling properties of the solids </w:t>
      </w:r>
      <w:r w:rsidR="003F674D" w:rsidRPr="008A0812">
        <w:t>a</w:t>
      </w:r>
      <w:r w:rsidR="003F674D">
        <w:t>re</w:t>
      </w:r>
      <w:r w:rsidR="001C08F7">
        <w:t xml:space="preserve"> </w:t>
      </w:r>
      <w:r w:rsidRPr="008A0812">
        <w:t xml:space="preserve">measured by </w:t>
      </w:r>
      <w:r w:rsidR="0031230D" w:rsidRPr="008A0812">
        <w:t xml:space="preserve">the </w:t>
      </w:r>
      <w:r w:rsidR="00E4559F" w:rsidRPr="008A0812">
        <w:t>sludge volume index (</w:t>
      </w:r>
      <w:r w:rsidRPr="008A0812">
        <w:t>SVI</w:t>
      </w:r>
      <w:r w:rsidR="00E4559F" w:rsidRPr="008A0812">
        <w:t>)</w:t>
      </w:r>
      <w:r w:rsidRPr="008A0812">
        <w:t xml:space="preserve"> or by settleometer. The capacity presented uses the surface overflow rate (SOR) and weir overflow rate as the critical hydraulic condition for treatment. </w:t>
      </w:r>
      <w:r w:rsidR="004E316D" w:rsidRPr="008A0812">
        <w:fldChar w:fldCharType="begin"/>
      </w:r>
      <w:r w:rsidR="004E316D" w:rsidRPr="008A0812">
        <w:instrText xml:space="preserve"> REF _Ref36214201 \h </w:instrText>
      </w:r>
      <w:r w:rsidR="008A0812">
        <w:instrText xml:space="preserve"> \* MERGEFORMAT </w:instrText>
      </w:r>
      <w:r w:rsidR="004E316D" w:rsidRPr="008A0812">
        <w:fldChar w:fldCharType="separate"/>
      </w:r>
      <w:r w:rsidR="00AA68F8" w:rsidRPr="008A0812">
        <w:t xml:space="preserve">Table </w:t>
      </w:r>
      <w:r w:rsidR="00AA68F8">
        <w:rPr>
          <w:noProof/>
        </w:rPr>
        <w:t>1</w:t>
      </w:r>
      <w:r w:rsidR="00AA68F8" w:rsidRPr="008A0812">
        <w:rPr>
          <w:noProof/>
        </w:rPr>
        <w:noBreakHyphen/>
      </w:r>
      <w:r w:rsidR="00AA68F8">
        <w:rPr>
          <w:noProof/>
        </w:rPr>
        <w:t>8</w:t>
      </w:r>
      <w:r w:rsidR="004E316D" w:rsidRPr="008A0812">
        <w:fldChar w:fldCharType="end"/>
      </w:r>
      <w:r w:rsidR="004E316D" w:rsidRPr="008A0812">
        <w:t xml:space="preserve"> summarizes the s</w:t>
      </w:r>
      <w:r w:rsidRPr="008A0812">
        <w:t>econdary clarifier design criteria</w:t>
      </w:r>
      <w:bookmarkStart w:id="63" w:name="_Hlk20125982"/>
      <w:r w:rsidRPr="008A0812">
        <w:t xml:space="preserve">. </w:t>
      </w:r>
    </w:p>
    <w:p w14:paraId="0EC7B05D" w14:textId="4A3087FB" w:rsidR="001A3D85" w:rsidRPr="008A0812" w:rsidRDefault="00AA2FB4" w:rsidP="00AA2FB4">
      <w:pPr>
        <w:pStyle w:val="Caption"/>
        <w:spacing w:before="200" w:after="120"/>
      </w:pPr>
      <w:bookmarkStart w:id="64" w:name="_Ref36214201"/>
      <w:bookmarkStart w:id="65" w:name="_Toc41684728"/>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64"/>
      <w:r w:rsidRPr="008A0812">
        <w:t>: S</w:t>
      </w:r>
      <w:r w:rsidR="001A3D85" w:rsidRPr="008A0812">
        <w:t>econdary Clarifier Design Information</w:t>
      </w:r>
      <w:bookmarkEnd w:id="65"/>
      <w:r w:rsidR="001A3D85"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9C2DB4" w:rsidRPr="008A0812" w14:paraId="44574CF6"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bookmarkEnd w:id="63"/>
          <w:p w14:paraId="11E367B6" w14:textId="77777777" w:rsidR="009C2DB4" w:rsidRPr="008A0812" w:rsidRDefault="009C2DB4" w:rsidP="00083148">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5C0E75E6" w14:textId="77777777" w:rsidR="009C2DB4" w:rsidRPr="008A0812" w:rsidRDefault="009C2DB4" w:rsidP="00083148">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31CDEF04" w14:textId="77777777" w:rsidR="009C2DB4" w:rsidRPr="008A0812" w:rsidRDefault="009C2DB4" w:rsidP="0031230D">
            <w:pPr>
              <w:overflowPunct/>
              <w:autoSpaceDE/>
              <w:autoSpaceDN/>
              <w:adjustRightInd/>
              <w:jc w:val="center"/>
              <w:rPr>
                <w:rFonts w:ascii="Segoe UI" w:hAnsi="Segoe UI" w:cs="Segoe UI"/>
                <w:sz w:val="18"/>
                <w:szCs w:val="18"/>
              </w:rPr>
            </w:pPr>
            <w:r w:rsidRPr="008A0812">
              <w:rPr>
                <w:rFonts w:cs="Segoe UI"/>
                <w:b/>
                <w:bCs/>
              </w:rPr>
              <w:t>Design Flow</w:t>
            </w:r>
          </w:p>
        </w:tc>
      </w:tr>
      <w:tr w:rsidR="009C2DB4" w:rsidRPr="008A0812" w14:paraId="7118626D" w14:textId="77777777" w:rsidTr="00083148">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69C62C5E" w14:textId="57F698EA" w:rsidR="009C2DB4" w:rsidRPr="008A0812" w:rsidRDefault="009C2DB4" w:rsidP="009C2DB4">
            <w:pPr>
              <w:overflowPunct/>
              <w:autoSpaceDE/>
              <w:autoSpaceDN/>
              <w:adjustRightInd/>
              <w:rPr>
                <w:rFonts w:cs="Segoe UI"/>
              </w:rPr>
            </w:pPr>
            <w:r w:rsidRPr="008A0812">
              <w:rPr>
                <w:rFonts w:cs="Segoe UI"/>
              </w:rPr>
              <w:t>Unit 1 Secondary Clarifiers</w:t>
            </w:r>
          </w:p>
          <w:p w14:paraId="7E5F53BF" w14:textId="2F76E0DB" w:rsidR="00FC63AF" w:rsidRPr="008A0812" w:rsidRDefault="00FC63AF" w:rsidP="009C2DB4">
            <w:pPr>
              <w:overflowPunct/>
              <w:autoSpaceDE/>
              <w:autoSpaceDN/>
              <w:adjustRightInd/>
              <w:rPr>
                <w:rFonts w:cs="Segoe UI"/>
              </w:rPr>
            </w:pPr>
            <w:r w:rsidRPr="008A0812">
              <w:rPr>
                <w:rFonts w:cs="Segoe UI"/>
              </w:rPr>
              <w:t xml:space="preserve"> -</w:t>
            </w:r>
            <w:r w:rsidR="009C2DB4" w:rsidRPr="008A0812">
              <w:rPr>
                <w:rFonts w:cs="Segoe UI"/>
              </w:rPr>
              <w:t>Unit 1 East</w:t>
            </w:r>
          </w:p>
          <w:p w14:paraId="2CAFED08" w14:textId="7E9D0ADF" w:rsidR="009C2DB4" w:rsidRPr="008A0812" w:rsidRDefault="00FC63AF" w:rsidP="009C2DB4">
            <w:pPr>
              <w:overflowPunct/>
              <w:autoSpaceDE/>
              <w:autoSpaceDN/>
              <w:adjustRightInd/>
              <w:rPr>
                <w:rFonts w:ascii="Segoe UI" w:hAnsi="Segoe UI" w:cs="Segoe UI"/>
                <w:sz w:val="18"/>
                <w:szCs w:val="18"/>
              </w:rPr>
            </w:pPr>
            <w:r w:rsidRPr="008A0812">
              <w:rPr>
                <w:rFonts w:cs="Segoe UI"/>
              </w:rPr>
              <w:t xml:space="preserve"> -</w:t>
            </w:r>
            <w:r w:rsidR="009C2DB4" w:rsidRPr="008A0812">
              <w:rPr>
                <w:rFonts w:cs="Segoe UI"/>
              </w:rPr>
              <w:t>Unit 1 West</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0C249EB2" w14:textId="202684FF" w:rsidR="009C2DB4" w:rsidRPr="008A0812" w:rsidRDefault="009C2DB4" w:rsidP="009C2DB4">
            <w:r w:rsidRPr="008A0812">
              <w:t>Quantity: 2</w:t>
            </w:r>
          </w:p>
          <w:p w14:paraId="020062FA" w14:textId="00C8EE87" w:rsidR="009C2DB4" w:rsidRPr="008A0812" w:rsidRDefault="009C2DB4" w:rsidP="009C2DB4">
            <w:r w:rsidRPr="008A0812">
              <w:t>Diameter: 140 ft</w:t>
            </w:r>
          </w:p>
          <w:p w14:paraId="29A43929" w14:textId="7FDFA682" w:rsidR="009C2DB4" w:rsidRPr="008A0812" w:rsidRDefault="009C2DB4" w:rsidP="009C2DB4">
            <w:r w:rsidRPr="008A0812">
              <w:t xml:space="preserve">Side </w:t>
            </w:r>
            <w:r w:rsidR="0031230D" w:rsidRPr="008A0812">
              <w:t>W</w:t>
            </w:r>
            <w:r w:rsidRPr="008A0812">
              <w:t xml:space="preserve">ater </w:t>
            </w:r>
            <w:r w:rsidR="0031230D" w:rsidRPr="008A0812">
              <w:t>D</w:t>
            </w:r>
            <w:r w:rsidRPr="008A0812">
              <w:t xml:space="preserve">epth: 10 ft </w:t>
            </w:r>
          </w:p>
          <w:p w14:paraId="34D55E01" w14:textId="5E65F0B3" w:rsidR="009C2DB4" w:rsidRPr="008A0812" w:rsidRDefault="009C2DB4" w:rsidP="009C2DB4">
            <w:r w:rsidRPr="008A0812">
              <w:t>Area: 15,394 ft</w:t>
            </w:r>
            <w:r w:rsidRPr="008A0812">
              <w:rPr>
                <w:vertAlign w:val="superscript"/>
              </w:rPr>
              <w:t>2</w:t>
            </w:r>
            <w:r w:rsidRPr="008A0812">
              <w:t xml:space="preserve"> </w:t>
            </w:r>
          </w:p>
          <w:p w14:paraId="7D0E74D9" w14:textId="07CFE20A" w:rsidR="009C2DB4" w:rsidRPr="008A0812" w:rsidRDefault="009C2DB4" w:rsidP="009C2DB4">
            <w:r w:rsidRPr="008A0812">
              <w:t xml:space="preserve">Volume (each): 1,151,471 gallons </w:t>
            </w:r>
          </w:p>
          <w:p w14:paraId="24FF0842" w14:textId="4D1F5965" w:rsidR="009C2DB4" w:rsidRPr="008A0812" w:rsidRDefault="009C2DB4" w:rsidP="009C2DB4">
            <w:pPr>
              <w:rPr>
                <w:u w:val="single"/>
              </w:rPr>
            </w:pPr>
            <w:r w:rsidRPr="008A0812">
              <w:rPr>
                <w:u w:val="single"/>
              </w:rPr>
              <w:t>Surface Overloading Rate (each)</w:t>
            </w:r>
          </w:p>
          <w:p w14:paraId="6B34B863" w14:textId="691953E9" w:rsidR="009C2DB4" w:rsidRPr="008A0812" w:rsidRDefault="009C2DB4" w:rsidP="009C2DB4">
            <w:r w:rsidRPr="008A0812">
              <w:t>440 gpd/</w:t>
            </w:r>
            <w:r w:rsidR="0031230D" w:rsidRPr="008A0812">
              <w:t>sf</w:t>
            </w:r>
            <w:r w:rsidRPr="008A0812">
              <w:t xml:space="preserve"> (average)</w:t>
            </w:r>
          </w:p>
          <w:p w14:paraId="54F4F98E" w14:textId="7D21AB57" w:rsidR="009C2DB4" w:rsidRPr="008A0812" w:rsidRDefault="009C2DB4" w:rsidP="009C2DB4">
            <w:r w:rsidRPr="008A0812">
              <w:t>705 gpd/s</w:t>
            </w:r>
            <w:r w:rsidR="0031230D" w:rsidRPr="008A0812">
              <w:t>f</w:t>
            </w:r>
            <w:r w:rsidRPr="008A0812">
              <w:t xml:space="preserve"> (peak) </w:t>
            </w:r>
          </w:p>
          <w:p w14:paraId="757E14BF" w14:textId="46FEFE67" w:rsidR="009C2DB4" w:rsidRPr="008A0812" w:rsidRDefault="009C2DB4" w:rsidP="009C2DB4">
            <w:r w:rsidRPr="008A0812">
              <w:rPr>
                <w:u w:val="single"/>
              </w:rPr>
              <w:t>Solids Loading (each):</w:t>
            </w:r>
            <w:r w:rsidRPr="008A0812">
              <w:t xml:space="preserve"> </w:t>
            </w:r>
          </w:p>
          <w:p w14:paraId="4E365086" w14:textId="73928F95" w:rsidR="009C2DB4" w:rsidRPr="008A0812" w:rsidRDefault="009C2DB4" w:rsidP="009C2DB4">
            <w:r w:rsidRPr="008A0812">
              <w:t>36.7 lbs./day/s</w:t>
            </w:r>
            <w:r w:rsidR="0031230D" w:rsidRPr="008A0812">
              <w:t>f</w:t>
            </w:r>
            <w:r w:rsidRPr="008A0812">
              <w:t xml:space="preserve"> (average)</w:t>
            </w:r>
          </w:p>
          <w:p w14:paraId="08A5F6E7" w14:textId="34F79E38" w:rsidR="009C2DB4" w:rsidRPr="008A0812" w:rsidRDefault="009C2DB4" w:rsidP="009C2DB4">
            <w:r w:rsidRPr="008A0812">
              <w:t>58.7 lbs./day/s</w:t>
            </w:r>
            <w:r w:rsidR="0031230D" w:rsidRPr="008A0812">
              <w:t>f</w:t>
            </w:r>
            <w:r w:rsidRPr="008A0812">
              <w:t xml:space="preserve"> (peak)</w:t>
            </w:r>
          </w:p>
          <w:p w14:paraId="5B66F110" w14:textId="5B5F694F" w:rsidR="009C2DB4" w:rsidRPr="008A0812" w:rsidRDefault="009C2DB4" w:rsidP="009C2DB4">
            <w:r w:rsidRPr="008A0812">
              <w:rPr>
                <w:u w:val="single"/>
              </w:rPr>
              <w:t>Weir loading</w:t>
            </w:r>
            <w:r w:rsidRPr="008A0812">
              <w:t xml:space="preserve"> </w:t>
            </w:r>
          </w:p>
          <w:p w14:paraId="687FED86" w14:textId="75CD18B7" w:rsidR="009C2DB4" w:rsidRPr="008A0812" w:rsidRDefault="009C2DB4" w:rsidP="009C2DB4">
            <w:r w:rsidRPr="008A0812">
              <w:t>5</w:t>
            </w:r>
            <w:r w:rsidR="0031230D" w:rsidRPr="008A0812">
              <w:t>,</w:t>
            </w:r>
            <w:r w:rsidRPr="008A0812">
              <w:t>045 gpd/</w:t>
            </w:r>
            <w:r w:rsidR="0031230D" w:rsidRPr="008A0812">
              <w:t>sf</w:t>
            </w:r>
            <w:r w:rsidRPr="008A0812">
              <w:t xml:space="preserve"> </w:t>
            </w:r>
          </w:p>
          <w:p w14:paraId="361A06CD" w14:textId="2BD06C07" w:rsidR="009C2DB4" w:rsidRPr="008A0812" w:rsidRDefault="009C2DB4" w:rsidP="009C2DB4">
            <w:r w:rsidRPr="008A0812">
              <w:t xml:space="preserve">Detention Time at </w:t>
            </w:r>
            <w:r w:rsidR="0031230D" w:rsidRPr="008A0812">
              <w:t>A</w:t>
            </w:r>
            <w:r w:rsidRPr="008A0812">
              <w:t>verage: 4.2 hours</w:t>
            </w:r>
          </w:p>
          <w:p w14:paraId="465B459C" w14:textId="002CB2C5" w:rsidR="009C2DB4" w:rsidRPr="008A0812" w:rsidRDefault="009C2DB4" w:rsidP="009C2DB4">
            <w:pPr>
              <w:rPr>
                <w:rFonts w:ascii="Segoe UI" w:hAnsi="Segoe UI" w:cs="Segoe UI"/>
                <w:sz w:val="18"/>
                <w:szCs w:val="18"/>
              </w:rPr>
            </w:pPr>
            <w:r w:rsidRPr="008A0812">
              <w:t>RAS Recycle: 25%</w:t>
            </w:r>
            <w:r w:rsidR="0031230D" w:rsidRPr="008A0812">
              <w:t xml:space="preserve"> </w:t>
            </w:r>
            <w:r w:rsidRPr="008A0812">
              <w:t>-</w:t>
            </w:r>
            <w:r w:rsidR="0031230D" w:rsidRPr="008A0812">
              <w:t xml:space="preserve"> </w:t>
            </w:r>
            <w:r w:rsidRPr="008A0812">
              <w:t>80%</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68A4225" w14:textId="3497CE52" w:rsidR="009C2DB4" w:rsidRPr="008A0812" w:rsidRDefault="009C2DB4" w:rsidP="00083148">
            <w:pPr>
              <w:overflowPunct/>
              <w:autoSpaceDE/>
              <w:autoSpaceDN/>
              <w:adjustRightInd/>
              <w:rPr>
                <w:rFonts w:ascii="Segoe UI" w:hAnsi="Segoe UI" w:cs="Segoe UI"/>
                <w:sz w:val="18"/>
                <w:szCs w:val="18"/>
              </w:rPr>
            </w:pPr>
            <w:r w:rsidRPr="008A0812">
              <w:rPr>
                <w:rFonts w:cs="Segoe UI"/>
              </w:rPr>
              <w:t>15 mgd</w:t>
            </w:r>
          </w:p>
        </w:tc>
      </w:tr>
      <w:tr w:rsidR="009C2DB4" w:rsidRPr="008A0812" w14:paraId="0530356D" w14:textId="77777777" w:rsidTr="009C2DB4">
        <w:trPr>
          <w:trHeight w:val="3027"/>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65EC9711" w14:textId="59E55B00" w:rsidR="009C2DB4" w:rsidRPr="008A0812" w:rsidRDefault="009C2DB4" w:rsidP="009C2DB4">
            <w:pPr>
              <w:overflowPunct/>
              <w:autoSpaceDE/>
              <w:autoSpaceDN/>
              <w:adjustRightInd/>
            </w:pPr>
            <w:r w:rsidRPr="008A0812">
              <w:t>Unit 2 Secondary Clarifiers</w:t>
            </w:r>
          </w:p>
          <w:p w14:paraId="08F48087" w14:textId="4EE10742" w:rsidR="009C2DB4" w:rsidRPr="008A0812" w:rsidRDefault="009C2DB4" w:rsidP="009C2DB4">
            <w:pPr>
              <w:overflowPunct/>
              <w:autoSpaceDE/>
              <w:autoSpaceDN/>
              <w:adjustRightInd/>
              <w:rPr>
                <w:rFonts w:ascii="Segoe UI" w:hAnsi="Segoe UI" w:cs="Segoe UI"/>
                <w:sz w:val="18"/>
                <w:szCs w:val="18"/>
              </w:rPr>
            </w:pPr>
            <w:r w:rsidRPr="008A0812">
              <w:t>Unit 2 North and Unit 2 South</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16CB2756" w14:textId="29E05D46" w:rsidR="009C2DB4" w:rsidRPr="008A0812" w:rsidRDefault="009C2DB4" w:rsidP="009C2DB4">
            <w:pPr>
              <w:overflowPunct/>
              <w:autoSpaceDE/>
              <w:autoSpaceDN/>
              <w:adjustRightInd/>
            </w:pPr>
            <w:r w:rsidRPr="008A0812">
              <w:t>Quantity: 2</w:t>
            </w:r>
          </w:p>
          <w:p w14:paraId="3E6F39B3" w14:textId="1F67084B" w:rsidR="009C2DB4" w:rsidRPr="008A0812" w:rsidRDefault="009C2DB4" w:rsidP="009C2DB4">
            <w:pPr>
              <w:overflowPunct/>
              <w:autoSpaceDE/>
              <w:autoSpaceDN/>
              <w:adjustRightInd/>
            </w:pPr>
            <w:r w:rsidRPr="008A0812">
              <w:t>Diameter: 125 ft</w:t>
            </w:r>
          </w:p>
          <w:p w14:paraId="18BF9DEF" w14:textId="4EB5F21F" w:rsidR="009C2DB4" w:rsidRPr="008A0812" w:rsidRDefault="009C2DB4" w:rsidP="009C2DB4">
            <w:pPr>
              <w:overflowPunct/>
              <w:autoSpaceDE/>
              <w:autoSpaceDN/>
              <w:adjustRightInd/>
            </w:pPr>
            <w:r w:rsidRPr="008A0812">
              <w:t xml:space="preserve">Side </w:t>
            </w:r>
            <w:r w:rsidR="0031230D" w:rsidRPr="008A0812">
              <w:t>W</w:t>
            </w:r>
            <w:r w:rsidRPr="008A0812">
              <w:t xml:space="preserve">ater </w:t>
            </w:r>
            <w:r w:rsidR="0031230D" w:rsidRPr="008A0812">
              <w:t>D</w:t>
            </w:r>
            <w:r w:rsidRPr="008A0812">
              <w:t>epth: 12 ft</w:t>
            </w:r>
          </w:p>
          <w:p w14:paraId="41D7DD0D" w14:textId="3516770A" w:rsidR="009C2DB4" w:rsidRPr="008A0812" w:rsidRDefault="009C2DB4" w:rsidP="009C2DB4">
            <w:pPr>
              <w:overflowPunct/>
              <w:autoSpaceDE/>
              <w:autoSpaceDN/>
              <w:adjustRightInd/>
            </w:pPr>
            <w:r w:rsidRPr="008A0812">
              <w:t>Area: 12,250 ft</w:t>
            </w:r>
            <w:r w:rsidRPr="008A0812">
              <w:rPr>
                <w:vertAlign w:val="superscript"/>
              </w:rPr>
              <w:t>2</w:t>
            </w:r>
            <w:r w:rsidRPr="008A0812">
              <w:t xml:space="preserve"> </w:t>
            </w:r>
          </w:p>
          <w:p w14:paraId="380E6352" w14:textId="39E18410" w:rsidR="009C2DB4" w:rsidRPr="008A0812" w:rsidRDefault="009C2DB4" w:rsidP="009C2DB4">
            <w:pPr>
              <w:overflowPunct/>
              <w:autoSpaceDE/>
              <w:autoSpaceDN/>
              <w:adjustRightInd/>
            </w:pPr>
            <w:r w:rsidRPr="008A0812">
              <w:t>Volume (ea</w:t>
            </w:r>
            <w:r w:rsidR="00E75F94" w:rsidRPr="008A0812">
              <w:t>ch</w:t>
            </w:r>
            <w:r w:rsidRPr="008A0812">
              <w:t>): 1,260,350 gallons</w:t>
            </w:r>
          </w:p>
          <w:p w14:paraId="5FEFDD37" w14:textId="1B9433F4" w:rsidR="00E75F94" w:rsidRPr="008A0812" w:rsidRDefault="009C2DB4" w:rsidP="009C2DB4">
            <w:pPr>
              <w:overflowPunct/>
              <w:autoSpaceDE/>
              <w:autoSpaceDN/>
              <w:adjustRightInd/>
              <w:rPr>
                <w:u w:val="single"/>
              </w:rPr>
            </w:pPr>
            <w:r w:rsidRPr="008A0812">
              <w:rPr>
                <w:u w:val="single"/>
              </w:rPr>
              <w:t>Surface Overloading Rate (ea</w:t>
            </w:r>
            <w:r w:rsidR="00E75F94" w:rsidRPr="008A0812">
              <w:rPr>
                <w:u w:val="single"/>
              </w:rPr>
              <w:t>ch</w:t>
            </w:r>
            <w:r w:rsidRPr="008A0812">
              <w:rPr>
                <w:u w:val="single"/>
              </w:rPr>
              <w:t>)</w:t>
            </w:r>
            <w:r w:rsidR="00E75F94" w:rsidRPr="008A0812">
              <w:t>:</w:t>
            </w:r>
          </w:p>
          <w:p w14:paraId="61414F81" w14:textId="1F99DED3" w:rsidR="00E75F94" w:rsidRPr="008A0812" w:rsidRDefault="009C2DB4" w:rsidP="009C2DB4">
            <w:pPr>
              <w:overflowPunct/>
              <w:autoSpaceDE/>
              <w:autoSpaceDN/>
              <w:adjustRightInd/>
            </w:pPr>
            <w:r w:rsidRPr="008A0812">
              <w:t>610 gpd/sq</w:t>
            </w:r>
            <w:r w:rsidR="00E75F94" w:rsidRPr="008A0812">
              <w:t>.</w:t>
            </w:r>
            <w:r w:rsidRPr="008A0812">
              <w:t xml:space="preserve"> ft</w:t>
            </w:r>
            <w:r w:rsidR="00E75F94" w:rsidRPr="008A0812">
              <w:t>.</w:t>
            </w:r>
            <w:r w:rsidRPr="008A0812">
              <w:t xml:space="preserve"> (average) </w:t>
            </w:r>
          </w:p>
          <w:p w14:paraId="42B67782" w14:textId="6D060D8E" w:rsidR="00E75F94" w:rsidRPr="008A0812" w:rsidRDefault="009C2DB4" w:rsidP="009C2DB4">
            <w:pPr>
              <w:overflowPunct/>
              <w:autoSpaceDE/>
              <w:autoSpaceDN/>
              <w:adjustRightInd/>
            </w:pPr>
            <w:r w:rsidRPr="008A0812">
              <w:t>978 gpd/sq</w:t>
            </w:r>
            <w:r w:rsidR="00E75F94" w:rsidRPr="008A0812">
              <w:t>.</w:t>
            </w:r>
            <w:r w:rsidRPr="008A0812">
              <w:t xml:space="preserve"> ft</w:t>
            </w:r>
            <w:r w:rsidR="00E75F94" w:rsidRPr="008A0812">
              <w:t>.</w:t>
            </w:r>
            <w:r w:rsidRPr="008A0812">
              <w:t xml:space="preserve"> (peak) </w:t>
            </w:r>
          </w:p>
          <w:p w14:paraId="23E95E12" w14:textId="1C42F6AD" w:rsidR="00E75F94" w:rsidRPr="008A0812" w:rsidRDefault="009C2DB4" w:rsidP="009C2DB4">
            <w:pPr>
              <w:overflowPunct/>
              <w:autoSpaceDE/>
              <w:autoSpaceDN/>
              <w:adjustRightInd/>
              <w:rPr>
                <w:u w:val="single"/>
              </w:rPr>
            </w:pPr>
            <w:r w:rsidRPr="008A0812">
              <w:rPr>
                <w:u w:val="single"/>
              </w:rPr>
              <w:t>Solids Loading (ea</w:t>
            </w:r>
            <w:r w:rsidR="00E75F94" w:rsidRPr="008A0812">
              <w:rPr>
                <w:u w:val="single"/>
              </w:rPr>
              <w:t>ch</w:t>
            </w:r>
            <w:r w:rsidRPr="008A0812">
              <w:rPr>
                <w:u w:val="single"/>
              </w:rPr>
              <w:t>)</w:t>
            </w:r>
            <w:r w:rsidRPr="008A0812">
              <w:t xml:space="preserve">: </w:t>
            </w:r>
          </w:p>
          <w:p w14:paraId="5C7D8CAB" w14:textId="4FFE0883" w:rsidR="00E75F94" w:rsidRPr="008A0812" w:rsidRDefault="009C2DB4" w:rsidP="009C2DB4">
            <w:pPr>
              <w:overflowPunct/>
              <w:autoSpaceDE/>
              <w:autoSpaceDN/>
              <w:adjustRightInd/>
            </w:pPr>
            <w:r w:rsidRPr="008A0812">
              <w:t>51.0 lbs</w:t>
            </w:r>
            <w:r w:rsidR="00E75F94" w:rsidRPr="008A0812">
              <w:t>.</w:t>
            </w:r>
            <w:r w:rsidRPr="008A0812">
              <w:t>/day/sq</w:t>
            </w:r>
            <w:r w:rsidR="00E75F94" w:rsidRPr="008A0812">
              <w:t>.</w:t>
            </w:r>
            <w:r w:rsidRPr="008A0812">
              <w:t xml:space="preserve"> ft</w:t>
            </w:r>
            <w:r w:rsidR="00E75F94" w:rsidRPr="008A0812">
              <w:t>.</w:t>
            </w:r>
            <w:r w:rsidRPr="008A0812">
              <w:t xml:space="preserve"> (average) </w:t>
            </w:r>
          </w:p>
          <w:p w14:paraId="738EB353" w14:textId="5F99763C" w:rsidR="00E75F94" w:rsidRPr="008A0812" w:rsidRDefault="009C2DB4" w:rsidP="009C2DB4">
            <w:pPr>
              <w:overflowPunct/>
              <w:autoSpaceDE/>
              <w:autoSpaceDN/>
              <w:adjustRightInd/>
            </w:pPr>
            <w:r w:rsidRPr="008A0812">
              <w:t>81.6 lbs</w:t>
            </w:r>
            <w:r w:rsidR="00E75F94" w:rsidRPr="008A0812">
              <w:t>.</w:t>
            </w:r>
            <w:r w:rsidRPr="008A0812">
              <w:t>/day/sq</w:t>
            </w:r>
            <w:r w:rsidR="00E75F94" w:rsidRPr="008A0812">
              <w:t>.</w:t>
            </w:r>
            <w:r w:rsidRPr="008A0812">
              <w:t xml:space="preserve"> ft</w:t>
            </w:r>
            <w:r w:rsidR="00E75F94" w:rsidRPr="008A0812">
              <w:t>.</w:t>
            </w:r>
            <w:r w:rsidRPr="008A0812">
              <w:t xml:space="preserve"> (peak) </w:t>
            </w:r>
          </w:p>
          <w:p w14:paraId="5CF8A67E" w14:textId="1D59C42D" w:rsidR="00E75F94" w:rsidRPr="008A0812" w:rsidRDefault="009C2DB4" w:rsidP="009C2DB4">
            <w:pPr>
              <w:overflowPunct/>
              <w:autoSpaceDE/>
              <w:autoSpaceDN/>
              <w:adjustRightInd/>
            </w:pPr>
            <w:r w:rsidRPr="008A0812">
              <w:rPr>
                <w:u w:val="single"/>
              </w:rPr>
              <w:t>Detention Time at Average</w:t>
            </w:r>
            <w:r w:rsidRPr="008A0812">
              <w:t xml:space="preserve">: 4.0 hours </w:t>
            </w:r>
          </w:p>
          <w:p w14:paraId="5B4051A0" w14:textId="17C7A6CD" w:rsidR="009C2DB4" w:rsidRPr="008A0812" w:rsidRDefault="009C2DB4" w:rsidP="009C2DB4">
            <w:pPr>
              <w:overflowPunct/>
              <w:autoSpaceDE/>
              <w:autoSpaceDN/>
              <w:adjustRightInd/>
              <w:rPr>
                <w:rFonts w:ascii="Segoe UI" w:hAnsi="Segoe UI" w:cs="Segoe UI"/>
                <w:sz w:val="18"/>
                <w:szCs w:val="18"/>
              </w:rPr>
            </w:pPr>
            <w:r w:rsidRPr="008A0812">
              <w:t>RAS Recycle: 25%-80%</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2A103E2F" w14:textId="201584C2" w:rsidR="00E75F94" w:rsidRPr="008A0812" w:rsidRDefault="00E75F94" w:rsidP="0031230D">
            <w:pPr>
              <w:overflowPunct/>
              <w:autoSpaceDE/>
              <w:autoSpaceDN/>
              <w:adjustRightInd/>
            </w:pPr>
            <w:r w:rsidRPr="008A0812">
              <w:t xml:space="preserve">Each 11.9 </w:t>
            </w:r>
            <w:r w:rsidR="0031230D" w:rsidRPr="008A0812">
              <w:t>mgd</w:t>
            </w:r>
          </w:p>
          <w:p w14:paraId="2A0DB899" w14:textId="77777777" w:rsidR="00E75F94" w:rsidRPr="008A0812" w:rsidRDefault="00E75F94" w:rsidP="0031230D">
            <w:pPr>
              <w:overflowPunct/>
              <w:autoSpaceDE/>
              <w:autoSpaceDN/>
              <w:adjustRightInd/>
              <w:rPr>
                <w:i/>
                <w:iCs/>
              </w:rPr>
            </w:pPr>
            <w:r w:rsidRPr="008A0812">
              <w:rPr>
                <w:i/>
                <w:iCs/>
              </w:rPr>
              <w:t>(based on SOR Peak)</w:t>
            </w:r>
          </w:p>
          <w:p w14:paraId="3191E2F2" w14:textId="77777777" w:rsidR="00E75F94" w:rsidRPr="008A0812" w:rsidRDefault="00E75F94" w:rsidP="0031230D">
            <w:pPr>
              <w:overflowPunct/>
              <w:autoSpaceDE/>
              <w:autoSpaceDN/>
              <w:adjustRightInd/>
            </w:pPr>
          </w:p>
          <w:p w14:paraId="026647CA" w14:textId="77777777" w:rsidR="00E75F94" w:rsidRPr="008A0812" w:rsidRDefault="00E75F94" w:rsidP="0031230D">
            <w:pPr>
              <w:overflowPunct/>
              <w:autoSpaceDE/>
              <w:autoSpaceDN/>
              <w:adjustRightInd/>
            </w:pPr>
          </w:p>
          <w:p w14:paraId="3AE7C2DA" w14:textId="77777777" w:rsidR="00E75F94" w:rsidRPr="008A0812" w:rsidRDefault="00E75F94" w:rsidP="0031230D">
            <w:pPr>
              <w:overflowPunct/>
              <w:autoSpaceDE/>
              <w:autoSpaceDN/>
              <w:adjustRightInd/>
            </w:pPr>
          </w:p>
          <w:p w14:paraId="1EF876B4" w14:textId="77777777" w:rsidR="00E75F94" w:rsidRPr="008A0812" w:rsidRDefault="00E75F94" w:rsidP="0031230D">
            <w:pPr>
              <w:overflowPunct/>
              <w:autoSpaceDE/>
              <w:autoSpaceDN/>
              <w:adjustRightInd/>
            </w:pPr>
            <w:r w:rsidRPr="008A0812">
              <w:t>Total Capacity for Unit 2:</w:t>
            </w:r>
          </w:p>
          <w:p w14:paraId="0042291F" w14:textId="5DFFB2F1" w:rsidR="009C2DB4" w:rsidRPr="008A0812" w:rsidRDefault="00E75F94" w:rsidP="0031230D">
            <w:pPr>
              <w:overflowPunct/>
              <w:autoSpaceDE/>
              <w:autoSpaceDN/>
              <w:adjustRightInd/>
              <w:rPr>
                <w:rFonts w:ascii="Segoe UI" w:hAnsi="Segoe UI" w:cs="Segoe UI"/>
                <w:sz w:val="18"/>
                <w:szCs w:val="18"/>
              </w:rPr>
            </w:pPr>
            <w:r w:rsidRPr="008A0812">
              <w:t xml:space="preserve">23.8 </w:t>
            </w:r>
            <w:r w:rsidR="0031230D" w:rsidRPr="008A0812">
              <w:t>mgd</w:t>
            </w:r>
          </w:p>
        </w:tc>
      </w:tr>
    </w:tbl>
    <w:p w14:paraId="4641F30C" w14:textId="0F2BEA43" w:rsidR="00833F73" w:rsidRPr="008A0812" w:rsidRDefault="00E75F94" w:rsidP="00833F73">
      <w:pPr>
        <w:pStyle w:val="BodyText"/>
      </w:pPr>
      <w:r w:rsidRPr="008A0812">
        <w:t xml:space="preserve">The secondary aeration system consists of fine-bubble membrane diffusers and </w:t>
      </w:r>
      <w:r w:rsidR="0007485D" w:rsidRPr="008A0812">
        <w:t xml:space="preserve">four </w:t>
      </w:r>
      <w:r w:rsidRPr="008A0812">
        <w:t xml:space="preserve">blowers </w:t>
      </w:r>
      <w:r w:rsidR="00EB0F7D" w:rsidRPr="008A0812">
        <w:t>currently</w:t>
      </w:r>
      <w:r w:rsidRPr="008A0812">
        <w:t xml:space="preserve"> </w:t>
      </w:r>
      <w:r w:rsidR="004E316D" w:rsidRPr="008A0812">
        <w:t xml:space="preserve">located </w:t>
      </w:r>
      <w:r w:rsidRPr="008A0812">
        <w:t xml:space="preserve">in the Roots Blower Building </w:t>
      </w:r>
      <w:r w:rsidR="003A11DC" w:rsidRPr="008A0812">
        <w:t>(</w:t>
      </w:r>
      <w:r w:rsidRPr="008A0812">
        <w:t>north side of secondary clarifier 2N</w:t>
      </w:r>
      <w:r w:rsidR="00F642D5" w:rsidRPr="008A0812">
        <w:t>)</w:t>
      </w:r>
      <w:r w:rsidRPr="008A0812">
        <w:t xml:space="preserve">. Each aerated zone air piping header has a flow meter and </w:t>
      </w:r>
      <w:r w:rsidR="002D5056" w:rsidRPr="008A0812">
        <w:t>butterfly</w:t>
      </w:r>
      <w:r w:rsidRPr="008A0812">
        <w:t xml:space="preserve"> valve. Some of the installed diffusers and headers have been blanked to </w:t>
      </w:r>
      <w:r w:rsidR="0057044F" w:rsidRPr="008A0812">
        <w:t>allow for additional diffusers to be installed in the future as required</w:t>
      </w:r>
      <w:r w:rsidRPr="008A0812">
        <w:t xml:space="preserve">. Secondary aeration system capacities are summarized in </w:t>
      </w:r>
      <w:r w:rsidR="00AA2FB4" w:rsidRPr="008A0812">
        <w:fldChar w:fldCharType="begin"/>
      </w:r>
      <w:r w:rsidR="00AA2FB4" w:rsidRPr="008A0812">
        <w:instrText xml:space="preserve"> REF _Ref36214257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9</w:t>
      </w:r>
      <w:r w:rsidR="00AA2FB4" w:rsidRPr="008A0812">
        <w:fldChar w:fldCharType="end"/>
      </w:r>
      <w:r w:rsidRPr="008A0812">
        <w:t>.</w:t>
      </w:r>
    </w:p>
    <w:p w14:paraId="73BA0E69" w14:textId="43D3042D" w:rsidR="00E75F94" w:rsidRPr="008A0812" w:rsidRDefault="00AA2FB4" w:rsidP="00AA2FB4">
      <w:pPr>
        <w:pStyle w:val="Caption"/>
        <w:spacing w:before="200" w:after="120"/>
      </w:pPr>
      <w:bookmarkStart w:id="66" w:name="_Ref36214257"/>
      <w:bookmarkStart w:id="67" w:name="_Toc41684729"/>
      <w:bookmarkStart w:id="68" w:name="_Hlk20126453"/>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66"/>
      <w:r w:rsidRPr="008A0812">
        <w:t xml:space="preserve">: </w:t>
      </w:r>
      <w:r w:rsidR="00E75F94" w:rsidRPr="008A0812">
        <w:t>Secondary Aeration System Design Information</w:t>
      </w:r>
      <w:bookmarkEnd w:id="67"/>
      <w:r w:rsidR="00E75F94"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E75F94" w:rsidRPr="008A0812" w14:paraId="2719490A"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bookmarkEnd w:id="68"/>
          <w:p w14:paraId="539C4A7C" w14:textId="5626F408" w:rsidR="00E75F94" w:rsidRPr="008A0812" w:rsidRDefault="00E75F94" w:rsidP="0031230D">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2DE24965" w14:textId="1713300C" w:rsidR="00E75F94" w:rsidRPr="008A0812" w:rsidRDefault="00E75F94" w:rsidP="0031230D">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5D267311" w14:textId="77777777" w:rsidR="00E75F94" w:rsidRPr="008A0812" w:rsidRDefault="00E75F94" w:rsidP="005A4735">
            <w:pPr>
              <w:overflowPunct/>
              <w:autoSpaceDE/>
              <w:autoSpaceDN/>
              <w:adjustRightInd/>
              <w:jc w:val="center"/>
              <w:rPr>
                <w:rFonts w:ascii="Segoe UI" w:hAnsi="Segoe UI" w:cs="Segoe UI"/>
                <w:sz w:val="18"/>
                <w:szCs w:val="18"/>
              </w:rPr>
            </w:pPr>
            <w:r w:rsidRPr="008A0812">
              <w:rPr>
                <w:rFonts w:cs="Segoe UI"/>
                <w:b/>
                <w:bCs/>
              </w:rPr>
              <w:t>Design Flow</w:t>
            </w:r>
          </w:p>
        </w:tc>
      </w:tr>
      <w:tr w:rsidR="00E75F94" w:rsidRPr="008A0812" w14:paraId="3B17335D" w14:textId="77777777" w:rsidTr="00083148">
        <w:trPr>
          <w:trHeight w:val="28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63AF8C1F" w14:textId="2CAE58FD" w:rsidR="00E75F94" w:rsidRPr="008A0812" w:rsidRDefault="00E75F94" w:rsidP="00E75F94">
            <w:pPr>
              <w:overflowPunct/>
              <w:autoSpaceDE/>
              <w:autoSpaceDN/>
              <w:adjustRightInd/>
              <w:rPr>
                <w:rFonts w:ascii="Segoe UI" w:hAnsi="Segoe UI" w:cs="Segoe UI"/>
                <w:sz w:val="18"/>
                <w:szCs w:val="18"/>
              </w:rPr>
            </w:pPr>
            <w:r w:rsidRPr="008A0812">
              <w:rPr>
                <w:rFonts w:cs="Segoe UI"/>
              </w:rPr>
              <w:t>Blower System</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71532A5B" w14:textId="77483EDD" w:rsidR="00E75F94" w:rsidRPr="008A0812" w:rsidRDefault="00E75F94" w:rsidP="00083148">
            <w:pPr>
              <w:rPr>
                <w:u w:val="single"/>
              </w:rPr>
            </w:pPr>
            <w:r w:rsidRPr="008A0812">
              <w:rPr>
                <w:u w:val="single"/>
              </w:rPr>
              <w:t>Internal Combustion Engine (ICE)</w:t>
            </w:r>
          </w:p>
          <w:p w14:paraId="6F11E86D" w14:textId="29A0894A" w:rsidR="00E75F94" w:rsidRPr="008A0812" w:rsidRDefault="00E75F94" w:rsidP="00083148">
            <w:r w:rsidRPr="008A0812">
              <w:t xml:space="preserve">Quantity: 2 </w:t>
            </w:r>
          </w:p>
          <w:p w14:paraId="0240930A" w14:textId="0EBFB008" w:rsidR="008B280D" w:rsidRPr="008A0812" w:rsidRDefault="00E75F94" w:rsidP="00083148">
            <w:r w:rsidRPr="008A0812">
              <w:t xml:space="preserve">Type: Rotary Lobe Displacement, </w:t>
            </w:r>
          </w:p>
          <w:p w14:paraId="1DC43045" w14:textId="7CA7D547" w:rsidR="00E75F94" w:rsidRPr="008A0812" w:rsidRDefault="008B280D" w:rsidP="00083148">
            <w:r w:rsidRPr="008A0812">
              <w:t>E</w:t>
            </w:r>
            <w:r w:rsidR="00E75F94" w:rsidRPr="008A0812">
              <w:t>ngine</w:t>
            </w:r>
            <w:r w:rsidRPr="008A0812">
              <w:t>-</w:t>
            </w:r>
            <w:r w:rsidR="005A4735" w:rsidRPr="008A0812">
              <w:t>d</w:t>
            </w:r>
            <w:r w:rsidR="00E75F94" w:rsidRPr="008A0812">
              <w:t xml:space="preserve">riven </w:t>
            </w:r>
          </w:p>
          <w:p w14:paraId="65D1C884" w14:textId="6DEFF875" w:rsidR="00E75F94" w:rsidRPr="008A0812" w:rsidRDefault="00E75F94" w:rsidP="00083148">
            <w:r w:rsidRPr="008A0812">
              <w:t>Horsepower: 750 hp</w:t>
            </w:r>
          </w:p>
          <w:p w14:paraId="5DFB20D9" w14:textId="77777777" w:rsidR="00E75F94" w:rsidRPr="008A0812" w:rsidRDefault="00E75F94" w:rsidP="00083148"/>
          <w:p w14:paraId="4A671B5E" w14:textId="5EB780E0" w:rsidR="00E75F94" w:rsidRPr="008A0812" w:rsidRDefault="00E75F94" w:rsidP="00083148">
            <w:pPr>
              <w:rPr>
                <w:u w:val="single"/>
              </w:rPr>
            </w:pPr>
            <w:r w:rsidRPr="008A0812">
              <w:rPr>
                <w:u w:val="single"/>
              </w:rPr>
              <w:t>Electric Powered Blowers</w:t>
            </w:r>
          </w:p>
          <w:p w14:paraId="22DFDB81" w14:textId="40D8098F" w:rsidR="00E75F94" w:rsidRPr="008A0812" w:rsidRDefault="00E75F94" w:rsidP="00083148">
            <w:r w:rsidRPr="008A0812">
              <w:t xml:space="preserve">Quantity: 2 </w:t>
            </w:r>
          </w:p>
          <w:p w14:paraId="43F32A3A" w14:textId="3AF39A47" w:rsidR="00E75F94" w:rsidRPr="008A0812" w:rsidRDefault="00E75F94" w:rsidP="00083148">
            <w:r w:rsidRPr="008A0812">
              <w:t xml:space="preserve">Type: </w:t>
            </w:r>
            <w:r w:rsidR="00020E00" w:rsidRPr="008A0812">
              <w:t>Rotary Lobe Displacement</w:t>
            </w:r>
          </w:p>
          <w:p w14:paraId="47C837F1" w14:textId="2E725BC7" w:rsidR="00E75F94" w:rsidRPr="008A0812" w:rsidRDefault="00E75F94" w:rsidP="00083148">
            <w:r w:rsidRPr="008A0812">
              <w:t xml:space="preserve">Capacity:16,400 scfm (each) </w:t>
            </w:r>
          </w:p>
          <w:p w14:paraId="6B66B577" w14:textId="79E34031" w:rsidR="00E75F94" w:rsidRPr="008A0812" w:rsidRDefault="00E75F94" w:rsidP="00083148">
            <w:pPr>
              <w:rPr>
                <w:rFonts w:ascii="Segoe UI" w:hAnsi="Segoe UI" w:cs="Segoe UI"/>
                <w:sz w:val="18"/>
                <w:szCs w:val="18"/>
              </w:rPr>
            </w:pPr>
            <w:r w:rsidRPr="008A0812">
              <w:t>Horsepower: 750</w:t>
            </w:r>
            <w:r w:rsidR="005A4735" w:rsidRPr="008A0812">
              <w:t xml:space="preserve"> </w:t>
            </w:r>
            <w:r w:rsidRPr="008A0812">
              <w:t>hp</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BFE0C7F" w14:textId="238939CC" w:rsidR="008B280D" w:rsidRPr="008A0812" w:rsidRDefault="008B280D" w:rsidP="0031230D">
            <w:pPr>
              <w:overflowPunct/>
              <w:autoSpaceDE/>
              <w:autoSpaceDN/>
              <w:adjustRightInd/>
              <w:rPr>
                <w:rFonts w:cs="Segoe UI"/>
              </w:rPr>
            </w:pPr>
            <w:r w:rsidRPr="008A0812">
              <w:rPr>
                <w:rFonts w:cs="Segoe UI"/>
              </w:rPr>
              <w:t>Capacity:16,400 scfm (each)</w:t>
            </w:r>
          </w:p>
          <w:p w14:paraId="523A2D6C" w14:textId="77777777" w:rsidR="008B280D" w:rsidRPr="008A0812" w:rsidRDefault="008B280D" w:rsidP="0031230D">
            <w:pPr>
              <w:overflowPunct/>
              <w:autoSpaceDE/>
              <w:autoSpaceDN/>
              <w:adjustRightInd/>
              <w:rPr>
                <w:rFonts w:cs="Segoe UI"/>
              </w:rPr>
            </w:pPr>
            <w:r w:rsidRPr="008A0812">
              <w:rPr>
                <w:rFonts w:cs="Segoe UI"/>
              </w:rPr>
              <w:t>32,800 scfm (total)</w:t>
            </w:r>
          </w:p>
          <w:p w14:paraId="5DD1D6CB" w14:textId="77777777" w:rsidR="008B280D" w:rsidRPr="008A0812" w:rsidRDefault="008B280D" w:rsidP="0031230D">
            <w:pPr>
              <w:overflowPunct/>
              <w:autoSpaceDE/>
              <w:autoSpaceDN/>
              <w:adjustRightInd/>
              <w:rPr>
                <w:rFonts w:cs="Segoe UI"/>
              </w:rPr>
            </w:pPr>
          </w:p>
          <w:p w14:paraId="249EE5C1" w14:textId="77777777" w:rsidR="008B280D" w:rsidRPr="008A0812" w:rsidRDefault="008B280D" w:rsidP="0031230D">
            <w:pPr>
              <w:overflowPunct/>
              <w:autoSpaceDE/>
              <w:autoSpaceDN/>
              <w:adjustRightInd/>
              <w:rPr>
                <w:rFonts w:cs="Segoe UI"/>
              </w:rPr>
            </w:pPr>
          </w:p>
          <w:p w14:paraId="1278397A" w14:textId="77777777" w:rsidR="008B280D" w:rsidRPr="008A0812" w:rsidRDefault="008B280D" w:rsidP="0031230D">
            <w:pPr>
              <w:overflowPunct/>
              <w:autoSpaceDE/>
              <w:autoSpaceDN/>
              <w:adjustRightInd/>
              <w:rPr>
                <w:rFonts w:cs="Segoe UI"/>
              </w:rPr>
            </w:pPr>
          </w:p>
          <w:p w14:paraId="5ADA34BE" w14:textId="77777777" w:rsidR="008B280D" w:rsidRPr="008A0812" w:rsidRDefault="008B280D" w:rsidP="0031230D">
            <w:pPr>
              <w:overflowPunct/>
              <w:autoSpaceDE/>
              <w:autoSpaceDN/>
              <w:adjustRightInd/>
              <w:rPr>
                <w:rFonts w:cs="Segoe UI"/>
              </w:rPr>
            </w:pPr>
          </w:p>
          <w:p w14:paraId="390AA95C" w14:textId="77777777" w:rsidR="00DE02EC" w:rsidRPr="008A0812" w:rsidRDefault="00DE02EC" w:rsidP="00DE02EC">
            <w:pPr>
              <w:overflowPunct/>
              <w:autoSpaceDE/>
              <w:autoSpaceDN/>
              <w:adjustRightInd/>
              <w:rPr>
                <w:rFonts w:cs="Segoe UI"/>
              </w:rPr>
            </w:pPr>
            <w:r w:rsidRPr="008A0812">
              <w:rPr>
                <w:rFonts w:cs="Segoe UI"/>
              </w:rPr>
              <w:t>Capacity:16,400 scfm (each)</w:t>
            </w:r>
          </w:p>
          <w:p w14:paraId="5E4C95AF" w14:textId="7F9EBDB6" w:rsidR="00E75F94" w:rsidRPr="008A0812" w:rsidRDefault="008B280D" w:rsidP="0031230D">
            <w:pPr>
              <w:overflowPunct/>
              <w:autoSpaceDE/>
              <w:autoSpaceDN/>
              <w:adjustRightInd/>
              <w:rPr>
                <w:rFonts w:ascii="Segoe UI" w:hAnsi="Segoe UI" w:cs="Segoe UI"/>
                <w:sz w:val="18"/>
                <w:szCs w:val="18"/>
              </w:rPr>
            </w:pPr>
            <w:r w:rsidRPr="008A0812">
              <w:rPr>
                <w:rFonts w:cs="Segoe UI"/>
              </w:rPr>
              <w:t>32,800 scfm</w:t>
            </w:r>
            <w:r w:rsidR="00DE02EC" w:rsidRPr="008A0812">
              <w:rPr>
                <w:rFonts w:cs="Segoe UI"/>
              </w:rPr>
              <w:t xml:space="preserve"> (total)</w:t>
            </w:r>
          </w:p>
        </w:tc>
      </w:tr>
      <w:tr w:rsidR="00E75F94" w:rsidRPr="008A0812" w14:paraId="2110209F" w14:textId="77777777" w:rsidTr="008B280D">
        <w:trPr>
          <w:trHeight w:val="2298"/>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01FB2BA3" w14:textId="3798AD97" w:rsidR="00E75F94" w:rsidRPr="008A0812" w:rsidRDefault="00E75F94" w:rsidP="00E75F94">
            <w:pPr>
              <w:overflowPunct/>
              <w:autoSpaceDE/>
              <w:autoSpaceDN/>
              <w:adjustRightInd/>
              <w:rPr>
                <w:rFonts w:ascii="Segoe UI" w:hAnsi="Segoe UI" w:cs="Segoe UI"/>
                <w:sz w:val="18"/>
                <w:szCs w:val="18"/>
              </w:rPr>
            </w:pPr>
            <w:r w:rsidRPr="008A0812">
              <w:t>Aeration System</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0CF4B94F" w14:textId="1E229E26" w:rsidR="008B280D" w:rsidRPr="008A0812" w:rsidRDefault="008B280D" w:rsidP="00083148">
            <w:pPr>
              <w:overflowPunct/>
              <w:autoSpaceDE/>
              <w:autoSpaceDN/>
              <w:adjustRightInd/>
              <w:rPr>
                <w:u w:val="single"/>
              </w:rPr>
            </w:pPr>
            <w:r w:rsidRPr="008A0812">
              <w:rPr>
                <w:u w:val="single"/>
              </w:rPr>
              <w:t>Unit 1</w:t>
            </w:r>
          </w:p>
          <w:p w14:paraId="75008C5D" w14:textId="2AFA925E" w:rsidR="008B280D" w:rsidRPr="008A0812" w:rsidRDefault="008B280D" w:rsidP="00083148">
            <w:pPr>
              <w:overflowPunct/>
              <w:autoSpaceDE/>
              <w:autoSpaceDN/>
              <w:adjustRightInd/>
            </w:pPr>
            <w:r w:rsidRPr="008A0812">
              <w:t>Type: Fine</w:t>
            </w:r>
            <w:r w:rsidR="005A4735" w:rsidRPr="008A0812">
              <w:t>-</w:t>
            </w:r>
            <w:r w:rsidRPr="008A0812">
              <w:t xml:space="preserve">bubble </w:t>
            </w:r>
            <w:r w:rsidR="005A4735" w:rsidRPr="008A0812">
              <w:t>M</w:t>
            </w:r>
            <w:r w:rsidRPr="008A0812">
              <w:t xml:space="preserve">embrane </w:t>
            </w:r>
            <w:r w:rsidR="005A4735" w:rsidRPr="008A0812">
              <w:t>D</w:t>
            </w:r>
            <w:r w:rsidRPr="008A0812">
              <w:t>isc</w:t>
            </w:r>
          </w:p>
          <w:p w14:paraId="2C7EB7D0" w14:textId="45D289F2" w:rsidR="008B280D" w:rsidRPr="008A0812" w:rsidRDefault="008B280D" w:rsidP="00083148">
            <w:pPr>
              <w:overflowPunct/>
              <w:autoSpaceDE/>
              <w:autoSpaceDN/>
              <w:adjustRightInd/>
            </w:pPr>
            <w:r w:rsidRPr="008A0812">
              <w:t xml:space="preserve">No. of </w:t>
            </w:r>
            <w:r w:rsidR="005A4735" w:rsidRPr="008A0812">
              <w:t>D</w:t>
            </w:r>
            <w:r w:rsidRPr="008A0812">
              <w:t>iffusers in Bays 1 to 5: 7,087</w:t>
            </w:r>
          </w:p>
          <w:p w14:paraId="07542DE6" w14:textId="3F20B385" w:rsidR="008B280D" w:rsidRPr="008A0812" w:rsidRDefault="008B280D" w:rsidP="00083148">
            <w:pPr>
              <w:overflowPunct/>
              <w:autoSpaceDE/>
              <w:autoSpaceDN/>
              <w:adjustRightInd/>
            </w:pPr>
            <w:r w:rsidRPr="008A0812">
              <w:t xml:space="preserve">No. of </w:t>
            </w:r>
            <w:r w:rsidR="005A4735" w:rsidRPr="008A0812">
              <w:t>D</w:t>
            </w:r>
            <w:r w:rsidRPr="008A0812">
              <w:t>iffusers in Bays 6 to 10: 8,527</w:t>
            </w:r>
          </w:p>
          <w:p w14:paraId="72B83189" w14:textId="77777777" w:rsidR="008B280D" w:rsidRPr="008A0812" w:rsidRDefault="008B280D" w:rsidP="00083148">
            <w:pPr>
              <w:overflowPunct/>
              <w:autoSpaceDE/>
              <w:autoSpaceDN/>
              <w:adjustRightInd/>
            </w:pPr>
          </w:p>
          <w:p w14:paraId="0C9A98A0" w14:textId="612C1AF9" w:rsidR="008B280D" w:rsidRPr="008A0812" w:rsidRDefault="008B280D" w:rsidP="00083148">
            <w:pPr>
              <w:overflowPunct/>
              <w:autoSpaceDE/>
              <w:autoSpaceDN/>
              <w:adjustRightInd/>
              <w:rPr>
                <w:u w:val="single"/>
              </w:rPr>
            </w:pPr>
            <w:r w:rsidRPr="008A0812">
              <w:rPr>
                <w:u w:val="single"/>
              </w:rPr>
              <w:t>Unit 2</w:t>
            </w:r>
          </w:p>
          <w:p w14:paraId="5AC09F77" w14:textId="4010794C" w:rsidR="008B280D" w:rsidRPr="008A0812" w:rsidRDefault="008B280D" w:rsidP="00083148">
            <w:pPr>
              <w:overflowPunct/>
              <w:autoSpaceDE/>
              <w:autoSpaceDN/>
              <w:adjustRightInd/>
            </w:pPr>
            <w:r w:rsidRPr="008A0812">
              <w:t>Type: Fine</w:t>
            </w:r>
            <w:r w:rsidR="005A4735" w:rsidRPr="008A0812">
              <w:t>-</w:t>
            </w:r>
            <w:r w:rsidRPr="008A0812">
              <w:t xml:space="preserve">bubble </w:t>
            </w:r>
            <w:r w:rsidR="005A4735" w:rsidRPr="008A0812">
              <w:t>M</w:t>
            </w:r>
            <w:r w:rsidRPr="008A0812">
              <w:t xml:space="preserve">embrane </w:t>
            </w:r>
            <w:r w:rsidR="005A4735" w:rsidRPr="008A0812">
              <w:t>D</w:t>
            </w:r>
            <w:r w:rsidRPr="008A0812">
              <w:t>isc</w:t>
            </w:r>
          </w:p>
          <w:p w14:paraId="1F2D1BE8" w14:textId="124BC810" w:rsidR="008B280D" w:rsidRPr="008A0812" w:rsidRDefault="008B280D" w:rsidP="00083148">
            <w:pPr>
              <w:overflowPunct/>
              <w:autoSpaceDE/>
              <w:autoSpaceDN/>
              <w:adjustRightInd/>
            </w:pPr>
            <w:r w:rsidRPr="008A0812">
              <w:t xml:space="preserve">No. of </w:t>
            </w:r>
            <w:r w:rsidR="005A4735" w:rsidRPr="008A0812">
              <w:t>D</w:t>
            </w:r>
            <w:r w:rsidRPr="008A0812">
              <w:t>iffusers in Bays 1 to 5: 4,143</w:t>
            </w:r>
          </w:p>
          <w:p w14:paraId="317ED71E" w14:textId="38EA3D98" w:rsidR="00E75F94" w:rsidRPr="008A0812" w:rsidRDefault="008B280D" w:rsidP="00083148">
            <w:pPr>
              <w:overflowPunct/>
              <w:autoSpaceDE/>
              <w:autoSpaceDN/>
              <w:adjustRightInd/>
              <w:rPr>
                <w:rFonts w:ascii="Segoe UI" w:hAnsi="Segoe UI" w:cs="Segoe UI"/>
                <w:sz w:val="18"/>
                <w:szCs w:val="18"/>
              </w:rPr>
            </w:pPr>
            <w:r w:rsidRPr="008A0812">
              <w:t xml:space="preserve">No. of </w:t>
            </w:r>
            <w:r w:rsidR="005A4735" w:rsidRPr="008A0812">
              <w:t>D</w:t>
            </w:r>
            <w:r w:rsidRPr="008A0812">
              <w:t>iffusers in Bays 6 to 10: 4,410</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22DE4D5" w14:textId="77777777" w:rsidR="008B280D" w:rsidRPr="008A0812" w:rsidRDefault="008B280D" w:rsidP="0031230D">
            <w:pPr>
              <w:overflowPunct/>
              <w:autoSpaceDE/>
              <w:autoSpaceDN/>
              <w:adjustRightInd/>
              <w:rPr>
                <w:u w:val="single"/>
              </w:rPr>
            </w:pPr>
          </w:p>
          <w:p w14:paraId="0745EFE0" w14:textId="7DE41606" w:rsidR="008B280D" w:rsidRPr="008A0812" w:rsidRDefault="008B280D" w:rsidP="0031230D">
            <w:pPr>
              <w:overflowPunct/>
              <w:autoSpaceDE/>
              <w:autoSpaceDN/>
              <w:adjustRightInd/>
              <w:rPr>
                <w:rFonts w:ascii="Segoe UI" w:hAnsi="Segoe UI" w:cs="Segoe UI"/>
                <w:sz w:val="18"/>
                <w:szCs w:val="18"/>
              </w:rPr>
            </w:pPr>
            <w:r w:rsidRPr="008A0812">
              <w:t>N/A</w:t>
            </w:r>
          </w:p>
        </w:tc>
      </w:tr>
    </w:tbl>
    <w:bookmarkEnd w:id="60"/>
    <w:p w14:paraId="776FD478" w14:textId="23E862C0" w:rsidR="00DE02EC" w:rsidRPr="008A0812" w:rsidRDefault="00DE02EC" w:rsidP="00DE02EC">
      <w:pPr>
        <w:pStyle w:val="BodyText"/>
      </w:pPr>
      <w:r w:rsidRPr="008A0812">
        <w:t xml:space="preserve">Of the four existing blowers, two are electric-powered and two are engine-driven using digester gas. The Department plans to cease operation of the engine-driven blowers by September 1, 2021 as part of a larger Digester Gas Beneficial Use (DGBU) Program. Under the new program, five electric turbo blowers (4 + 1) at 6,000 scfm each will be installed in a new Unit 1 blower building that is currently under design, and the two existing electric blowers at the Roots Blower Building will supply air to Unit 2. These projects are being performed in response to </w:t>
      </w:r>
      <w:bookmarkStart w:id="69" w:name="_Hlk36325792"/>
      <w:r w:rsidRPr="008A0812">
        <w:t xml:space="preserve">SCAQMD </w:t>
      </w:r>
      <w:bookmarkEnd w:id="69"/>
      <w:r w:rsidRPr="008A0812">
        <w:t xml:space="preserve">Amended Rule 1110.2 (see Section </w:t>
      </w:r>
      <w:r w:rsidRPr="008A0812">
        <w:fldChar w:fldCharType="begin"/>
      </w:r>
      <w:r w:rsidRPr="008A0812">
        <w:instrText xml:space="preserve"> REF _Ref36325454 \r \h </w:instrText>
      </w:r>
      <w:r w:rsidR="008A0812">
        <w:instrText xml:space="preserve"> \* MERGEFORMAT </w:instrText>
      </w:r>
      <w:r w:rsidRPr="008A0812">
        <w:fldChar w:fldCharType="separate"/>
      </w:r>
      <w:r w:rsidR="00AA68F8">
        <w:t>7.3</w:t>
      </w:r>
      <w:r w:rsidRPr="008A0812">
        <w:fldChar w:fldCharType="end"/>
      </w:r>
      <w:r w:rsidRPr="008A0812">
        <w:t xml:space="preserve">). </w:t>
      </w:r>
    </w:p>
    <w:p w14:paraId="3570FC71" w14:textId="4E7B06FE" w:rsidR="001A163A" w:rsidRPr="008A0812" w:rsidRDefault="001A163A" w:rsidP="001A163A">
      <w:pPr>
        <w:pStyle w:val="Heading4"/>
      </w:pPr>
      <w:bookmarkStart w:id="70" w:name="_Toc41680809"/>
      <w:r>
        <w:t>RAS Pumping Systems</w:t>
      </w:r>
      <w:bookmarkEnd w:id="70"/>
    </w:p>
    <w:p w14:paraId="45FF3C10" w14:textId="1F970104" w:rsidR="008B280D" w:rsidRPr="008A0812" w:rsidRDefault="008B280D" w:rsidP="008B280D">
      <w:pPr>
        <w:pStyle w:val="BodyText"/>
      </w:pPr>
      <w:r w:rsidRPr="008A0812">
        <w:t xml:space="preserve">The mixed liquor solids concentration in the aeration basins is controlled by return activated sludge (RAS) pumps to assure proper operations of the activated sludge process. Excess solids not needed for treatment and settled out in the secondary clarifiers are wasted to the </w:t>
      </w:r>
      <w:r w:rsidR="0078234A" w:rsidRPr="008A0812">
        <w:t xml:space="preserve">DAF </w:t>
      </w:r>
      <w:r w:rsidRPr="008A0812">
        <w:t xml:space="preserve">thickeners by the waste activated sludge (WAS) pumps. The Unit 1 RAS/WAS Pump Station has </w:t>
      </w:r>
      <w:r w:rsidR="006432E4" w:rsidRPr="008A0812">
        <w:t>three</w:t>
      </w:r>
      <w:r w:rsidRPr="008A0812">
        <w:t xml:space="preserve"> (</w:t>
      </w:r>
      <w:r w:rsidR="006432E4" w:rsidRPr="008A0812">
        <w:t>3</w:t>
      </w:r>
      <w:r w:rsidRPr="008A0812">
        <w:t>) RAS pumps, two (2) WAS pumps, and one (</w:t>
      </w:r>
      <w:r w:rsidR="005A4735" w:rsidRPr="008A0812">
        <w:t>1</w:t>
      </w:r>
      <w:r w:rsidRPr="008A0812">
        <w:t>) scum pump. Separate return sludge lines from each of the two secondary clarifiers enter the pump station and then merge into a common header. The suction piping is arranged in such a way that sludge can be drawn by any one RAS pump.</w:t>
      </w:r>
    </w:p>
    <w:p w14:paraId="3D10D62E" w14:textId="1DCD3F24" w:rsidR="00B25495" w:rsidRPr="008A0812" w:rsidRDefault="008B280D" w:rsidP="008B280D">
      <w:pPr>
        <w:pStyle w:val="BodyText"/>
      </w:pPr>
      <w:r w:rsidRPr="008A0812">
        <w:t>The RAS pumps at Unit 1 and Unit 2 pump station are mixed</w:t>
      </w:r>
      <w:r w:rsidR="005A4735" w:rsidRPr="008A0812">
        <w:t>-</w:t>
      </w:r>
      <w:r w:rsidRPr="008A0812">
        <w:t>flow type pumps and non-clog centrifugal pump, respectively. Each is provided with VFD and driven by a 100</w:t>
      </w:r>
      <w:r w:rsidR="00120B1D" w:rsidRPr="008A0812">
        <w:t xml:space="preserve"> hp</w:t>
      </w:r>
      <w:r w:rsidRPr="008A0812">
        <w:t xml:space="preserve"> (Unit 1) and 60</w:t>
      </w:r>
      <w:r w:rsidR="00120B1D" w:rsidRPr="008A0812">
        <w:t xml:space="preserve"> </w:t>
      </w:r>
      <w:r w:rsidRPr="008A0812">
        <w:t xml:space="preserve">hp (Unit 2) electric motors. Pump operation can be controlled </w:t>
      </w:r>
      <w:r w:rsidR="006432E4" w:rsidRPr="008A0812">
        <w:t>automatically via SCADA</w:t>
      </w:r>
      <w:r w:rsidRPr="008A0812">
        <w:t xml:space="preserve">. RAS pumping capacity information is summarized in </w:t>
      </w:r>
      <w:r w:rsidR="00AA2FB4" w:rsidRPr="008A0812">
        <w:fldChar w:fldCharType="begin"/>
      </w:r>
      <w:r w:rsidR="00AA2FB4" w:rsidRPr="008A0812">
        <w:instrText xml:space="preserve"> REF _Ref36214289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10</w:t>
      </w:r>
      <w:r w:rsidR="00AA2FB4" w:rsidRPr="008A0812">
        <w:fldChar w:fldCharType="end"/>
      </w:r>
      <w:r w:rsidRPr="008A0812">
        <w:t xml:space="preserve">. </w:t>
      </w:r>
    </w:p>
    <w:p w14:paraId="49F566D2" w14:textId="2DEBCA2E" w:rsidR="008B280D" w:rsidRPr="008A0812" w:rsidRDefault="00AA2FB4" w:rsidP="00AA2FB4">
      <w:pPr>
        <w:pStyle w:val="Caption"/>
        <w:spacing w:before="200" w:after="120"/>
      </w:pPr>
      <w:bookmarkStart w:id="71" w:name="_Ref36214289"/>
      <w:bookmarkStart w:id="72" w:name="_Toc41684730"/>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10</w:t>
      </w:r>
      <w:r>
        <w:fldChar w:fldCharType="end"/>
      </w:r>
      <w:bookmarkEnd w:id="71"/>
      <w:r w:rsidRPr="008A0812">
        <w:t xml:space="preserve">: </w:t>
      </w:r>
      <w:r w:rsidR="008B280D" w:rsidRPr="008A0812">
        <w:t>RAS Pumping Design Information</w:t>
      </w:r>
      <w:bookmarkEnd w:id="72"/>
      <w:r w:rsidR="008B280D"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8B280D" w:rsidRPr="008A0812" w14:paraId="5E995C1B" w14:textId="77777777" w:rsidTr="00083148">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0A13313E" w14:textId="4DC97DEA" w:rsidR="008B280D" w:rsidRPr="008A0812" w:rsidRDefault="008B280D" w:rsidP="005A4735">
            <w:pPr>
              <w:overflowPunct/>
              <w:autoSpaceDE/>
              <w:autoSpaceDN/>
              <w:adjustRightInd/>
              <w:jc w:val="center"/>
              <w:rPr>
                <w:rFonts w:ascii="Segoe UI" w:hAnsi="Segoe UI" w:cs="Segoe UI"/>
                <w:sz w:val="18"/>
                <w:szCs w:val="18"/>
              </w:rPr>
            </w:pPr>
            <w:bookmarkStart w:id="73" w:name="_Hlk20126776"/>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1D54C6BB" w14:textId="45F05B6A" w:rsidR="008B280D" w:rsidRPr="008A0812" w:rsidRDefault="008B280D" w:rsidP="005A4735">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5858B80B" w14:textId="77777777" w:rsidR="008B280D" w:rsidRPr="008A0812" w:rsidRDefault="008B280D" w:rsidP="00DE61F5">
            <w:pPr>
              <w:overflowPunct/>
              <w:autoSpaceDE/>
              <w:autoSpaceDN/>
              <w:adjustRightInd/>
              <w:jc w:val="center"/>
              <w:rPr>
                <w:rFonts w:ascii="Segoe UI" w:hAnsi="Segoe UI" w:cs="Segoe UI"/>
                <w:sz w:val="18"/>
                <w:szCs w:val="18"/>
              </w:rPr>
            </w:pPr>
            <w:r w:rsidRPr="008A0812">
              <w:rPr>
                <w:rFonts w:cs="Segoe UI"/>
                <w:b/>
                <w:bCs/>
              </w:rPr>
              <w:t>Design Flow</w:t>
            </w:r>
          </w:p>
        </w:tc>
      </w:tr>
      <w:tr w:rsidR="008B280D" w:rsidRPr="008A0812" w14:paraId="6F1F2CE4" w14:textId="77777777" w:rsidTr="008B280D">
        <w:trPr>
          <w:trHeight w:val="1083"/>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3C6F570B" w14:textId="67FA443F" w:rsidR="008B280D" w:rsidRPr="008A0812" w:rsidRDefault="008B280D" w:rsidP="00083148">
            <w:pPr>
              <w:overflowPunct/>
              <w:autoSpaceDE/>
              <w:autoSpaceDN/>
              <w:adjustRightInd/>
              <w:rPr>
                <w:rFonts w:ascii="Segoe UI" w:hAnsi="Segoe UI" w:cs="Segoe UI"/>
                <w:sz w:val="18"/>
                <w:szCs w:val="18"/>
              </w:rPr>
            </w:pPr>
            <w:r w:rsidRPr="008A0812">
              <w:rPr>
                <w:rFonts w:cs="Segoe UI"/>
              </w:rPr>
              <w:t>Unit 1 RAS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7E38CCBD" w14:textId="24D86642" w:rsidR="008B280D" w:rsidRPr="008A0812" w:rsidRDefault="008B280D" w:rsidP="00083148">
            <w:r w:rsidRPr="008A0812">
              <w:t xml:space="preserve">Quantity: </w:t>
            </w:r>
            <w:r w:rsidR="006432E4" w:rsidRPr="008A0812">
              <w:t>3</w:t>
            </w:r>
            <w:r w:rsidRPr="008A0812">
              <w:t xml:space="preserve"> (</w:t>
            </w:r>
            <w:r w:rsidR="006432E4" w:rsidRPr="008A0812">
              <w:t>2</w:t>
            </w:r>
            <w:r w:rsidRPr="008A0812">
              <w:t>+1 standby)</w:t>
            </w:r>
          </w:p>
          <w:p w14:paraId="570717D3" w14:textId="3A71E803" w:rsidR="008B280D" w:rsidRPr="008A0812" w:rsidRDefault="008B280D" w:rsidP="00083148">
            <w:r w:rsidRPr="008A0812">
              <w:t>Type: Mixed</w:t>
            </w:r>
            <w:r w:rsidR="00F31571" w:rsidRPr="008A0812">
              <w:t>-</w:t>
            </w:r>
            <w:r w:rsidRPr="008A0812">
              <w:t xml:space="preserve">flow </w:t>
            </w:r>
          </w:p>
          <w:p w14:paraId="4E07F5EB" w14:textId="04ED20EE" w:rsidR="008B280D" w:rsidRPr="008A0812" w:rsidRDefault="008B280D" w:rsidP="00083148">
            <w:r w:rsidRPr="008A0812">
              <w:t xml:space="preserve">TDH: 18 ft </w:t>
            </w:r>
          </w:p>
          <w:p w14:paraId="0C583158" w14:textId="3EDE8E09" w:rsidR="008B280D" w:rsidRPr="008A0812" w:rsidRDefault="008B280D" w:rsidP="00083148">
            <w:pPr>
              <w:rPr>
                <w:rFonts w:ascii="Segoe UI" w:hAnsi="Segoe UI" w:cs="Segoe UI"/>
                <w:sz w:val="18"/>
                <w:szCs w:val="18"/>
              </w:rPr>
            </w:pPr>
            <w:r w:rsidRPr="008A0812">
              <w:t>Motor (ea</w:t>
            </w:r>
            <w:r w:rsidR="00F31571" w:rsidRPr="008A0812">
              <w:t>.</w:t>
            </w:r>
            <w:r w:rsidRPr="008A0812">
              <w:t>): 100 hp, 1200 rpm</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0A7CC1B0" w14:textId="2AC44FF4" w:rsidR="008B280D" w:rsidRPr="008A0812" w:rsidRDefault="008B280D" w:rsidP="005A4735">
            <w:pPr>
              <w:overflowPunct/>
              <w:autoSpaceDE/>
              <w:autoSpaceDN/>
              <w:adjustRightInd/>
              <w:rPr>
                <w:rFonts w:ascii="Segoe UI" w:hAnsi="Segoe UI" w:cs="Segoe UI"/>
                <w:sz w:val="18"/>
                <w:szCs w:val="18"/>
              </w:rPr>
            </w:pPr>
            <w:r w:rsidRPr="008A0812">
              <w:rPr>
                <w:rFonts w:cs="Segoe UI"/>
              </w:rPr>
              <w:t>Each: 2,700 gpm</w:t>
            </w:r>
          </w:p>
        </w:tc>
      </w:tr>
      <w:tr w:rsidR="008B280D" w:rsidRPr="008A0812" w14:paraId="5D6739A5" w14:textId="77777777" w:rsidTr="008B280D">
        <w:trPr>
          <w:trHeight w:val="106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1A0A0A43" w14:textId="07192611" w:rsidR="008B280D" w:rsidRPr="008A0812" w:rsidRDefault="008B280D" w:rsidP="00083148">
            <w:pPr>
              <w:overflowPunct/>
              <w:autoSpaceDE/>
              <w:autoSpaceDN/>
              <w:adjustRightInd/>
              <w:rPr>
                <w:rFonts w:ascii="Segoe UI" w:hAnsi="Segoe UI" w:cs="Segoe UI"/>
                <w:sz w:val="18"/>
                <w:szCs w:val="18"/>
              </w:rPr>
            </w:pPr>
            <w:r w:rsidRPr="008A0812">
              <w:t>Unit 2 RAS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2753A53C" w14:textId="7D406902" w:rsidR="008B280D" w:rsidRPr="008A0812" w:rsidRDefault="008B280D" w:rsidP="00083148">
            <w:pPr>
              <w:overflowPunct/>
              <w:autoSpaceDE/>
              <w:autoSpaceDN/>
              <w:adjustRightInd/>
            </w:pPr>
            <w:r w:rsidRPr="008A0812">
              <w:t xml:space="preserve">Quantity: 3 (2+1 standby) </w:t>
            </w:r>
          </w:p>
          <w:p w14:paraId="6765C178" w14:textId="2B0979A6" w:rsidR="008B280D" w:rsidRPr="008A0812" w:rsidRDefault="008B280D" w:rsidP="00083148">
            <w:pPr>
              <w:overflowPunct/>
              <w:autoSpaceDE/>
              <w:autoSpaceDN/>
              <w:adjustRightInd/>
            </w:pPr>
            <w:r w:rsidRPr="008A0812">
              <w:t xml:space="preserve">Type: Non-clog Centrifugal </w:t>
            </w:r>
          </w:p>
          <w:p w14:paraId="5A0D92EE" w14:textId="258C9BF7" w:rsidR="008B280D" w:rsidRPr="008A0812" w:rsidRDefault="008B280D" w:rsidP="00083148">
            <w:pPr>
              <w:overflowPunct/>
              <w:autoSpaceDE/>
              <w:autoSpaceDN/>
              <w:adjustRightInd/>
            </w:pPr>
            <w:r w:rsidRPr="008A0812">
              <w:t xml:space="preserve">TDH: 40 ft </w:t>
            </w:r>
          </w:p>
          <w:p w14:paraId="764252D2" w14:textId="2D9D41AC" w:rsidR="008B280D" w:rsidRPr="008A0812" w:rsidRDefault="008B280D" w:rsidP="00083148">
            <w:pPr>
              <w:overflowPunct/>
              <w:autoSpaceDE/>
              <w:autoSpaceDN/>
              <w:adjustRightInd/>
              <w:rPr>
                <w:rFonts w:ascii="Segoe UI" w:hAnsi="Segoe UI" w:cs="Segoe UI"/>
                <w:sz w:val="18"/>
                <w:szCs w:val="18"/>
              </w:rPr>
            </w:pPr>
            <w:r w:rsidRPr="008A0812">
              <w:t>Motor (ea</w:t>
            </w:r>
            <w:r w:rsidR="00F31571" w:rsidRPr="008A0812">
              <w:t>.</w:t>
            </w:r>
            <w:r w:rsidRPr="008A0812">
              <w:t>): 60 hp</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0FD0EED6" w14:textId="45048C33" w:rsidR="008B280D" w:rsidRPr="008A0812" w:rsidRDefault="008B280D" w:rsidP="005A4735">
            <w:pPr>
              <w:overflowPunct/>
              <w:autoSpaceDE/>
              <w:autoSpaceDN/>
              <w:adjustRightInd/>
              <w:rPr>
                <w:rFonts w:ascii="Segoe UI" w:hAnsi="Segoe UI" w:cs="Segoe UI"/>
                <w:sz w:val="18"/>
                <w:szCs w:val="18"/>
              </w:rPr>
            </w:pPr>
            <w:r w:rsidRPr="008A0812">
              <w:t>Each: 3,150 gpm</w:t>
            </w:r>
          </w:p>
        </w:tc>
      </w:tr>
    </w:tbl>
    <w:p w14:paraId="60AE2242" w14:textId="319E8913" w:rsidR="008B280D" w:rsidRPr="008A0812" w:rsidRDefault="008B280D" w:rsidP="008B280D">
      <w:pPr>
        <w:pStyle w:val="Heading4"/>
      </w:pPr>
      <w:bookmarkStart w:id="74" w:name="_Toc41680810"/>
      <w:bookmarkEnd w:id="73"/>
      <w:r>
        <w:t>WAS Pumping Systems</w:t>
      </w:r>
      <w:bookmarkEnd w:id="74"/>
    </w:p>
    <w:p w14:paraId="33E31402" w14:textId="4A2C3FC8" w:rsidR="008B280D" w:rsidRPr="008A0812" w:rsidRDefault="008B280D" w:rsidP="008B280D">
      <w:pPr>
        <w:pStyle w:val="BodyText"/>
      </w:pPr>
      <w:r w:rsidRPr="008A0812">
        <w:t>From the WAS withdrawal system, waste sludge is transported to the DAF thickener by non-clog, centrifugal pumps. Each pump is provided with VFD drives and is driven by a 7.5</w:t>
      </w:r>
      <w:r w:rsidR="00120B1D" w:rsidRPr="008A0812">
        <w:t xml:space="preserve"> </w:t>
      </w:r>
      <w:r w:rsidRPr="008A0812">
        <w:t>hp (Unit 1) and 10</w:t>
      </w:r>
      <w:r w:rsidR="00120B1D" w:rsidRPr="008A0812">
        <w:t xml:space="preserve"> </w:t>
      </w:r>
      <w:r w:rsidRPr="008A0812">
        <w:t>hp (Unit 2) electric motor. A 4-inch magnetic flowmeter is mounted on the WAS discharge line from Unit</w:t>
      </w:r>
      <w:r w:rsidR="00101D24" w:rsidRPr="008A0812">
        <w:t xml:space="preserve"> 1</w:t>
      </w:r>
      <w:r w:rsidRPr="008A0812">
        <w:t xml:space="preserve">, </w:t>
      </w:r>
      <w:r w:rsidR="00F31571" w:rsidRPr="008A0812">
        <w:t>U</w:t>
      </w:r>
      <w:r w:rsidRPr="008A0812">
        <w:t xml:space="preserve">nit 2N and Unit 2S secondary clarifiers, inside the </w:t>
      </w:r>
      <w:r w:rsidR="00F31571" w:rsidRPr="008A0812">
        <w:t>S</w:t>
      </w:r>
      <w:r w:rsidRPr="008A0812">
        <w:t xml:space="preserve">ludge </w:t>
      </w:r>
      <w:r w:rsidR="00F31571" w:rsidRPr="008A0812">
        <w:t>P</w:t>
      </w:r>
      <w:r w:rsidRPr="008A0812">
        <w:t xml:space="preserve">ump </w:t>
      </w:r>
      <w:r w:rsidR="00F31571" w:rsidRPr="008A0812">
        <w:t>B</w:t>
      </w:r>
      <w:r w:rsidRPr="008A0812">
        <w:t xml:space="preserve">uilding. The flowmeter provides flow control and it also indicates, records, and totalizes the waste sludge flow in the Operation Building. Design criteria for secondary sludge and scum pumping is summarized in </w:t>
      </w:r>
      <w:r w:rsidR="00AA2FB4" w:rsidRPr="008A0812">
        <w:fldChar w:fldCharType="begin"/>
      </w:r>
      <w:r w:rsidR="00AA2FB4" w:rsidRPr="008A0812">
        <w:instrText xml:space="preserve"> REF _Ref36214311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11</w:t>
      </w:r>
      <w:r w:rsidR="00AA2FB4" w:rsidRPr="008A0812">
        <w:fldChar w:fldCharType="end"/>
      </w:r>
      <w:r w:rsidRPr="008A0812">
        <w:t xml:space="preserve">. </w:t>
      </w:r>
    </w:p>
    <w:p w14:paraId="298357C3" w14:textId="273BB1E8" w:rsidR="008B280D" w:rsidRPr="008A0812" w:rsidRDefault="00AA2FB4" w:rsidP="00AA2FB4">
      <w:pPr>
        <w:pStyle w:val="Caption"/>
        <w:spacing w:before="200" w:after="120"/>
      </w:pPr>
      <w:bookmarkStart w:id="75" w:name="_Ref36214311"/>
      <w:bookmarkStart w:id="76" w:name="_Toc41684731"/>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11</w:t>
      </w:r>
      <w:r>
        <w:fldChar w:fldCharType="end"/>
      </w:r>
      <w:bookmarkEnd w:id="75"/>
      <w:r w:rsidRPr="008A0812">
        <w:t xml:space="preserve">: </w:t>
      </w:r>
      <w:r w:rsidR="008B280D" w:rsidRPr="008A0812">
        <w:t>WAS Pumping Design Information</w:t>
      </w:r>
      <w:bookmarkEnd w:id="76"/>
      <w:r w:rsidR="008B280D"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8B280D" w:rsidRPr="008A0812" w14:paraId="63D03113"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55DC6FAF" w14:textId="719FA600" w:rsidR="008B280D" w:rsidRPr="008A0812" w:rsidRDefault="008B280D" w:rsidP="00F31571">
            <w:pPr>
              <w:keepNext/>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04B57374" w14:textId="14B0442A" w:rsidR="008B280D" w:rsidRPr="008A0812" w:rsidRDefault="008B280D" w:rsidP="00F31571">
            <w:pPr>
              <w:keepNext/>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401AEBAD" w14:textId="77777777" w:rsidR="008B280D" w:rsidRPr="008A0812" w:rsidRDefault="008B280D" w:rsidP="00F31571">
            <w:pPr>
              <w:keepNext/>
              <w:overflowPunct/>
              <w:autoSpaceDE/>
              <w:autoSpaceDN/>
              <w:adjustRightInd/>
              <w:jc w:val="center"/>
              <w:rPr>
                <w:rFonts w:ascii="Segoe UI" w:hAnsi="Segoe UI" w:cs="Segoe UI"/>
                <w:sz w:val="18"/>
                <w:szCs w:val="18"/>
              </w:rPr>
            </w:pPr>
            <w:r w:rsidRPr="008A0812">
              <w:rPr>
                <w:rFonts w:cs="Segoe UI"/>
                <w:b/>
                <w:bCs/>
              </w:rPr>
              <w:t>Design Flow</w:t>
            </w:r>
          </w:p>
        </w:tc>
      </w:tr>
      <w:tr w:rsidR="008B280D" w:rsidRPr="008A0812" w14:paraId="5EF3413A" w14:textId="77777777" w:rsidTr="00083148">
        <w:trPr>
          <w:trHeight w:val="1083"/>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44F78EF4" w14:textId="4933C3F8" w:rsidR="008B280D" w:rsidRPr="008A0812" w:rsidRDefault="008B280D" w:rsidP="00541531">
            <w:pPr>
              <w:keepNext/>
              <w:overflowPunct/>
              <w:autoSpaceDE/>
              <w:autoSpaceDN/>
              <w:adjustRightInd/>
              <w:rPr>
                <w:rFonts w:ascii="Segoe UI" w:hAnsi="Segoe UI" w:cs="Segoe UI"/>
                <w:sz w:val="18"/>
                <w:szCs w:val="18"/>
              </w:rPr>
            </w:pPr>
            <w:r w:rsidRPr="008A0812">
              <w:rPr>
                <w:rFonts w:cs="Segoe UI"/>
              </w:rPr>
              <w:t>Unit 1 WAS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16446CCA" w14:textId="13E7D157" w:rsidR="00DF2F51" w:rsidRPr="008A0812" w:rsidRDefault="00DF2F51" w:rsidP="00541531">
            <w:pPr>
              <w:keepNext/>
            </w:pPr>
            <w:r w:rsidRPr="008A0812">
              <w:t>Quantity: 2 (1+1 standby)</w:t>
            </w:r>
          </w:p>
          <w:p w14:paraId="6DF1EEE2" w14:textId="06B2923E" w:rsidR="00DF2F51" w:rsidRPr="008A0812" w:rsidRDefault="00DF2F51" w:rsidP="00541531">
            <w:pPr>
              <w:keepNext/>
            </w:pPr>
            <w:r w:rsidRPr="008A0812">
              <w:t>Capacity (</w:t>
            </w:r>
            <w:r w:rsidR="00065048">
              <w:t>total</w:t>
            </w:r>
            <w:r w:rsidRPr="008A0812">
              <w:t xml:space="preserve">): 5 - </w:t>
            </w:r>
            <w:r w:rsidR="009D771D">
              <w:t>385</w:t>
            </w:r>
            <w:r w:rsidR="009D771D" w:rsidRPr="008A0812">
              <w:t xml:space="preserve"> </w:t>
            </w:r>
            <w:r w:rsidRPr="008A0812">
              <w:t xml:space="preserve">gpm </w:t>
            </w:r>
          </w:p>
          <w:p w14:paraId="721901F1" w14:textId="392A774A" w:rsidR="00DF2F51" w:rsidRPr="008A0812" w:rsidRDefault="00DF2F51" w:rsidP="00541531">
            <w:pPr>
              <w:keepNext/>
            </w:pPr>
            <w:r w:rsidRPr="008A0812">
              <w:t xml:space="preserve">TDH: </w:t>
            </w:r>
            <w:r w:rsidR="009D771D">
              <w:t>–12.6</w:t>
            </w:r>
            <w:r w:rsidRPr="008A0812">
              <w:t xml:space="preserve"> feet </w:t>
            </w:r>
          </w:p>
          <w:p w14:paraId="6B13D2B8" w14:textId="458C9798" w:rsidR="008B280D" w:rsidRPr="008A0812" w:rsidRDefault="00DF2F51" w:rsidP="00541531">
            <w:pPr>
              <w:keepNext/>
              <w:rPr>
                <w:rFonts w:ascii="Segoe UI" w:hAnsi="Segoe UI" w:cs="Segoe UI"/>
                <w:sz w:val="18"/>
                <w:szCs w:val="18"/>
              </w:rPr>
            </w:pPr>
            <w:r w:rsidRPr="008A0812">
              <w:t>Motor (ea</w:t>
            </w:r>
            <w:r w:rsidR="00F31571" w:rsidRPr="008A0812">
              <w:t>.</w:t>
            </w:r>
            <w:r w:rsidRPr="008A0812">
              <w:t>): 7.5 hp, 1200 rpm</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287CDE8" w14:textId="7B232F32" w:rsidR="008B280D" w:rsidRPr="008A0812" w:rsidRDefault="009D771D" w:rsidP="00F31571">
            <w:pPr>
              <w:keepNext/>
              <w:overflowPunct/>
              <w:autoSpaceDE/>
              <w:autoSpaceDN/>
              <w:adjustRightInd/>
              <w:rPr>
                <w:rFonts w:ascii="Segoe UI" w:hAnsi="Segoe UI" w:cs="Segoe UI"/>
                <w:sz w:val="18"/>
                <w:szCs w:val="18"/>
              </w:rPr>
            </w:pPr>
            <w:r>
              <w:rPr>
                <w:rFonts w:cs="Segoe UI"/>
              </w:rPr>
              <w:t>Combined</w:t>
            </w:r>
            <w:r w:rsidR="008B280D" w:rsidRPr="008A0812">
              <w:rPr>
                <w:rFonts w:cs="Segoe UI"/>
              </w:rPr>
              <w:t xml:space="preserve">: </w:t>
            </w:r>
            <w:r>
              <w:rPr>
                <w:rFonts w:cs="Segoe UI"/>
              </w:rPr>
              <w:t>Up to 400 gpm (per SBMWD)</w:t>
            </w:r>
          </w:p>
        </w:tc>
      </w:tr>
      <w:tr w:rsidR="008B280D" w:rsidRPr="008A0812" w14:paraId="720202E2" w14:textId="77777777" w:rsidTr="00083148">
        <w:trPr>
          <w:trHeight w:val="106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351A4954" w14:textId="61F1CA39" w:rsidR="008B280D" w:rsidRPr="008A0812" w:rsidRDefault="008B280D" w:rsidP="00541531">
            <w:pPr>
              <w:keepNext/>
              <w:overflowPunct/>
              <w:autoSpaceDE/>
              <w:autoSpaceDN/>
              <w:adjustRightInd/>
              <w:rPr>
                <w:rFonts w:ascii="Segoe UI" w:hAnsi="Segoe UI" w:cs="Segoe UI"/>
                <w:sz w:val="18"/>
                <w:szCs w:val="18"/>
              </w:rPr>
            </w:pPr>
            <w:r w:rsidRPr="008A0812">
              <w:t>Unit 2 WAS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691592DE" w14:textId="1368E022" w:rsidR="00DF2F51" w:rsidRPr="008A0812" w:rsidRDefault="00DF2F51" w:rsidP="00541531">
            <w:pPr>
              <w:keepNext/>
              <w:overflowPunct/>
              <w:autoSpaceDE/>
              <w:autoSpaceDN/>
              <w:adjustRightInd/>
            </w:pPr>
            <w:r w:rsidRPr="008A0812">
              <w:t>Quantity: 3 (2+1 standby)</w:t>
            </w:r>
          </w:p>
          <w:p w14:paraId="322D5CA4" w14:textId="10A408D3" w:rsidR="00DF2F51" w:rsidRPr="008A0812" w:rsidRDefault="00DF2F51" w:rsidP="00541531">
            <w:pPr>
              <w:keepNext/>
              <w:overflowPunct/>
              <w:autoSpaceDE/>
              <w:autoSpaceDN/>
              <w:adjustRightInd/>
            </w:pPr>
            <w:r w:rsidRPr="008A0812">
              <w:t>Capacity (ea</w:t>
            </w:r>
            <w:r w:rsidR="00F31571" w:rsidRPr="008A0812">
              <w:t>.</w:t>
            </w:r>
            <w:r w:rsidRPr="008A0812">
              <w:t xml:space="preserve">): 400 gpm </w:t>
            </w:r>
          </w:p>
          <w:p w14:paraId="0AA0C43D" w14:textId="612F4228" w:rsidR="00DF2F51" w:rsidRPr="008A0812" w:rsidRDefault="00DF2F51" w:rsidP="00541531">
            <w:pPr>
              <w:keepNext/>
              <w:overflowPunct/>
              <w:autoSpaceDE/>
              <w:autoSpaceDN/>
              <w:adjustRightInd/>
            </w:pPr>
            <w:r w:rsidRPr="008A0812">
              <w:t xml:space="preserve">TDH: 14 ft </w:t>
            </w:r>
          </w:p>
          <w:p w14:paraId="5694D97E" w14:textId="0C2F8F04" w:rsidR="008B280D" w:rsidRPr="008A0812" w:rsidRDefault="00DF2F51" w:rsidP="00541531">
            <w:pPr>
              <w:keepNext/>
              <w:overflowPunct/>
              <w:autoSpaceDE/>
              <w:autoSpaceDN/>
              <w:adjustRightInd/>
              <w:rPr>
                <w:rFonts w:ascii="Segoe UI" w:hAnsi="Segoe UI" w:cs="Segoe UI"/>
                <w:sz w:val="18"/>
                <w:szCs w:val="18"/>
              </w:rPr>
            </w:pPr>
            <w:r w:rsidRPr="008A0812">
              <w:t>Motor (ea</w:t>
            </w:r>
            <w:r w:rsidR="00F31571" w:rsidRPr="008A0812">
              <w:t>.</w:t>
            </w:r>
            <w:r w:rsidRPr="008A0812">
              <w:t>): 5 hp</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276893FC" w14:textId="164C8CE5" w:rsidR="008B280D" w:rsidRPr="008A0812" w:rsidRDefault="008B280D" w:rsidP="00F31571">
            <w:pPr>
              <w:keepNext/>
              <w:overflowPunct/>
              <w:autoSpaceDE/>
              <w:autoSpaceDN/>
              <w:adjustRightInd/>
              <w:rPr>
                <w:rFonts w:ascii="Segoe UI" w:hAnsi="Segoe UI" w:cs="Segoe UI"/>
                <w:sz w:val="18"/>
                <w:szCs w:val="18"/>
              </w:rPr>
            </w:pPr>
            <w:r w:rsidRPr="008A0812">
              <w:t xml:space="preserve">Each: </w:t>
            </w:r>
            <w:r w:rsidR="00DF2F51" w:rsidRPr="008A0812">
              <w:t>400</w:t>
            </w:r>
            <w:r w:rsidRPr="008A0812">
              <w:t xml:space="preserve"> gpm</w:t>
            </w:r>
          </w:p>
        </w:tc>
      </w:tr>
    </w:tbl>
    <w:p w14:paraId="195E8AD2" w14:textId="2A0FC244" w:rsidR="008B280D" w:rsidRPr="008A0812" w:rsidRDefault="002C72BF" w:rsidP="0023394E">
      <w:pPr>
        <w:pStyle w:val="Heading3"/>
      </w:pPr>
      <w:bookmarkStart w:id="77" w:name="_Toc41680811"/>
      <w:bookmarkStart w:id="78" w:name="_Hlk41481638"/>
      <w:r w:rsidRPr="008A0812">
        <w:t>Nitrogen Removal Carousel</w:t>
      </w:r>
      <w:bookmarkEnd w:id="77"/>
    </w:p>
    <w:p w14:paraId="1850475D" w14:textId="6DD2BFB6" w:rsidR="00601130" w:rsidRPr="008A0812" w:rsidRDefault="00601130" w:rsidP="00601130">
      <w:pPr>
        <w:pStyle w:val="BodyText"/>
      </w:pPr>
      <w:r w:rsidRPr="008A0812">
        <w:t>The NRC consists of an influent junction structure, equalization basin for belt press filtrate, anoxic basins, oxidation ditch for nitrification and denitrification, secondary clarification and auxiliary systems. The purpose of the NRC with pre-anoxic stages is to treat 3 mgd of raw wastewater and 0.2 to 0.6 mgd of belt press filtrate</w:t>
      </w:r>
      <w:r w:rsidR="006432E4" w:rsidRPr="008A0812">
        <w:t xml:space="preserve"> and centrate</w:t>
      </w:r>
      <w:r w:rsidR="00CF1B08" w:rsidRPr="008A0812">
        <w:t xml:space="preserve"> from the centrifuges</w:t>
      </w:r>
      <w:r w:rsidRPr="008A0812">
        <w:t xml:space="preserve">, which has a high ammonia content. Nitrogen removal is accomplished through the stepwise process of decomposition of organic material to ammonia, nitrification of ammonia to nitrate, and denitrification of nitrate to nitrogen gas. The carousel oxidation ditch with pre-anoxic stages uses the influent wastewater as an organic carbon source for denitrification and alternating aerobic/anoxic stages for a complete nitrogen removal. Mixed influent </w:t>
      </w:r>
      <w:r w:rsidR="00DC2734" w:rsidRPr="008A0812">
        <w:t xml:space="preserve">is conveyed </w:t>
      </w:r>
      <w:r w:rsidR="003916D7" w:rsidRPr="008A0812">
        <w:t xml:space="preserve">to the NRC with 3 screw lift pumps and </w:t>
      </w:r>
      <w:r w:rsidRPr="008A0812">
        <w:t>enters the oxidation ditch where it is aerated to raise the dissolved oxygen (DO) level to 2 mg/L. To increase detention time for efficient nitrogen removal, the flow is recycled internally at a rate of 2:1 to 4:1 (recycle</w:t>
      </w:r>
      <w:r w:rsidR="00DC2734" w:rsidRPr="008A0812">
        <w:t>:</w:t>
      </w:r>
      <w:r w:rsidRPr="008A0812">
        <w:t xml:space="preserve">NRC influent). RAS is used to maintain a high microorganism concentration. The rated design capacity of the NRC is approximately 3 mgd. The NRC design criteria </w:t>
      </w:r>
      <w:r w:rsidR="00EE4363" w:rsidRPr="008A0812">
        <w:t>is</w:t>
      </w:r>
      <w:r w:rsidRPr="008A0812">
        <w:t xml:space="preserve"> summarized in </w:t>
      </w:r>
      <w:r w:rsidR="00AA2FB4" w:rsidRPr="008A0812">
        <w:fldChar w:fldCharType="begin"/>
      </w:r>
      <w:r w:rsidR="00AA2FB4" w:rsidRPr="008A0812">
        <w:instrText xml:space="preserve"> REF _Ref36214342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12</w:t>
      </w:r>
      <w:r w:rsidR="00AA2FB4" w:rsidRPr="008A0812">
        <w:fldChar w:fldCharType="end"/>
      </w:r>
      <w:r w:rsidRPr="008A0812">
        <w:t xml:space="preserve">. </w:t>
      </w:r>
    </w:p>
    <w:p w14:paraId="5ACE6D83" w14:textId="0C4EE205" w:rsidR="00601130" w:rsidRPr="008A0812" w:rsidRDefault="00AA2FB4" w:rsidP="00AA2FB4">
      <w:pPr>
        <w:pStyle w:val="Caption"/>
        <w:spacing w:before="200" w:after="120"/>
      </w:pPr>
      <w:bookmarkStart w:id="79" w:name="_Ref36214342"/>
      <w:bookmarkStart w:id="80" w:name="_Toc41684732"/>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12</w:t>
      </w:r>
      <w:r>
        <w:fldChar w:fldCharType="end"/>
      </w:r>
      <w:bookmarkEnd w:id="79"/>
      <w:r w:rsidRPr="008A0812">
        <w:t xml:space="preserve">: </w:t>
      </w:r>
      <w:r w:rsidR="00601130" w:rsidRPr="008A0812">
        <w:t>NRC Design Information</w:t>
      </w:r>
      <w:bookmarkEnd w:id="80"/>
      <w:r w:rsidR="00601130"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601130" w:rsidRPr="008A0812" w14:paraId="40D0DEB5" w14:textId="77777777" w:rsidTr="00EC6A40">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3C4C134E" w14:textId="77777777" w:rsidR="00601130" w:rsidRPr="008A0812" w:rsidRDefault="00601130" w:rsidP="00EE4363">
            <w:pPr>
              <w:overflowPunct/>
              <w:autoSpaceDE/>
              <w:autoSpaceDN/>
              <w:adjustRightInd/>
              <w:jc w:val="center"/>
              <w:rPr>
                <w:rFonts w:ascii="Segoe UI" w:hAnsi="Segoe UI" w:cs="Segoe UI"/>
                <w:sz w:val="18"/>
                <w:szCs w:val="18"/>
              </w:rPr>
            </w:pPr>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4D8D7392" w14:textId="77777777" w:rsidR="00601130" w:rsidRPr="008A0812" w:rsidRDefault="00601130" w:rsidP="00EE4363">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469798E2" w14:textId="77777777" w:rsidR="00601130" w:rsidRPr="008A0812" w:rsidRDefault="00601130" w:rsidP="00EE4363">
            <w:pPr>
              <w:overflowPunct/>
              <w:autoSpaceDE/>
              <w:autoSpaceDN/>
              <w:adjustRightInd/>
              <w:jc w:val="center"/>
              <w:rPr>
                <w:rFonts w:ascii="Segoe UI" w:hAnsi="Segoe UI" w:cs="Segoe UI"/>
                <w:sz w:val="18"/>
                <w:szCs w:val="18"/>
              </w:rPr>
            </w:pPr>
            <w:r w:rsidRPr="008A0812">
              <w:rPr>
                <w:rFonts w:cs="Segoe UI"/>
                <w:b/>
                <w:bCs/>
              </w:rPr>
              <w:t>Design Flow</w:t>
            </w:r>
          </w:p>
        </w:tc>
      </w:tr>
      <w:tr w:rsidR="00601130" w:rsidRPr="008A0812" w14:paraId="34D048C1" w14:textId="77777777" w:rsidTr="00EC6A40">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27FC9FF8"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Nitrogen Removal Carousel</w:t>
            </w:r>
          </w:p>
        </w:tc>
        <w:tc>
          <w:tcPr>
            <w:tcW w:w="3450" w:type="dxa"/>
            <w:tcBorders>
              <w:top w:val="nil"/>
              <w:left w:val="nil"/>
              <w:bottom w:val="single" w:sz="6" w:space="0" w:color="auto"/>
              <w:right w:val="single" w:sz="6" w:space="0" w:color="auto"/>
            </w:tcBorders>
            <w:shd w:val="clear" w:color="auto" w:fill="auto"/>
            <w:hideMark/>
          </w:tcPr>
          <w:p w14:paraId="2191BB3F"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SRT (Overall/Nitrification): 20/10</w:t>
            </w:r>
          </w:p>
          <w:p w14:paraId="6EC924AB" w14:textId="62228AC9" w:rsidR="00601130" w:rsidRPr="008A0812" w:rsidRDefault="00601130" w:rsidP="00EC6A40">
            <w:pPr>
              <w:overflowPunct/>
              <w:autoSpaceDE/>
              <w:autoSpaceDN/>
              <w:adjustRightInd/>
              <w:rPr>
                <w:rFonts w:ascii="Segoe UI" w:hAnsi="Segoe UI" w:cs="Segoe UI"/>
                <w:sz w:val="18"/>
                <w:szCs w:val="18"/>
              </w:rPr>
            </w:pPr>
            <w:r w:rsidRPr="008A0812">
              <w:rPr>
                <w:rFonts w:cs="Segoe UI"/>
              </w:rPr>
              <w:t>MLSS</w:t>
            </w:r>
            <w:r w:rsidR="00EE4363" w:rsidRPr="008A0812">
              <w:rPr>
                <w:rFonts w:cs="Segoe UI"/>
              </w:rPr>
              <w:t>:</w:t>
            </w:r>
            <w:r w:rsidRPr="008A0812">
              <w:rPr>
                <w:rFonts w:cs="Segoe UI"/>
              </w:rPr>
              <w:t xml:space="preserve"> 4,000</w:t>
            </w:r>
          </w:p>
          <w:p w14:paraId="3590AA95"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Temperature 15 deg C to 25 deg C</w:t>
            </w:r>
          </w:p>
        </w:tc>
        <w:tc>
          <w:tcPr>
            <w:tcW w:w="3105" w:type="dxa"/>
            <w:tcBorders>
              <w:top w:val="nil"/>
              <w:left w:val="nil"/>
              <w:bottom w:val="single" w:sz="6" w:space="0" w:color="auto"/>
              <w:right w:val="single" w:sz="6" w:space="0" w:color="auto"/>
            </w:tcBorders>
            <w:shd w:val="clear" w:color="auto" w:fill="auto"/>
            <w:hideMark/>
          </w:tcPr>
          <w:p w14:paraId="09ECF6B7"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3.6 mgd</w:t>
            </w:r>
          </w:p>
          <w:p w14:paraId="62C18320" w14:textId="21583FE4" w:rsidR="00601130" w:rsidRPr="008A0812" w:rsidRDefault="00601130" w:rsidP="00EC6A40">
            <w:pPr>
              <w:overflowPunct/>
              <w:autoSpaceDE/>
              <w:autoSpaceDN/>
              <w:adjustRightInd/>
              <w:rPr>
                <w:rFonts w:ascii="Segoe UI" w:hAnsi="Segoe UI" w:cs="Segoe UI"/>
                <w:sz w:val="18"/>
                <w:szCs w:val="18"/>
              </w:rPr>
            </w:pPr>
            <w:r w:rsidRPr="008A0812">
              <w:rPr>
                <w:rFonts w:cs="Segoe UI"/>
              </w:rPr>
              <w:t>(3 mgd raw WW + 0.6 mgd filtrate</w:t>
            </w:r>
            <w:r w:rsidR="00DC2734" w:rsidRPr="008A0812">
              <w:rPr>
                <w:rFonts w:cs="Segoe UI"/>
              </w:rPr>
              <w:t>/centrate</w:t>
            </w:r>
            <w:r w:rsidRPr="008A0812">
              <w:rPr>
                <w:rFonts w:cs="Segoe UI"/>
              </w:rPr>
              <w:t>)</w:t>
            </w:r>
          </w:p>
        </w:tc>
      </w:tr>
      <w:tr w:rsidR="00601130" w:rsidRPr="008A0812" w14:paraId="1C67B933" w14:textId="77777777" w:rsidTr="00EC6A40">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3583DDB2"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NRC Secondary Clarifier</w:t>
            </w:r>
          </w:p>
        </w:tc>
        <w:tc>
          <w:tcPr>
            <w:tcW w:w="3450" w:type="dxa"/>
            <w:tcBorders>
              <w:top w:val="nil"/>
              <w:left w:val="nil"/>
              <w:bottom w:val="single" w:sz="6" w:space="0" w:color="auto"/>
              <w:right w:val="single" w:sz="6" w:space="0" w:color="auto"/>
            </w:tcBorders>
            <w:shd w:val="clear" w:color="auto" w:fill="auto"/>
            <w:hideMark/>
          </w:tcPr>
          <w:p w14:paraId="1EDCB761" w14:textId="4DAC392F" w:rsidR="00601130" w:rsidRPr="008A0812" w:rsidRDefault="00601130" w:rsidP="00EC6A40">
            <w:pPr>
              <w:overflowPunct/>
              <w:autoSpaceDE/>
              <w:autoSpaceDN/>
              <w:adjustRightInd/>
              <w:rPr>
                <w:rFonts w:ascii="Segoe UI" w:hAnsi="Segoe UI" w:cs="Segoe UI"/>
                <w:sz w:val="18"/>
                <w:szCs w:val="18"/>
              </w:rPr>
            </w:pPr>
            <w:r w:rsidRPr="008A0812">
              <w:rPr>
                <w:rFonts w:cs="Segoe UI"/>
              </w:rPr>
              <w:t>Diameter: 110 f</w:t>
            </w:r>
            <w:r w:rsidR="00156664" w:rsidRPr="008A0812">
              <w:rPr>
                <w:rFonts w:cs="Segoe UI"/>
              </w:rPr>
              <w:t>t</w:t>
            </w:r>
          </w:p>
          <w:p w14:paraId="1473C32E" w14:textId="0DBA3599" w:rsidR="00601130" w:rsidRPr="008A0812" w:rsidRDefault="00601130" w:rsidP="00EC6A40">
            <w:pPr>
              <w:overflowPunct/>
              <w:autoSpaceDE/>
              <w:autoSpaceDN/>
              <w:adjustRightInd/>
              <w:rPr>
                <w:rFonts w:ascii="Segoe UI" w:hAnsi="Segoe UI" w:cs="Segoe UI"/>
                <w:sz w:val="18"/>
                <w:szCs w:val="18"/>
              </w:rPr>
            </w:pPr>
            <w:r w:rsidRPr="008A0812">
              <w:rPr>
                <w:rFonts w:cs="Segoe UI"/>
              </w:rPr>
              <w:t xml:space="preserve">Side </w:t>
            </w:r>
            <w:r w:rsidR="00EE4363" w:rsidRPr="008A0812">
              <w:rPr>
                <w:rFonts w:cs="Segoe UI"/>
              </w:rPr>
              <w:t>W</w:t>
            </w:r>
            <w:r w:rsidRPr="008A0812">
              <w:rPr>
                <w:rFonts w:cs="Segoe UI"/>
              </w:rPr>
              <w:t>ater Depth: 15.3</w:t>
            </w:r>
            <w:r w:rsidR="00156664" w:rsidRPr="008A0812">
              <w:rPr>
                <w:rFonts w:cs="Segoe UI"/>
              </w:rPr>
              <w:t xml:space="preserve"> ft</w:t>
            </w:r>
          </w:p>
          <w:p w14:paraId="3813855E" w14:textId="023761C1" w:rsidR="00601130" w:rsidRPr="008A0812" w:rsidRDefault="00601130" w:rsidP="00EC6A40">
            <w:pPr>
              <w:overflowPunct/>
              <w:autoSpaceDE/>
              <w:autoSpaceDN/>
              <w:adjustRightInd/>
              <w:rPr>
                <w:rFonts w:ascii="Segoe UI" w:hAnsi="Segoe UI" w:cs="Segoe UI"/>
                <w:sz w:val="18"/>
                <w:szCs w:val="18"/>
              </w:rPr>
            </w:pPr>
            <w:r w:rsidRPr="008A0812">
              <w:rPr>
                <w:rFonts w:cs="Segoe UI"/>
              </w:rPr>
              <w:t>Maximum Overflow Rate: 400 gpd/s</w:t>
            </w:r>
            <w:r w:rsidR="00EE4363" w:rsidRPr="008A0812">
              <w:rPr>
                <w:rFonts w:cs="Segoe UI"/>
              </w:rPr>
              <w:t>f</w:t>
            </w:r>
          </w:p>
        </w:tc>
        <w:tc>
          <w:tcPr>
            <w:tcW w:w="3105" w:type="dxa"/>
            <w:tcBorders>
              <w:top w:val="nil"/>
              <w:left w:val="nil"/>
              <w:bottom w:val="single" w:sz="6" w:space="0" w:color="auto"/>
              <w:right w:val="single" w:sz="6" w:space="0" w:color="auto"/>
            </w:tcBorders>
            <w:shd w:val="clear" w:color="auto" w:fill="auto"/>
            <w:hideMark/>
          </w:tcPr>
          <w:p w14:paraId="5FF02FD4"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3.8 mgd </w:t>
            </w:r>
            <w:r w:rsidRPr="008A0812">
              <w:rPr>
                <w:rFonts w:cs="Segoe UI"/>
                <w:i/>
                <w:iCs/>
              </w:rPr>
              <w:t>(based on SOR)</w:t>
            </w:r>
          </w:p>
        </w:tc>
      </w:tr>
      <w:tr w:rsidR="00601130" w:rsidRPr="008A0812" w14:paraId="04F80D96" w14:textId="77777777" w:rsidTr="00EC6A40">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5238A38E"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NRC RAS Pumping</w:t>
            </w:r>
          </w:p>
        </w:tc>
        <w:tc>
          <w:tcPr>
            <w:tcW w:w="3450" w:type="dxa"/>
            <w:tcBorders>
              <w:top w:val="nil"/>
              <w:left w:val="nil"/>
              <w:bottom w:val="single" w:sz="6" w:space="0" w:color="auto"/>
              <w:right w:val="single" w:sz="6" w:space="0" w:color="auto"/>
            </w:tcBorders>
            <w:shd w:val="clear" w:color="auto" w:fill="auto"/>
            <w:hideMark/>
          </w:tcPr>
          <w:p w14:paraId="61E76A1B"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Quantity: 3 </w:t>
            </w:r>
          </w:p>
          <w:p w14:paraId="05DE80C1" w14:textId="6C632ABC" w:rsidR="00601130" w:rsidRPr="008A0812" w:rsidRDefault="00601130" w:rsidP="00EC6A40">
            <w:pPr>
              <w:overflowPunct/>
              <w:autoSpaceDE/>
              <w:autoSpaceDN/>
              <w:adjustRightInd/>
              <w:rPr>
                <w:rFonts w:ascii="Segoe UI" w:hAnsi="Segoe UI" w:cs="Segoe UI"/>
                <w:sz w:val="18"/>
                <w:szCs w:val="18"/>
              </w:rPr>
            </w:pPr>
            <w:r w:rsidRPr="008A0812">
              <w:rPr>
                <w:rFonts w:cs="Segoe UI"/>
              </w:rPr>
              <w:t xml:space="preserve">Motor (variable speed): 25 </w:t>
            </w:r>
            <w:r w:rsidR="00EE4363" w:rsidRPr="008A0812">
              <w:rPr>
                <w:rFonts w:cs="Segoe UI"/>
              </w:rPr>
              <w:t>hp</w:t>
            </w:r>
          </w:p>
        </w:tc>
        <w:tc>
          <w:tcPr>
            <w:tcW w:w="3105" w:type="dxa"/>
            <w:tcBorders>
              <w:top w:val="nil"/>
              <w:left w:val="nil"/>
              <w:bottom w:val="single" w:sz="6" w:space="0" w:color="auto"/>
              <w:right w:val="single" w:sz="6" w:space="0" w:color="auto"/>
            </w:tcBorders>
            <w:shd w:val="clear" w:color="auto" w:fill="auto"/>
            <w:hideMark/>
          </w:tcPr>
          <w:p w14:paraId="43FE11A7" w14:textId="5756D89B" w:rsidR="00601130" w:rsidRPr="008A0812" w:rsidRDefault="00601130" w:rsidP="00EC6A40">
            <w:pPr>
              <w:overflowPunct/>
              <w:autoSpaceDE/>
              <w:autoSpaceDN/>
              <w:adjustRightInd/>
              <w:rPr>
                <w:rFonts w:ascii="Segoe UI" w:hAnsi="Segoe UI" w:cs="Segoe UI"/>
                <w:sz w:val="18"/>
                <w:szCs w:val="18"/>
              </w:rPr>
            </w:pPr>
            <w:r w:rsidRPr="008A0812">
              <w:rPr>
                <w:rFonts w:cs="Segoe UI"/>
              </w:rPr>
              <w:t>Capacity (ea</w:t>
            </w:r>
            <w:r w:rsidR="00EE4363" w:rsidRPr="008A0812">
              <w:rPr>
                <w:rFonts w:cs="Segoe UI"/>
              </w:rPr>
              <w:t>.</w:t>
            </w:r>
            <w:r w:rsidRPr="008A0812">
              <w:rPr>
                <w:rFonts w:cs="Segoe UI"/>
              </w:rPr>
              <w:t>): 1,250 gpm</w:t>
            </w:r>
          </w:p>
        </w:tc>
      </w:tr>
      <w:tr w:rsidR="00601130" w:rsidRPr="008A0812" w14:paraId="19B11136" w14:textId="77777777" w:rsidTr="00EC6A40">
        <w:trPr>
          <w:trHeight w:val="285"/>
        </w:trPr>
        <w:tc>
          <w:tcPr>
            <w:tcW w:w="2775" w:type="dxa"/>
            <w:tcBorders>
              <w:top w:val="nil"/>
              <w:left w:val="single" w:sz="6" w:space="0" w:color="auto"/>
              <w:bottom w:val="single" w:sz="6" w:space="0" w:color="auto"/>
              <w:right w:val="single" w:sz="6" w:space="0" w:color="auto"/>
            </w:tcBorders>
            <w:shd w:val="clear" w:color="auto" w:fill="auto"/>
            <w:hideMark/>
          </w:tcPr>
          <w:p w14:paraId="3B2DE5C5" w14:textId="77777777" w:rsidR="00601130" w:rsidRPr="008A0812" w:rsidRDefault="00601130" w:rsidP="00EC6A40">
            <w:pPr>
              <w:overflowPunct/>
              <w:autoSpaceDE/>
              <w:autoSpaceDN/>
              <w:adjustRightInd/>
              <w:rPr>
                <w:rFonts w:ascii="Segoe UI" w:hAnsi="Segoe UI" w:cs="Segoe UI"/>
                <w:sz w:val="18"/>
                <w:szCs w:val="18"/>
              </w:rPr>
            </w:pPr>
            <w:r w:rsidRPr="008A0812">
              <w:rPr>
                <w:rFonts w:cs="Segoe UI"/>
              </w:rPr>
              <w:t>NRC WAS Pumping</w:t>
            </w:r>
          </w:p>
        </w:tc>
        <w:tc>
          <w:tcPr>
            <w:tcW w:w="3450" w:type="dxa"/>
            <w:tcBorders>
              <w:top w:val="nil"/>
              <w:left w:val="nil"/>
              <w:bottom w:val="single" w:sz="6" w:space="0" w:color="auto"/>
              <w:right w:val="single" w:sz="6" w:space="0" w:color="auto"/>
            </w:tcBorders>
            <w:shd w:val="clear" w:color="auto" w:fill="auto"/>
            <w:hideMark/>
          </w:tcPr>
          <w:p w14:paraId="6AD48BD5" w14:textId="462D3B84" w:rsidR="00601130" w:rsidRPr="008A0812" w:rsidRDefault="00601130" w:rsidP="00EC6A40">
            <w:pPr>
              <w:overflowPunct/>
              <w:autoSpaceDE/>
              <w:autoSpaceDN/>
              <w:adjustRightInd/>
              <w:rPr>
                <w:rFonts w:ascii="Segoe UI" w:hAnsi="Segoe UI" w:cs="Segoe UI"/>
                <w:sz w:val="18"/>
                <w:szCs w:val="18"/>
              </w:rPr>
            </w:pPr>
            <w:r w:rsidRPr="008A0812">
              <w:rPr>
                <w:rFonts w:cs="Segoe UI"/>
              </w:rPr>
              <w:t xml:space="preserve">Quantity: </w:t>
            </w:r>
            <w:r w:rsidR="00712B1C" w:rsidRPr="008A0812">
              <w:rPr>
                <w:rFonts w:cs="Segoe UI"/>
              </w:rPr>
              <w:t>2</w:t>
            </w:r>
          </w:p>
          <w:p w14:paraId="77055F57" w14:textId="309D9106" w:rsidR="00601130" w:rsidRPr="008A0812" w:rsidRDefault="00601130" w:rsidP="00EC6A40">
            <w:pPr>
              <w:overflowPunct/>
              <w:autoSpaceDE/>
              <w:autoSpaceDN/>
              <w:adjustRightInd/>
              <w:rPr>
                <w:rFonts w:ascii="Segoe UI" w:hAnsi="Segoe UI" w:cs="Segoe UI"/>
                <w:sz w:val="18"/>
                <w:szCs w:val="18"/>
              </w:rPr>
            </w:pPr>
            <w:r w:rsidRPr="008A0812">
              <w:rPr>
                <w:rFonts w:cs="Segoe UI"/>
              </w:rPr>
              <w:t xml:space="preserve">Motor (variable speed): 5 </w:t>
            </w:r>
            <w:r w:rsidR="00EE4363" w:rsidRPr="008A0812">
              <w:rPr>
                <w:rFonts w:cs="Segoe UI"/>
              </w:rPr>
              <w:t>hp</w:t>
            </w:r>
          </w:p>
        </w:tc>
        <w:tc>
          <w:tcPr>
            <w:tcW w:w="3105" w:type="dxa"/>
            <w:tcBorders>
              <w:top w:val="nil"/>
              <w:left w:val="nil"/>
              <w:bottom w:val="single" w:sz="6" w:space="0" w:color="auto"/>
              <w:right w:val="single" w:sz="6" w:space="0" w:color="auto"/>
            </w:tcBorders>
            <w:shd w:val="clear" w:color="auto" w:fill="auto"/>
            <w:hideMark/>
          </w:tcPr>
          <w:p w14:paraId="24277B47" w14:textId="39C08841" w:rsidR="00601130" w:rsidRPr="008A0812" w:rsidRDefault="00601130" w:rsidP="00EC6A40">
            <w:pPr>
              <w:overflowPunct/>
              <w:autoSpaceDE/>
              <w:autoSpaceDN/>
              <w:adjustRightInd/>
              <w:rPr>
                <w:rFonts w:ascii="Segoe UI" w:hAnsi="Segoe UI" w:cs="Segoe UI"/>
                <w:sz w:val="18"/>
                <w:szCs w:val="18"/>
              </w:rPr>
            </w:pPr>
            <w:r w:rsidRPr="008A0812">
              <w:rPr>
                <w:rFonts w:cs="Segoe UI"/>
              </w:rPr>
              <w:t>Capacity (ea</w:t>
            </w:r>
            <w:r w:rsidR="00EE4363" w:rsidRPr="008A0812">
              <w:rPr>
                <w:rFonts w:cs="Segoe UI"/>
              </w:rPr>
              <w:t>.</w:t>
            </w:r>
            <w:r w:rsidRPr="008A0812">
              <w:rPr>
                <w:rFonts w:cs="Segoe UI"/>
              </w:rPr>
              <w:t>): 250 gpm</w:t>
            </w:r>
          </w:p>
        </w:tc>
      </w:tr>
    </w:tbl>
    <w:p w14:paraId="6F28AF4B" w14:textId="63B783E3" w:rsidR="00736561" w:rsidRPr="008A0812" w:rsidRDefault="00736561" w:rsidP="00736561">
      <w:pPr>
        <w:pStyle w:val="Heading3"/>
        <w:numPr>
          <w:ilvl w:val="2"/>
          <w:numId w:val="1"/>
        </w:numPr>
      </w:pPr>
      <w:bookmarkStart w:id="81" w:name="_Toc41680812"/>
      <w:r w:rsidRPr="008A0812">
        <w:t>Solids Handling</w:t>
      </w:r>
      <w:bookmarkEnd w:id="81"/>
    </w:p>
    <w:p w14:paraId="5F42DB74" w14:textId="5D76D95E" w:rsidR="002D0FFE" w:rsidRPr="008A0812" w:rsidRDefault="002D0FFE" w:rsidP="00BC3044">
      <w:pPr>
        <w:pStyle w:val="Heading4"/>
      </w:pPr>
      <w:bookmarkStart w:id="82" w:name="_Toc41680813"/>
      <w:bookmarkEnd w:id="78"/>
      <w:r w:rsidRPr="008A0812">
        <w:t>Solids Thickening</w:t>
      </w:r>
      <w:bookmarkEnd w:id="82"/>
    </w:p>
    <w:p w14:paraId="1A6D37C6" w14:textId="30A12D58" w:rsidR="00B25495" w:rsidRPr="008A0812" w:rsidRDefault="00DF2F51" w:rsidP="00100A2F">
      <w:pPr>
        <w:pStyle w:val="BodyText"/>
      </w:pPr>
      <w:r w:rsidRPr="008A0812">
        <w:t xml:space="preserve">The solids thickening process consists of a thickener basin and mechanisms, pressurization systems, air supply systems, thickened sludge pumping system and polymer feed system. The DAF thickeners use recycle pressurization for dissolving air into the recycle stream. Recycle ratio ranges from two to four times the WAS influent. Design criteria for the DAF thickening system </w:t>
      </w:r>
      <w:r w:rsidR="00156664" w:rsidRPr="008A0812">
        <w:t>is</w:t>
      </w:r>
      <w:r w:rsidRPr="008A0812">
        <w:t xml:space="preserve"> summarized in </w:t>
      </w:r>
      <w:r w:rsidR="00AA2FB4" w:rsidRPr="008A0812">
        <w:fldChar w:fldCharType="begin"/>
      </w:r>
      <w:r w:rsidR="00AA2FB4" w:rsidRPr="008A0812">
        <w:instrText xml:space="preserve"> REF _Ref36214365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13</w:t>
      </w:r>
      <w:r w:rsidR="00AA2FB4" w:rsidRPr="008A0812">
        <w:fldChar w:fldCharType="end"/>
      </w:r>
      <w:r w:rsidR="00100A2F" w:rsidRPr="008A0812">
        <w:t xml:space="preserve">. </w:t>
      </w:r>
    </w:p>
    <w:p w14:paraId="6BE13E0A" w14:textId="77777777" w:rsidR="00B25495" w:rsidRPr="008A0812" w:rsidRDefault="00B25495">
      <w:pPr>
        <w:overflowPunct/>
        <w:autoSpaceDE/>
        <w:autoSpaceDN/>
        <w:adjustRightInd/>
        <w:textAlignment w:val="auto"/>
      </w:pPr>
      <w:r w:rsidRPr="008A0812">
        <w:br w:type="page"/>
      </w:r>
    </w:p>
    <w:p w14:paraId="6B016677" w14:textId="1FAD72A8" w:rsidR="00100A2F" w:rsidRPr="008A0812" w:rsidRDefault="00AA2FB4" w:rsidP="00AA2FB4">
      <w:pPr>
        <w:pStyle w:val="Caption"/>
        <w:spacing w:before="200" w:after="120"/>
      </w:pPr>
      <w:bookmarkStart w:id="83" w:name="_Ref36214365"/>
      <w:bookmarkStart w:id="84" w:name="_Toc41684733"/>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13</w:t>
      </w:r>
      <w:r>
        <w:fldChar w:fldCharType="end"/>
      </w:r>
      <w:bookmarkEnd w:id="83"/>
      <w:r w:rsidRPr="008A0812">
        <w:t xml:space="preserve">: </w:t>
      </w:r>
      <w:r w:rsidR="00505F7F" w:rsidRPr="008A0812">
        <w:t xml:space="preserve">Solids </w:t>
      </w:r>
      <w:r w:rsidR="00B85D25" w:rsidRPr="008A0812">
        <w:t>Thicken</w:t>
      </w:r>
      <w:r w:rsidR="00505F7F" w:rsidRPr="008A0812">
        <w:t>ing</w:t>
      </w:r>
      <w:r w:rsidR="00B85D25" w:rsidRPr="008A0812">
        <w:t xml:space="preserve"> </w:t>
      </w:r>
      <w:r w:rsidR="00100A2F" w:rsidRPr="008A0812">
        <w:t>Design Information</w:t>
      </w:r>
      <w:bookmarkEnd w:id="84"/>
      <w:r w:rsidR="00100A2F"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100A2F" w:rsidRPr="008A0812" w14:paraId="42B108EB" w14:textId="77777777" w:rsidTr="00AA2FB4">
        <w:trPr>
          <w:cantSplit/>
          <w:tblHeader/>
        </w:trPr>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6144D1B4" w14:textId="5D8CFA56" w:rsidR="00100A2F" w:rsidRPr="008A0812" w:rsidRDefault="00100A2F" w:rsidP="00156664">
            <w:pPr>
              <w:overflowPunct/>
              <w:autoSpaceDE/>
              <w:autoSpaceDN/>
              <w:adjustRightInd/>
              <w:jc w:val="center"/>
              <w:rPr>
                <w:rFonts w:ascii="Segoe UI" w:hAnsi="Segoe UI" w:cs="Segoe UI"/>
                <w:sz w:val="18"/>
                <w:szCs w:val="18"/>
              </w:rPr>
            </w:pPr>
            <w:bookmarkStart w:id="85" w:name="_Hlk20127446"/>
            <w:r w:rsidRPr="008A0812">
              <w:rPr>
                <w:rFonts w:cs="Segoe UI"/>
                <w:b/>
                <w:bCs/>
              </w:rPr>
              <w:t>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282DE35F" w14:textId="046C98FA" w:rsidR="00100A2F" w:rsidRPr="008A0812" w:rsidRDefault="00100A2F" w:rsidP="00156664">
            <w:pPr>
              <w:overflowPunct/>
              <w:autoSpaceDE/>
              <w:autoSpaceDN/>
              <w:adjustRightInd/>
              <w:jc w:val="center"/>
              <w:rPr>
                <w:rFonts w:ascii="Segoe UI" w:hAnsi="Segoe UI" w:cs="Segoe UI"/>
                <w:sz w:val="18"/>
                <w:szCs w:val="18"/>
              </w:rPr>
            </w:pPr>
            <w:r w:rsidRPr="008A0812">
              <w:rPr>
                <w:rFonts w:cs="Segoe UI"/>
                <w:b/>
                <w:bCs/>
              </w:rPr>
              <w:t>Equipment 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03788C75" w14:textId="77777777" w:rsidR="00100A2F" w:rsidRPr="008A0812" w:rsidRDefault="00100A2F" w:rsidP="00156664">
            <w:pPr>
              <w:overflowPunct/>
              <w:autoSpaceDE/>
              <w:autoSpaceDN/>
              <w:adjustRightInd/>
              <w:jc w:val="center"/>
              <w:rPr>
                <w:rFonts w:ascii="Segoe UI" w:hAnsi="Segoe UI" w:cs="Segoe UI"/>
                <w:sz w:val="18"/>
                <w:szCs w:val="18"/>
              </w:rPr>
            </w:pPr>
            <w:r w:rsidRPr="008A0812">
              <w:rPr>
                <w:rFonts w:cs="Segoe UI"/>
                <w:b/>
                <w:bCs/>
              </w:rPr>
              <w:t>Design Flow</w:t>
            </w:r>
          </w:p>
        </w:tc>
      </w:tr>
      <w:tr w:rsidR="00100A2F" w:rsidRPr="008A0812" w14:paraId="169BA83C" w14:textId="77777777" w:rsidTr="00100A2F">
        <w:trPr>
          <w:trHeight w:val="3630"/>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1CB003DA" w14:textId="5535593B" w:rsidR="00100A2F" w:rsidRPr="008A0812" w:rsidRDefault="00100A2F" w:rsidP="00083148">
            <w:pPr>
              <w:overflowPunct/>
              <w:autoSpaceDE/>
              <w:autoSpaceDN/>
              <w:adjustRightInd/>
              <w:rPr>
                <w:rFonts w:ascii="Segoe UI" w:hAnsi="Segoe UI" w:cs="Segoe UI"/>
                <w:sz w:val="18"/>
                <w:szCs w:val="18"/>
              </w:rPr>
            </w:pPr>
            <w:r w:rsidRPr="008A0812">
              <w:rPr>
                <w:rFonts w:cs="Segoe UI"/>
              </w:rPr>
              <w:t>DAF Tanks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671C2E43" w14:textId="71A68E8E" w:rsidR="00100A2F" w:rsidRPr="008A0812" w:rsidRDefault="00100A2F" w:rsidP="00083148">
            <w:r w:rsidRPr="008A0812">
              <w:t xml:space="preserve">Quantity: 4 </w:t>
            </w:r>
            <w:r w:rsidR="00712B1C" w:rsidRPr="008A0812">
              <w:t>(3 in service)</w:t>
            </w:r>
          </w:p>
          <w:p w14:paraId="70ED5EDE" w14:textId="3A959E8D" w:rsidR="00100A2F" w:rsidRPr="008A0812" w:rsidRDefault="00100A2F" w:rsidP="00083148">
            <w:r w:rsidRPr="008A0812">
              <w:rPr>
                <w:u w:val="single"/>
              </w:rPr>
              <w:t>Diameter</w:t>
            </w:r>
            <w:r w:rsidRPr="008A0812">
              <w:t>:</w:t>
            </w:r>
          </w:p>
          <w:p w14:paraId="6101BFBC" w14:textId="18F05719" w:rsidR="00100A2F" w:rsidRPr="008A0812" w:rsidRDefault="00100A2F" w:rsidP="00083148">
            <w:r w:rsidRPr="008A0812">
              <w:t>DAF 1,</w:t>
            </w:r>
            <w:r w:rsidR="00ED000F" w:rsidRPr="008A0812">
              <w:t xml:space="preserve"> </w:t>
            </w:r>
            <w:r w:rsidRPr="008A0812">
              <w:t xml:space="preserve">2 and 4: 35 ft </w:t>
            </w:r>
          </w:p>
          <w:p w14:paraId="084A3258" w14:textId="0FD6836F" w:rsidR="00100A2F" w:rsidRPr="008A0812" w:rsidRDefault="00100A2F" w:rsidP="00083148">
            <w:r w:rsidRPr="008A0812">
              <w:t>DAF 3 (</w:t>
            </w:r>
            <w:r w:rsidRPr="008A0812">
              <w:rPr>
                <w:i/>
                <w:iCs/>
              </w:rPr>
              <w:t>not operation</w:t>
            </w:r>
            <w:r w:rsidR="00026FE1">
              <w:rPr>
                <w:i/>
                <w:iCs/>
              </w:rPr>
              <w:t>al</w:t>
            </w:r>
            <w:r w:rsidRPr="008A0812">
              <w:t xml:space="preserve">): 25 ft </w:t>
            </w:r>
          </w:p>
          <w:p w14:paraId="61AD883B" w14:textId="52948EFA" w:rsidR="00100A2F" w:rsidRPr="008A0812" w:rsidRDefault="00100A2F" w:rsidP="00083148">
            <w:pPr>
              <w:rPr>
                <w:u w:val="single"/>
              </w:rPr>
            </w:pPr>
            <w:r w:rsidRPr="008A0812">
              <w:rPr>
                <w:u w:val="single"/>
              </w:rPr>
              <w:t>Effective Surface Area</w:t>
            </w:r>
            <w:r w:rsidRPr="008A0812">
              <w:t xml:space="preserve">: </w:t>
            </w:r>
          </w:p>
          <w:p w14:paraId="753ED20D" w14:textId="48C60433" w:rsidR="00100A2F" w:rsidRPr="008A0812" w:rsidRDefault="00100A2F" w:rsidP="00083148">
            <w:r w:rsidRPr="008A0812">
              <w:t>25-ft. Diameter: 440 s</w:t>
            </w:r>
            <w:r w:rsidR="00156664" w:rsidRPr="008A0812">
              <w:t>f</w:t>
            </w:r>
            <w:r w:rsidRPr="008A0812">
              <w:t xml:space="preserve">. </w:t>
            </w:r>
          </w:p>
          <w:p w14:paraId="418BA870" w14:textId="3D77E67C" w:rsidR="00100A2F" w:rsidRPr="008A0812" w:rsidRDefault="00100A2F" w:rsidP="00083148">
            <w:r w:rsidRPr="008A0812">
              <w:t>35-ft. Diameter: 880 s</w:t>
            </w:r>
            <w:r w:rsidR="00156664" w:rsidRPr="008A0812">
              <w:t>f</w:t>
            </w:r>
            <w:r w:rsidRPr="008A0812">
              <w:t xml:space="preserve">. </w:t>
            </w:r>
          </w:p>
          <w:p w14:paraId="453DE79A" w14:textId="08CB4DAB" w:rsidR="00100A2F" w:rsidRPr="008A0812" w:rsidRDefault="00100A2F" w:rsidP="00083148">
            <w:r w:rsidRPr="008A0812">
              <w:t>Side</w:t>
            </w:r>
            <w:r w:rsidR="00156664" w:rsidRPr="008A0812">
              <w:t xml:space="preserve"> W</w:t>
            </w:r>
            <w:r w:rsidRPr="008A0812">
              <w:t>ater Depth: 8.125 ft</w:t>
            </w:r>
          </w:p>
          <w:p w14:paraId="37014364" w14:textId="25B1AE58" w:rsidR="00100A2F" w:rsidRPr="008A0812" w:rsidRDefault="00100A2F" w:rsidP="00083148">
            <w:r w:rsidRPr="008A0812">
              <w:rPr>
                <w:u w:val="single"/>
              </w:rPr>
              <w:t>Loading Rate</w:t>
            </w:r>
            <w:r w:rsidRPr="008A0812">
              <w:t xml:space="preserve">: </w:t>
            </w:r>
          </w:p>
          <w:p w14:paraId="2F0737B6" w14:textId="52A7E415" w:rsidR="00100A2F" w:rsidRPr="008A0812" w:rsidRDefault="00100A2F" w:rsidP="00083148">
            <w:r w:rsidRPr="008A0812">
              <w:t>Solid: 1.0 lb./s</w:t>
            </w:r>
            <w:r w:rsidR="00156664" w:rsidRPr="008A0812">
              <w:t>f</w:t>
            </w:r>
            <w:r w:rsidRPr="008A0812">
              <w:t xml:space="preserve">/hr. </w:t>
            </w:r>
          </w:p>
          <w:p w14:paraId="35454A74" w14:textId="52A97D64" w:rsidR="00100A2F" w:rsidRPr="008A0812" w:rsidRDefault="00100A2F" w:rsidP="00083148">
            <w:r w:rsidRPr="008A0812">
              <w:t>Hydraulic: 1.0 gpm/s</w:t>
            </w:r>
            <w:r w:rsidR="00156664" w:rsidRPr="008A0812">
              <w:t>f</w:t>
            </w:r>
            <w:r w:rsidRPr="008A0812">
              <w:t xml:space="preserve">. </w:t>
            </w:r>
          </w:p>
          <w:p w14:paraId="43DCF185" w14:textId="7EEA4E75" w:rsidR="00100A2F" w:rsidRPr="008A0812" w:rsidRDefault="00100A2F" w:rsidP="00083148">
            <w:r w:rsidRPr="008A0812">
              <w:rPr>
                <w:u w:val="single"/>
              </w:rPr>
              <w:t>Solids Capture Rate</w:t>
            </w:r>
            <w:r w:rsidRPr="008A0812">
              <w:t>:</w:t>
            </w:r>
          </w:p>
          <w:p w14:paraId="088D7728" w14:textId="67EA9AC9" w:rsidR="00100A2F" w:rsidRPr="008A0812" w:rsidRDefault="00156664" w:rsidP="00083148">
            <w:r w:rsidRPr="008A0812">
              <w:t>W</w:t>
            </w:r>
            <w:r w:rsidR="00100A2F" w:rsidRPr="008A0812">
              <w:t xml:space="preserve">ith </w:t>
            </w:r>
            <w:r w:rsidRPr="008A0812">
              <w:t>C</w:t>
            </w:r>
            <w:r w:rsidR="00100A2F" w:rsidRPr="008A0812">
              <w:t xml:space="preserve">hemical: 95% </w:t>
            </w:r>
          </w:p>
          <w:p w14:paraId="583AF454" w14:textId="2C962EB1" w:rsidR="00100A2F" w:rsidRPr="008A0812" w:rsidRDefault="00156664" w:rsidP="00083148">
            <w:pPr>
              <w:rPr>
                <w:rFonts w:ascii="Segoe UI" w:hAnsi="Segoe UI" w:cs="Segoe UI"/>
                <w:sz w:val="18"/>
                <w:szCs w:val="18"/>
              </w:rPr>
            </w:pPr>
            <w:r w:rsidRPr="008A0812">
              <w:t>W</w:t>
            </w:r>
            <w:r w:rsidR="00100A2F" w:rsidRPr="008A0812">
              <w:t xml:space="preserve">ithout </w:t>
            </w:r>
            <w:r w:rsidRPr="008A0812">
              <w:t>C</w:t>
            </w:r>
            <w:r w:rsidR="00100A2F" w:rsidRPr="008A0812">
              <w:t>hemical: 90%</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F2F5A5E" w14:textId="77777777" w:rsidR="00100A2F" w:rsidRPr="008A0812" w:rsidRDefault="00100A2F" w:rsidP="00156664">
            <w:pPr>
              <w:overflowPunct/>
              <w:autoSpaceDE/>
              <w:autoSpaceDN/>
              <w:adjustRightInd/>
              <w:rPr>
                <w:rFonts w:cs="Segoe UI"/>
              </w:rPr>
            </w:pPr>
            <w:r w:rsidRPr="008A0812">
              <w:rPr>
                <w:rFonts w:cs="Segoe UI"/>
              </w:rPr>
              <w:t>3.80 mgd</w:t>
            </w:r>
          </w:p>
          <w:p w14:paraId="68BC3073" w14:textId="6B86F971" w:rsidR="00100A2F" w:rsidRPr="008A0812" w:rsidRDefault="00100A2F" w:rsidP="00156664">
            <w:pPr>
              <w:overflowPunct/>
              <w:autoSpaceDE/>
              <w:autoSpaceDN/>
              <w:adjustRightInd/>
              <w:rPr>
                <w:rFonts w:cs="Segoe UI"/>
                <w:i/>
                <w:iCs/>
              </w:rPr>
            </w:pPr>
            <w:r w:rsidRPr="008A0812">
              <w:rPr>
                <w:rFonts w:cs="Segoe UI"/>
                <w:i/>
                <w:iCs/>
              </w:rPr>
              <w:t>(based on Hydraulic Loading rate)</w:t>
            </w:r>
          </w:p>
        </w:tc>
      </w:tr>
      <w:tr w:rsidR="00100A2F" w:rsidRPr="008A0812" w14:paraId="4CDBAF14" w14:textId="77777777" w:rsidTr="00083148">
        <w:trPr>
          <w:trHeight w:val="106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6C91D452" w14:textId="7AACFEED" w:rsidR="00100A2F" w:rsidRPr="008A0812" w:rsidRDefault="00100A2F" w:rsidP="00083148">
            <w:pPr>
              <w:overflowPunct/>
              <w:autoSpaceDE/>
              <w:autoSpaceDN/>
              <w:adjustRightInd/>
              <w:rPr>
                <w:rFonts w:ascii="Segoe UI" w:hAnsi="Segoe UI" w:cs="Segoe UI"/>
                <w:sz w:val="18"/>
                <w:szCs w:val="18"/>
              </w:rPr>
            </w:pPr>
            <w:r w:rsidRPr="008A0812">
              <w:t>TWAS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318B356B" w14:textId="2C9C40B1" w:rsidR="00100A2F" w:rsidRPr="008A0812" w:rsidRDefault="00100A2F" w:rsidP="00083148">
            <w:pPr>
              <w:overflowPunct/>
              <w:autoSpaceDE/>
              <w:autoSpaceDN/>
              <w:adjustRightInd/>
            </w:pPr>
            <w:r w:rsidRPr="008A0812">
              <w:t xml:space="preserve">Quantity: </w:t>
            </w:r>
            <w:r w:rsidR="00712B1C" w:rsidRPr="008A0812">
              <w:t xml:space="preserve">2 </w:t>
            </w:r>
            <w:r w:rsidRPr="008A0812">
              <w:t>(</w:t>
            </w:r>
            <w:r w:rsidR="00712B1C" w:rsidRPr="008A0812">
              <w:t>1</w:t>
            </w:r>
            <w:r w:rsidRPr="008A0812">
              <w:t>+1 standby)</w:t>
            </w:r>
          </w:p>
          <w:p w14:paraId="448D0570" w14:textId="59953517" w:rsidR="00100A2F" w:rsidRPr="008A0812" w:rsidRDefault="00100A2F" w:rsidP="00083148">
            <w:pPr>
              <w:overflowPunct/>
              <w:autoSpaceDE/>
              <w:autoSpaceDN/>
              <w:adjustRightInd/>
            </w:pPr>
            <w:r w:rsidRPr="008A0812">
              <w:t xml:space="preserve">Capacity (each): 400 gpm </w:t>
            </w:r>
          </w:p>
          <w:p w14:paraId="71168309" w14:textId="4C229164" w:rsidR="00100A2F" w:rsidRPr="008A0812" w:rsidRDefault="00100A2F" w:rsidP="00083148">
            <w:pPr>
              <w:overflowPunct/>
              <w:autoSpaceDE/>
              <w:autoSpaceDN/>
              <w:adjustRightInd/>
            </w:pPr>
            <w:r w:rsidRPr="008A0812">
              <w:t xml:space="preserve">TDH: 14 ft </w:t>
            </w:r>
          </w:p>
          <w:p w14:paraId="07ADD8F3" w14:textId="65308197" w:rsidR="00100A2F" w:rsidRPr="008A0812" w:rsidRDefault="00100A2F" w:rsidP="00083148">
            <w:pPr>
              <w:overflowPunct/>
              <w:autoSpaceDE/>
              <w:autoSpaceDN/>
              <w:adjustRightInd/>
              <w:rPr>
                <w:rFonts w:ascii="Segoe UI" w:hAnsi="Segoe UI" w:cs="Segoe UI"/>
                <w:sz w:val="18"/>
                <w:szCs w:val="18"/>
              </w:rPr>
            </w:pPr>
            <w:r w:rsidRPr="008A0812">
              <w:t>Motor (each): 5 hp</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3688C50" w14:textId="5DE1414C" w:rsidR="00100A2F" w:rsidRPr="008A0812" w:rsidRDefault="00100A2F" w:rsidP="00156664">
            <w:pPr>
              <w:overflowPunct/>
              <w:autoSpaceDE/>
              <w:autoSpaceDN/>
              <w:adjustRightInd/>
              <w:rPr>
                <w:rFonts w:ascii="Segoe UI" w:hAnsi="Segoe UI" w:cs="Segoe UI"/>
                <w:sz w:val="18"/>
                <w:szCs w:val="18"/>
              </w:rPr>
            </w:pPr>
            <w:r w:rsidRPr="008A0812">
              <w:t>100 gpm</w:t>
            </w:r>
          </w:p>
        </w:tc>
      </w:tr>
    </w:tbl>
    <w:p w14:paraId="01F5B27A" w14:textId="5A9C9F07" w:rsidR="002D0FFE" w:rsidRPr="008A0812" w:rsidRDefault="002D0FFE" w:rsidP="00BC3044">
      <w:pPr>
        <w:pStyle w:val="Heading4"/>
      </w:pPr>
      <w:bookmarkStart w:id="86" w:name="_Toc41680814"/>
      <w:bookmarkEnd w:id="85"/>
      <w:r w:rsidRPr="008A0812">
        <w:t>Anaerobic Digestion</w:t>
      </w:r>
      <w:bookmarkEnd w:id="86"/>
    </w:p>
    <w:p w14:paraId="72C1C02F" w14:textId="77777777" w:rsidR="00100A2F" w:rsidRPr="008A0812" w:rsidRDefault="00100A2F" w:rsidP="00100A2F">
      <w:pPr>
        <w:pStyle w:val="BodyText"/>
      </w:pPr>
      <w:r w:rsidRPr="008A0812">
        <w:t>There are four anaerobic digester tanks (Digesters A - D) that are fed continuously and overflow to digested sludge storage tanks. The digesters are mixed with pumps and nozzles to recirculate flows within the tanks. The digester feed solids are heated by spiral heat exchangers before entering the digester tanks.</w:t>
      </w:r>
    </w:p>
    <w:p w14:paraId="4FF273C3" w14:textId="54E12FE5" w:rsidR="00100A2F" w:rsidRPr="008A0812" w:rsidRDefault="00100A2F" w:rsidP="00100A2F">
      <w:pPr>
        <w:pStyle w:val="BodyText"/>
      </w:pPr>
      <w:r w:rsidRPr="008A0812">
        <w:t>Digesters A and B were constructed in 1958 and were upgraded in 1983</w:t>
      </w:r>
      <w:r w:rsidR="00156664" w:rsidRPr="008A0812">
        <w:t>-</w:t>
      </w:r>
      <w:r w:rsidRPr="008A0812">
        <w:t>84 and 1989</w:t>
      </w:r>
      <w:r w:rsidR="00156664" w:rsidRPr="008A0812">
        <w:t>-</w:t>
      </w:r>
      <w:r w:rsidRPr="008A0812">
        <w:t>90. The dimensions of these are 90-foot diameter and approximately 33.5-foot sidewall with 10-foot deep cone section. Digesters A and B are concrete tanks with insulated metal lids with approximately 1.7 million gallons (MG) of liquid storage and an estimated 30,000 standard cubic feet (SCF) of DG storage in each digester. Digester B is currently out of service because the concrete is damaged which prevents pressurized operation and anaerobic conditions.</w:t>
      </w:r>
      <w:r w:rsidR="00511D8F">
        <w:t xml:space="preserve"> </w:t>
      </w:r>
      <w:r w:rsidR="005A1239">
        <w:t xml:space="preserve"> At the time of this Master Plan, the Department was in the process of preparing an RFP to </w:t>
      </w:r>
      <w:r w:rsidR="00AA6E7D">
        <w:t>replace Digester B.</w:t>
      </w:r>
    </w:p>
    <w:p w14:paraId="1FAE8C59" w14:textId="2A95EF95" w:rsidR="00B25495" w:rsidRPr="008A0812" w:rsidRDefault="00100A2F" w:rsidP="00100A2F">
      <w:pPr>
        <w:pStyle w:val="BodyText"/>
      </w:pPr>
      <w:r w:rsidRPr="008A0812">
        <w:t xml:space="preserve">Digesters C and D are the newer tanks built in the late 1980s with 90-foot diameter and approximately 36.5-foot sidewall and 10-foot deep cone section. These are concrete tanks with concrete lids. Digesters C and D have approximately 1.8 MG of liquid storage and 35,000 SCF of DG storage in each digester. Design criteria for anaerobic digestion </w:t>
      </w:r>
      <w:r w:rsidR="00156664" w:rsidRPr="008A0812">
        <w:t>is</w:t>
      </w:r>
      <w:r w:rsidRPr="008A0812">
        <w:t xml:space="preserve"> summarized in </w:t>
      </w:r>
      <w:r w:rsidR="00AA2FB4" w:rsidRPr="008A0812">
        <w:fldChar w:fldCharType="begin"/>
      </w:r>
      <w:r w:rsidR="00AA2FB4" w:rsidRPr="008A0812">
        <w:instrText xml:space="preserve"> REF _Ref36214421 \h </w:instrText>
      </w:r>
      <w:r w:rsidR="008A0812">
        <w:instrText xml:space="preserve"> \* MERGEFORMAT </w:instrText>
      </w:r>
      <w:r w:rsidR="00AA2FB4" w:rsidRPr="008A0812">
        <w:fldChar w:fldCharType="separate"/>
      </w:r>
      <w:r w:rsidR="00AA68F8" w:rsidRPr="008A0812">
        <w:t xml:space="preserve">Table </w:t>
      </w:r>
      <w:r w:rsidR="00AA68F8">
        <w:rPr>
          <w:noProof/>
        </w:rPr>
        <w:t>1</w:t>
      </w:r>
      <w:r w:rsidR="00AA68F8" w:rsidRPr="008A0812">
        <w:rPr>
          <w:noProof/>
        </w:rPr>
        <w:noBreakHyphen/>
      </w:r>
      <w:r w:rsidR="00AA68F8">
        <w:rPr>
          <w:noProof/>
        </w:rPr>
        <w:t>14</w:t>
      </w:r>
      <w:r w:rsidR="00AA2FB4" w:rsidRPr="008A0812">
        <w:fldChar w:fldCharType="end"/>
      </w:r>
      <w:r w:rsidRPr="008A0812">
        <w:t xml:space="preserve">. </w:t>
      </w:r>
    </w:p>
    <w:p w14:paraId="6EB972A2" w14:textId="77777777" w:rsidR="00B25495" w:rsidRPr="008A0812" w:rsidRDefault="00B25495">
      <w:pPr>
        <w:overflowPunct/>
        <w:autoSpaceDE/>
        <w:autoSpaceDN/>
        <w:adjustRightInd/>
        <w:textAlignment w:val="auto"/>
      </w:pPr>
      <w:r w:rsidRPr="008A0812">
        <w:br w:type="page"/>
      </w:r>
    </w:p>
    <w:p w14:paraId="064AF180" w14:textId="16605CAA" w:rsidR="00100A2F" w:rsidRPr="008A0812" w:rsidRDefault="00AA2FB4" w:rsidP="00AA2FB4">
      <w:pPr>
        <w:pStyle w:val="Caption"/>
        <w:spacing w:before="200" w:after="120"/>
      </w:pPr>
      <w:bookmarkStart w:id="87" w:name="_Ref36214421"/>
      <w:bookmarkStart w:id="88" w:name="_Toc41684734"/>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14</w:t>
      </w:r>
      <w:r>
        <w:fldChar w:fldCharType="end"/>
      </w:r>
      <w:bookmarkEnd w:id="87"/>
      <w:r w:rsidRPr="008A0812">
        <w:t xml:space="preserve">: </w:t>
      </w:r>
      <w:r w:rsidR="00DE61F5" w:rsidRPr="008A0812">
        <w:t>Anaerobic Digestion Design Information</w:t>
      </w:r>
      <w:bookmarkEnd w:id="88"/>
      <w:r w:rsidR="00100A2F" w:rsidRPr="008A0812">
        <w:t xml:space="preserve"> </w:t>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75"/>
        <w:gridCol w:w="3450"/>
        <w:gridCol w:w="3105"/>
      </w:tblGrid>
      <w:tr w:rsidR="00DE61F5" w:rsidRPr="008A0812" w14:paraId="68C3FBFC" w14:textId="77777777" w:rsidTr="00083148">
        <w:tc>
          <w:tcPr>
            <w:tcW w:w="277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5A86F72E" w14:textId="01FE5C51" w:rsidR="00DE61F5" w:rsidRPr="008A0812" w:rsidRDefault="00DE61F5" w:rsidP="00156664">
            <w:pPr>
              <w:overflowPunct/>
              <w:autoSpaceDE/>
              <w:autoSpaceDN/>
              <w:adjustRightInd/>
              <w:jc w:val="center"/>
              <w:rPr>
                <w:rFonts w:ascii="Segoe UI" w:hAnsi="Segoe UI" w:cs="Segoe UI"/>
                <w:sz w:val="18"/>
                <w:szCs w:val="18"/>
              </w:rPr>
            </w:pPr>
            <w:r w:rsidRPr="008A0812">
              <w:rPr>
                <w:rFonts w:cs="Segoe UI"/>
                <w:b/>
                <w:bCs/>
              </w:rPr>
              <w:t>Major Component</w:t>
            </w:r>
          </w:p>
        </w:tc>
        <w:tc>
          <w:tcPr>
            <w:tcW w:w="3450" w:type="dxa"/>
            <w:tcBorders>
              <w:top w:val="single" w:sz="6" w:space="0" w:color="auto"/>
              <w:left w:val="nil"/>
              <w:bottom w:val="single" w:sz="6" w:space="0" w:color="auto"/>
              <w:right w:val="single" w:sz="6" w:space="0" w:color="auto"/>
            </w:tcBorders>
            <w:shd w:val="clear" w:color="auto" w:fill="BFBFBF"/>
            <w:vAlign w:val="center"/>
            <w:hideMark/>
          </w:tcPr>
          <w:p w14:paraId="06C577E8" w14:textId="2725BF86" w:rsidR="00DE61F5" w:rsidRPr="008A0812" w:rsidRDefault="00DE61F5" w:rsidP="00156664">
            <w:pPr>
              <w:overflowPunct/>
              <w:autoSpaceDE/>
              <w:autoSpaceDN/>
              <w:adjustRightInd/>
              <w:jc w:val="center"/>
              <w:rPr>
                <w:rFonts w:ascii="Segoe UI" w:hAnsi="Segoe UI" w:cs="Segoe UI"/>
                <w:sz w:val="18"/>
                <w:szCs w:val="18"/>
              </w:rPr>
            </w:pPr>
            <w:r w:rsidRPr="008A0812">
              <w:rPr>
                <w:rFonts w:cs="Segoe UI"/>
                <w:b/>
                <w:bCs/>
              </w:rPr>
              <w:t>Description</w:t>
            </w:r>
          </w:p>
        </w:tc>
        <w:tc>
          <w:tcPr>
            <w:tcW w:w="3105" w:type="dxa"/>
            <w:tcBorders>
              <w:top w:val="single" w:sz="6" w:space="0" w:color="auto"/>
              <w:left w:val="nil"/>
              <w:bottom w:val="single" w:sz="6" w:space="0" w:color="auto"/>
              <w:right w:val="single" w:sz="6" w:space="0" w:color="auto"/>
            </w:tcBorders>
            <w:shd w:val="clear" w:color="auto" w:fill="BFBFBF"/>
            <w:vAlign w:val="center"/>
            <w:hideMark/>
          </w:tcPr>
          <w:p w14:paraId="6095AABD" w14:textId="77777777" w:rsidR="00DE61F5" w:rsidRPr="008A0812" w:rsidRDefault="00DE61F5" w:rsidP="00156664">
            <w:pPr>
              <w:overflowPunct/>
              <w:autoSpaceDE/>
              <w:autoSpaceDN/>
              <w:adjustRightInd/>
              <w:jc w:val="center"/>
              <w:rPr>
                <w:rFonts w:ascii="Segoe UI" w:hAnsi="Segoe UI" w:cs="Segoe UI"/>
                <w:sz w:val="18"/>
                <w:szCs w:val="18"/>
              </w:rPr>
            </w:pPr>
            <w:r w:rsidRPr="008A0812">
              <w:rPr>
                <w:rFonts w:cs="Segoe UI"/>
                <w:b/>
                <w:bCs/>
              </w:rPr>
              <w:t>Design Flow</w:t>
            </w:r>
          </w:p>
        </w:tc>
      </w:tr>
      <w:tr w:rsidR="00DE61F5" w:rsidRPr="008A0812" w14:paraId="13B59435" w14:textId="77777777" w:rsidTr="00DE61F5">
        <w:trPr>
          <w:trHeight w:val="3828"/>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41A6DEE5" w14:textId="162847ED" w:rsidR="00DE61F5" w:rsidRPr="008A0812" w:rsidRDefault="00DE61F5" w:rsidP="00083148">
            <w:pPr>
              <w:overflowPunct/>
              <w:autoSpaceDE/>
              <w:autoSpaceDN/>
              <w:adjustRightInd/>
              <w:rPr>
                <w:rFonts w:ascii="Segoe UI" w:hAnsi="Segoe UI" w:cs="Segoe UI"/>
                <w:sz w:val="18"/>
                <w:szCs w:val="18"/>
              </w:rPr>
            </w:pPr>
            <w:r w:rsidRPr="008A0812">
              <w:rPr>
                <w:rFonts w:cs="Segoe UI"/>
              </w:rPr>
              <w:t>Anaerobic Digesters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43EB6B2B" w14:textId="3E9C6CEC" w:rsidR="00DE61F5" w:rsidRPr="008A0812" w:rsidRDefault="00DE61F5" w:rsidP="00083148">
            <w:r w:rsidRPr="008A0812">
              <w:t xml:space="preserve">Quantity: 4 (3 in service) </w:t>
            </w:r>
          </w:p>
          <w:p w14:paraId="46FBACD0" w14:textId="120B77FF" w:rsidR="00DE61F5" w:rsidRPr="008A0812" w:rsidRDefault="00DE61F5" w:rsidP="00083148">
            <w:r w:rsidRPr="008A0812">
              <w:t xml:space="preserve">Diameter: 90 ft </w:t>
            </w:r>
          </w:p>
          <w:p w14:paraId="6017E1F8" w14:textId="5D073871" w:rsidR="00DE61F5" w:rsidRPr="008A0812" w:rsidRDefault="00DE61F5" w:rsidP="00083148">
            <w:r w:rsidRPr="008A0812">
              <w:rPr>
                <w:u w:val="single"/>
              </w:rPr>
              <w:t>Effective Digester Volume</w:t>
            </w:r>
            <w:r w:rsidRPr="008A0812">
              <w:t xml:space="preserve">: </w:t>
            </w:r>
          </w:p>
          <w:p w14:paraId="5CE0D487" w14:textId="790D39D6" w:rsidR="00DE61F5" w:rsidRPr="008A0812" w:rsidRDefault="00DE61F5" w:rsidP="00083148">
            <w:r w:rsidRPr="008A0812">
              <w:t>Digester A: 156,000 ft</w:t>
            </w:r>
            <w:r w:rsidRPr="008A0812">
              <w:rPr>
                <w:vertAlign w:val="superscript"/>
              </w:rPr>
              <w:t>3</w:t>
            </w:r>
            <w:r w:rsidRPr="008A0812">
              <w:t xml:space="preserve"> </w:t>
            </w:r>
          </w:p>
          <w:p w14:paraId="766E8E2A" w14:textId="0B70D170" w:rsidR="00DE61F5" w:rsidRPr="008A0812" w:rsidRDefault="00DE61F5" w:rsidP="00083148">
            <w:r w:rsidRPr="008A0812">
              <w:t>Digester C: 169,000 ft</w:t>
            </w:r>
            <w:r w:rsidRPr="008A0812">
              <w:rPr>
                <w:vertAlign w:val="superscript"/>
              </w:rPr>
              <w:t>3</w:t>
            </w:r>
            <w:r w:rsidRPr="008A0812">
              <w:t xml:space="preserve"> </w:t>
            </w:r>
          </w:p>
          <w:p w14:paraId="5A48503C" w14:textId="021F718F" w:rsidR="00DE61F5" w:rsidRPr="008A0812" w:rsidRDefault="00DE61F5" w:rsidP="00083148">
            <w:r w:rsidRPr="008A0812">
              <w:t>Digester D: 169,000 ft</w:t>
            </w:r>
            <w:r w:rsidRPr="008A0812">
              <w:rPr>
                <w:vertAlign w:val="superscript"/>
              </w:rPr>
              <w:t>3</w:t>
            </w:r>
            <w:r w:rsidRPr="008A0812">
              <w:t xml:space="preserve"> </w:t>
            </w:r>
          </w:p>
          <w:p w14:paraId="29811F99" w14:textId="0B543373" w:rsidR="00DE61F5" w:rsidRPr="008A0812" w:rsidRDefault="00DE61F5" w:rsidP="00083148">
            <w:r w:rsidRPr="008A0812">
              <w:t>Total: 494,000 ft</w:t>
            </w:r>
            <w:r w:rsidRPr="008A0812">
              <w:rPr>
                <w:vertAlign w:val="superscript"/>
              </w:rPr>
              <w:t>3</w:t>
            </w:r>
            <w:r w:rsidRPr="008A0812">
              <w:t xml:space="preserve"> </w:t>
            </w:r>
          </w:p>
          <w:p w14:paraId="511E8C16" w14:textId="3846749C" w:rsidR="00DE61F5" w:rsidRPr="008A0812" w:rsidRDefault="00DE61F5" w:rsidP="00083148">
            <w:r w:rsidRPr="008A0812">
              <w:rPr>
                <w:u w:val="single"/>
              </w:rPr>
              <w:t>Solids Loading</w:t>
            </w:r>
            <w:r w:rsidRPr="008A0812">
              <w:t>:</w:t>
            </w:r>
          </w:p>
          <w:p w14:paraId="0B699151" w14:textId="01F44721" w:rsidR="00DE61F5" w:rsidRPr="008A0812" w:rsidRDefault="00DE61F5" w:rsidP="00083148">
            <w:r w:rsidRPr="008A0812">
              <w:t xml:space="preserve">0.07 lb.-VSS/cu ft/day (average) </w:t>
            </w:r>
          </w:p>
          <w:p w14:paraId="6A273D83" w14:textId="1359659A" w:rsidR="00DE61F5" w:rsidRPr="008A0812" w:rsidRDefault="00DE61F5" w:rsidP="00083148">
            <w:r w:rsidRPr="008A0812">
              <w:t>0.09 lb.-VSS/cu ft/day (peak)</w:t>
            </w:r>
          </w:p>
          <w:p w14:paraId="64F2503B" w14:textId="679B89A8" w:rsidR="00DE61F5" w:rsidRPr="008A0812" w:rsidRDefault="00DE61F5" w:rsidP="00083148">
            <w:r w:rsidRPr="008A0812">
              <w:rPr>
                <w:u w:val="single"/>
              </w:rPr>
              <w:t>Hydraulic Retention Time</w:t>
            </w:r>
            <w:r w:rsidRPr="008A0812">
              <w:t>:</w:t>
            </w:r>
          </w:p>
          <w:p w14:paraId="0449ECAE" w14:textId="54FCD22A" w:rsidR="00DE61F5" w:rsidRPr="008A0812" w:rsidRDefault="00DE61F5" w:rsidP="00083148">
            <w:r w:rsidRPr="008A0812">
              <w:t xml:space="preserve">24.4 days (Average) </w:t>
            </w:r>
          </w:p>
          <w:p w14:paraId="57894C1D" w14:textId="021770D3" w:rsidR="00DE61F5" w:rsidRPr="008A0812" w:rsidRDefault="00DE61F5" w:rsidP="00083148">
            <w:r w:rsidRPr="008A0812">
              <w:t xml:space="preserve">19.0 days (Peak) </w:t>
            </w:r>
          </w:p>
          <w:p w14:paraId="22AABF34" w14:textId="585000C7" w:rsidR="00DE61F5" w:rsidRPr="008A0812" w:rsidRDefault="00DE61F5" w:rsidP="00083148">
            <w:pPr>
              <w:rPr>
                <w:i/>
                <w:iCs/>
              </w:rPr>
            </w:pPr>
            <w:r w:rsidRPr="008A0812">
              <w:t>Digester B: 169,000 ft</w:t>
            </w:r>
            <w:r w:rsidR="00ED000F" w:rsidRPr="008A0812">
              <w:rPr>
                <w:vertAlign w:val="superscript"/>
              </w:rPr>
              <w:t>3</w:t>
            </w:r>
            <w:r w:rsidRPr="008A0812">
              <w:t xml:space="preserve"> (</w:t>
            </w:r>
            <w:r w:rsidRPr="008A0812">
              <w:rPr>
                <w:i/>
                <w:iCs/>
              </w:rPr>
              <w:t>Abandoned in</w:t>
            </w:r>
          </w:p>
          <w:p w14:paraId="18F93534" w14:textId="54D273FA" w:rsidR="00DE61F5" w:rsidRPr="008A0812" w:rsidRDefault="00DE61F5" w:rsidP="00083148">
            <w:pPr>
              <w:rPr>
                <w:rFonts w:ascii="Segoe UI" w:hAnsi="Segoe UI" w:cs="Segoe UI"/>
                <w:sz w:val="18"/>
                <w:szCs w:val="18"/>
              </w:rPr>
            </w:pPr>
            <w:r w:rsidRPr="008A0812">
              <w:rPr>
                <w:i/>
                <w:iCs/>
              </w:rPr>
              <w:t>Place</w:t>
            </w:r>
            <w:r w:rsidR="00F0785D">
              <w:rPr>
                <w:i/>
                <w:iCs/>
              </w:rPr>
              <w:t>; RFP for replacement in pr</w:t>
            </w:r>
            <w:r w:rsidR="002165E4">
              <w:rPr>
                <w:i/>
                <w:iCs/>
              </w:rPr>
              <w:t>ogress</w:t>
            </w:r>
            <w:r w:rsidRPr="008A0812">
              <w:t>)</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3E05A610" w14:textId="79C07AD7" w:rsidR="00DE61F5" w:rsidRPr="008A0812" w:rsidRDefault="00DE61F5" w:rsidP="00156664">
            <w:pPr>
              <w:overflowPunct/>
              <w:autoSpaceDE/>
              <w:autoSpaceDN/>
              <w:adjustRightInd/>
              <w:rPr>
                <w:rFonts w:cs="Segoe UI"/>
              </w:rPr>
            </w:pPr>
            <w:r w:rsidRPr="008A0812">
              <w:rPr>
                <w:rFonts w:cs="Segoe UI"/>
              </w:rPr>
              <w:t>246,340 gpd sludge flow</w:t>
            </w:r>
          </w:p>
          <w:p w14:paraId="21AA0CB1" w14:textId="383E02FE" w:rsidR="00DE61F5" w:rsidRPr="008A0812" w:rsidRDefault="00DE61F5" w:rsidP="00156664">
            <w:pPr>
              <w:overflowPunct/>
              <w:autoSpaceDE/>
              <w:autoSpaceDN/>
              <w:adjustRightInd/>
              <w:rPr>
                <w:rFonts w:cs="Segoe UI"/>
                <w:i/>
                <w:iCs/>
              </w:rPr>
            </w:pPr>
            <w:r w:rsidRPr="008A0812">
              <w:rPr>
                <w:rFonts w:cs="Segoe UI"/>
                <w:i/>
                <w:iCs/>
              </w:rPr>
              <w:t>(based on HRT of 15 days</w:t>
            </w:r>
            <w:r w:rsidRPr="008A0812">
              <w:rPr>
                <w:rFonts w:cs="Segoe UI"/>
              </w:rPr>
              <w:t>)</w:t>
            </w:r>
          </w:p>
        </w:tc>
      </w:tr>
      <w:tr w:rsidR="00DE61F5" w:rsidRPr="008A0812" w14:paraId="1E910E69" w14:textId="77777777" w:rsidTr="00DE61F5">
        <w:trPr>
          <w:trHeight w:val="795"/>
        </w:trPr>
        <w:tc>
          <w:tcPr>
            <w:tcW w:w="2775" w:type="dxa"/>
            <w:tcBorders>
              <w:top w:val="single" w:sz="6" w:space="0" w:color="000000"/>
              <w:left w:val="single" w:sz="6" w:space="0" w:color="000000"/>
              <w:bottom w:val="single" w:sz="6" w:space="0" w:color="000000"/>
              <w:right w:val="single" w:sz="6" w:space="0" w:color="000000"/>
            </w:tcBorders>
            <w:shd w:val="clear" w:color="auto" w:fill="auto"/>
            <w:hideMark/>
          </w:tcPr>
          <w:p w14:paraId="380367AE" w14:textId="225C00EE" w:rsidR="00DE61F5" w:rsidRPr="008A0812" w:rsidRDefault="00DE61F5" w:rsidP="00083148">
            <w:pPr>
              <w:overflowPunct/>
              <w:autoSpaceDE/>
              <w:autoSpaceDN/>
              <w:adjustRightInd/>
              <w:rPr>
                <w:rFonts w:ascii="Segoe UI" w:hAnsi="Segoe UI" w:cs="Segoe UI"/>
                <w:sz w:val="18"/>
                <w:szCs w:val="18"/>
              </w:rPr>
            </w:pPr>
            <w:r w:rsidRPr="008A0812">
              <w:t>Digester Mixing Pumps</w:t>
            </w:r>
          </w:p>
        </w:tc>
        <w:tc>
          <w:tcPr>
            <w:tcW w:w="3450" w:type="dxa"/>
            <w:tcBorders>
              <w:top w:val="single" w:sz="6" w:space="0" w:color="000000"/>
              <w:left w:val="single" w:sz="6" w:space="0" w:color="000000"/>
              <w:bottom w:val="single" w:sz="6" w:space="0" w:color="000000"/>
              <w:right w:val="single" w:sz="6" w:space="0" w:color="000000"/>
            </w:tcBorders>
            <w:shd w:val="clear" w:color="auto" w:fill="auto"/>
            <w:hideMark/>
          </w:tcPr>
          <w:p w14:paraId="535F4F6C" w14:textId="7E3BF475" w:rsidR="00DE61F5" w:rsidRPr="008A0812" w:rsidRDefault="00DE61F5" w:rsidP="00083148">
            <w:pPr>
              <w:overflowPunct/>
              <w:autoSpaceDE/>
              <w:autoSpaceDN/>
              <w:adjustRightInd/>
            </w:pPr>
            <w:r w:rsidRPr="008A0812">
              <w:t>Quantity:</w:t>
            </w:r>
            <w:r w:rsidR="00DC2734" w:rsidRPr="008A0812">
              <w:t xml:space="preserve"> </w:t>
            </w:r>
            <w:r w:rsidR="00712B1C" w:rsidRPr="008A0812">
              <w:t>1</w:t>
            </w:r>
            <w:r w:rsidR="00DC2734" w:rsidRPr="008A0812">
              <w:t xml:space="preserve"> per digester</w:t>
            </w:r>
          </w:p>
          <w:p w14:paraId="42E838B1" w14:textId="26AEE2E5" w:rsidR="00DE61F5" w:rsidRPr="008A0812" w:rsidRDefault="00DE61F5" w:rsidP="00083148">
            <w:pPr>
              <w:overflowPunct/>
              <w:autoSpaceDE/>
              <w:autoSpaceDN/>
              <w:adjustRightInd/>
            </w:pPr>
            <w:r w:rsidRPr="008A0812">
              <w:t xml:space="preserve">Capacity (each): 8,000 gpm </w:t>
            </w:r>
          </w:p>
          <w:p w14:paraId="5A572512" w14:textId="210BB036" w:rsidR="00DE61F5" w:rsidRPr="008A0812" w:rsidRDefault="00DE61F5" w:rsidP="00083148">
            <w:pPr>
              <w:overflowPunct/>
              <w:autoSpaceDE/>
              <w:autoSpaceDN/>
              <w:adjustRightInd/>
              <w:rPr>
                <w:rFonts w:ascii="Segoe UI" w:hAnsi="Segoe UI" w:cs="Segoe UI"/>
                <w:sz w:val="18"/>
                <w:szCs w:val="18"/>
              </w:rPr>
            </w:pPr>
            <w:r w:rsidRPr="008A0812">
              <w:t xml:space="preserve">Motor (each): 60 </w:t>
            </w:r>
            <w:r w:rsidR="00120B1D" w:rsidRPr="008A0812">
              <w:t>hp</w:t>
            </w:r>
          </w:p>
        </w:tc>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C35FF54" w14:textId="7AD75A50" w:rsidR="00DE61F5" w:rsidRPr="008A0812" w:rsidRDefault="00DE61F5" w:rsidP="00156664">
            <w:pPr>
              <w:overflowPunct/>
              <w:autoSpaceDE/>
              <w:autoSpaceDN/>
              <w:adjustRightInd/>
              <w:rPr>
                <w:rFonts w:ascii="Segoe UI" w:hAnsi="Segoe UI" w:cs="Segoe UI"/>
                <w:sz w:val="18"/>
                <w:szCs w:val="18"/>
              </w:rPr>
            </w:pPr>
            <w:r w:rsidRPr="008A0812">
              <w:t>Each: 8,000 gpm</w:t>
            </w:r>
          </w:p>
        </w:tc>
      </w:tr>
    </w:tbl>
    <w:p w14:paraId="3466B3F4" w14:textId="0B540AF3" w:rsidR="0001710E" w:rsidRPr="008A0812" w:rsidRDefault="0001710E" w:rsidP="0001710E">
      <w:pPr>
        <w:pStyle w:val="Heading4"/>
      </w:pPr>
      <w:bookmarkStart w:id="89" w:name="_Toc41680815"/>
      <w:r w:rsidRPr="008A0812">
        <w:t>Digester Gas Management</w:t>
      </w:r>
      <w:bookmarkEnd w:id="89"/>
    </w:p>
    <w:p w14:paraId="631269FC" w14:textId="311421F4" w:rsidR="0001710E" w:rsidRPr="008A0812" w:rsidRDefault="0001710E" w:rsidP="0001710E">
      <w:pPr>
        <w:pStyle w:val="BodyText"/>
      </w:pPr>
      <w:r w:rsidRPr="008A0812">
        <w:t xml:space="preserve">The existing DG management system includes four anaerobic digester tanks, a low-pressure holding tank, a high-pressure holding tank, gas compressors, gas cleaning units, and a flare. DG is </w:t>
      </w:r>
      <w:r w:rsidR="00140DA2" w:rsidRPr="008A0812">
        <w:t>currently</w:t>
      </w:r>
      <w:r w:rsidRPr="008A0812">
        <w:t xml:space="preserve"> used to power digester gas-driven engines for pumps at the Arrowhead Pump Station, blowers, cogeneration, and boiler heating</w:t>
      </w:r>
      <w:r w:rsidR="00DC2734" w:rsidRPr="008A0812">
        <w:t xml:space="preserve"> as </w:t>
      </w:r>
      <w:r w:rsidRPr="008A0812">
        <w:t xml:space="preserve">shown </w:t>
      </w:r>
      <w:r w:rsidR="008F2A5E" w:rsidRPr="008A0812">
        <w:t>in</w:t>
      </w:r>
      <w:r w:rsidRPr="008A0812">
        <w:t xml:space="preserve"> </w:t>
      </w:r>
      <w:r w:rsidR="00AA2FB4" w:rsidRPr="008A0812">
        <w:fldChar w:fldCharType="begin"/>
      </w:r>
      <w:r w:rsidR="00AA2FB4" w:rsidRPr="008A0812">
        <w:instrText xml:space="preserve"> REF _Ref36214581 \h </w:instrText>
      </w:r>
      <w:r w:rsidR="008A0812">
        <w:instrText xml:space="preserve"> \* MERGEFORMAT </w:instrText>
      </w:r>
      <w:r w:rsidR="00AA2FB4" w:rsidRPr="008A0812">
        <w:fldChar w:fldCharType="separate"/>
      </w:r>
      <w:r w:rsidR="00AA68F8" w:rsidRPr="008A0812">
        <w:t xml:space="preserve">Figure </w:t>
      </w:r>
      <w:r w:rsidR="00AA68F8">
        <w:rPr>
          <w:noProof/>
        </w:rPr>
        <w:t>1</w:t>
      </w:r>
      <w:r w:rsidR="00AA68F8">
        <w:rPr>
          <w:noProof/>
        </w:rPr>
        <w:noBreakHyphen/>
        <w:t>3</w:t>
      </w:r>
      <w:r w:rsidR="00AA2FB4" w:rsidRPr="008A0812">
        <w:fldChar w:fldCharType="end"/>
      </w:r>
      <w:r w:rsidRPr="008A0812">
        <w:t>.</w:t>
      </w:r>
      <w:r w:rsidR="00DC2734" w:rsidRPr="008A0812">
        <w:t xml:space="preserve"> </w:t>
      </w:r>
      <w:r w:rsidR="003772F4" w:rsidRPr="008A0812">
        <w:t xml:space="preserve">In the future, </w:t>
      </w:r>
      <w:r w:rsidR="00DC2734" w:rsidRPr="008A0812">
        <w:t xml:space="preserve">DG </w:t>
      </w:r>
      <w:r w:rsidR="003772F4" w:rsidRPr="008A0812">
        <w:t xml:space="preserve">will be used to the fullest extent </w:t>
      </w:r>
      <w:r w:rsidR="00DC2734" w:rsidRPr="008A0812">
        <w:t xml:space="preserve">under the </w:t>
      </w:r>
      <w:r w:rsidR="001D117A" w:rsidRPr="008A0812">
        <w:t>DGBU</w:t>
      </w:r>
      <w:r w:rsidR="00DC2734" w:rsidRPr="008A0812">
        <w:t xml:space="preserve"> p</w:t>
      </w:r>
      <w:r w:rsidR="001D117A" w:rsidRPr="008A0812">
        <w:t>rogram</w:t>
      </w:r>
      <w:r w:rsidR="003772F4" w:rsidRPr="008A0812">
        <w:t xml:space="preserve">, which is currently in design. Under the DGBU, DG will be </w:t>
      </w:r>
      <w:r w:rsidR="001D117A" w:rsidRPr="008A0812">
        <w:t>used in a Fuel Cell system</w:t>
      </w:r>
      <w:r w:rsidR="003772F4" w:rsidRPr="008A0812">
        <w:t xml:space="preserve"> and </w:t>
      </w:r>
      <w:r w:rsidR="001D117A" w:rsidRPr="008A0812">
        <w:t xml:space="preserve">excess not used by the boilers </w:t>
      </w:r>
      <w:r w:rsidR="003772F4" w:rsidRPr="008A0812">
        <w:t xml:space="preserve">will be </w:t>
      </w:r>
      <w:r w:rsidR="001D117A" w:rsidRPr="008A0812">
        <w:t>flare</w:t>
      </w:r>
      <w:r w:rsidR="003772F4" w:rsidRPr="008A0812">
        <w:t xml:space="preserve">d by an Ultra-Low Emissions (ULE) flare (see Section </w:t>
      </w:r>
      <w:r w:rsidR="003772F4" w:rsidRPr="008A0812">
        <w:fldChar w:fldCharType="begin"/>
      </w:r>
      <w:r w:rsidR="003772F4" w:rsidRPr="008A0812">
        <w:instrText xml:space="preserve"> REF _Ref36327559 \r \h </w:instrText>
      </w:r>
      <w:r w:rsidR="008A0812">
        <w:instrText xml:space="preserve"> \* MERGEFORMAT </w:instrText>
      </w:r>
      <w:r w:rsidR="003772F4" w:rsidRPr="008A0812">
        <w:fldChar w:fldCharType="separate"/>
      </w:r>
      <w:r w:rsidR="00AA68F8">
        <w:t>7.3</w:t>
      </w:r>
      <w:r w:rsidR="003772F4" w:rsidRPr="008A0812">
        <w:fldChar w:fldCharType="end"/>
      </w:r>
      <w:r w:rsidR="003772F4" w:rsidRPr="008A0812">
        <w:t xml:space="preserve">). </w:t>
      </w:r>
    </w:p>
    <w:p w14:paraId="67A7F97F" w14:textId="03984B1D" w:rsidR="00AA2FB4" w:rsidRPr="008A0812" w:rsidRDefault="00AA2FB4" w:rsidP="00AA2FB4">
      <w:pPr>
        <w:pStyle w:val="FigureHeading"/>
      </w:pPr>
      <w:bookmarkStart w:id="90" w:name="_Ref36214581"/>
      <w:bookmarkStart w:id="91" w:name="_Toc36413929"/>
      <w:bookmarkStart w:id="92" w:name="_Toc41684656"/>
      <w:r w:rsidRPr="008A0812">
        <w:t xml:space="preserve">Figure </w:t>
      </w:r>
      <w:fldSimple w:instr=" STYLEREF 1 \s ">
        <w:r w:rsidR="00AA68F8">
          <w:rPr>
            <w:noProof/>
          </w:rPr>
          <w:t>1</w:t>
        </w:r>
      </w:fldSimple>
      <w:r w:rsidR="00B233D1">
        <w:noBreakHyphen/>
      </w:r>
      <w:fldSimple w:instr=" SEQ Figure \* ARABIC \s 1 ">
        <w:r w:rsidR="00AA68F8">
          <w:rPr>
            <w:noProof/>
          </w:rPr>
          <w:t>3</w:t>
        </w:r>
      </w:fldSimple>
      <w:bookmarkEnd w:id="90"/>
      <w:r w:rsidRPr="008A0812">
        <w:t>: Digester Gas Management</w:t>
      </w:r>
      <w:bookmarkEnd w:id="91"/>
      <w:bookmarkEnd w:id="92"/>
    </w:p>
    <w:p w14:paraId="3B5B1862" w14:textId="77777777" w:rsidR="0001710E" w:rsidRPr="008A0812" w:rsidRDefault="0001710E" w:rsidP="0001710E">
      <w:pPr>
        <w:pStyle w:val="BodyText"/>
      </w:pPr>
      <w:r>
        <w:rPr>
          <w:noProof/>
        </w:rPr>
        <w:drawing>
          <wp:inline distT="0" distB="0" distL="0" distR="0" wp14:anchorId="4C175037" wp14:editId="15884574">
            <wp:extent cx="5943600" cy="2290368"/>
            <wp:effectExtent l="0" t="0" r="0" b="0"/>
            <wp:docPr id="215517075" name="Picture 8" descr="C:\Users\jhodgens\AppData\Local\Microsoft\Windows\INetCache\Content.MSO\64A5B9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6">
                      <a:extLst>
                        <a:ext uri="{28A0092B-C50C-407E-A947-70E740481C1C}">
                          <a14:useLocalDpi xmlns:a14="http://schemas.microsoft.com/office/drawing/2010/main" val="0"/>
                        </a:ext>
                      </a:extLst>
                    </a:blip>
                    <a:stretch>
                      <a:fillRect/>
                    </a:stretch>
                  </pic:blipFill>
                  <pic:spPr>
                    <a:xfrm>
                      <a:off x="0" y="0"/>
                      <a:ext cx="5943600" cy="2290368"/>
                    </a:xfrm>
                    <a:prstGeom prst="rect">
                      <a:avLst/>
                    </a:prstGeom>
                  </pic:spPr>
                </pic:pic>
              </a:graphicData>
            </a:graphic>
          </wp:inline>
        </w:drawing>
      </w:r>
    </w:p>
    <w:p w14:paraId="6C05055D" w14:textId="29B689FF" w:rsidR="00ED000F" w:rsidRPr="008A0812" w:rsidRDefault="00ED000F" w:rsidP="00BC3044">
      <w:pPr>
        <w:pStyle w:val="Heading4"/>
      </w:pPr>
      <w:bookmarkStart w:id="93" w:name="_Toc20753343"/>
      <w:bookmarkStart w:id="94" w:name="_Toc41680816"/>
      <w:bookmarkEnd w:id="93"/>
      <w:r w:rsidRPr="008A0812">
        <w:t>Sludge Dewatering</w:t>
      </w:r>
      <w:bookmarkEnd w:id="94"/>
    </w:p>
    <w:p w14:paraId="6B492B84" w14:textId="4133749D" w:rsidR="00083148" w:rsidRPr="008A0812" w:rsidRDefault="00DE61F5" w:rsidP="00083148">
      <w:pPr>
        <w:pStyle w:val="BodyText"/>
      </w:pPr>
      <w:r w:rsidRPr="008A0812">
        <w:t xml:space="preserve">The sludge to be dewatered at </w:t>
      </w:r>
      <w:r w:rsidR="008F2A5E" w:rsidRPr="008A0812">
        <w:t>SB</w:t>
      </w:r>
      <w:r w:rsidRPr="008A0812">
        <w:t xml:space="preserve">WRP normally consists of a combination of anaerobically digested primary sludge, WAS from activated sludge </w:t>
      </w:r>
      <w:r w:rsidR="00E05D65" w:rsidRPr="008A0812">
        <w:t xml:space="preserve">tanks, </w:t>
      </w:r>
      <w:r w:rsidRPr="008A0812">
        <w:t xml:space="preserve">and WAS from </w:t>
      </w:r>
      <w:r w:rsidR="00E05D65" w:rsidRPr="008A0812">
        <w:t xml:space="preserve">the </w:t>
      </w:r>
      <w:r w:rsidRPr="008A0812">
        <w:t xml:space="preserve">NRC at a ratio of </w:t>
      </w:r>
      <w:r w:rsidR="00712B1C" w:rsidRPr="008A0812">
        <w:t>60</w:t>
      </w:r>
      <w:r w:rsidRPr="008A0812">
        <w:t xml:space="preserve">% primary to </w:t>
      </w:r>
      <w:r w:rsidR="00712B1C" w:rsidRPr="008A0812">
        <w:t>40</w:t>
      </w:r>
      <w:r w:rsidRPr="008A0812">
        <w:t xml:space="preserve">% </w:t>
      </w:r>
      <w:r w:rsidR="00712B1C" w:rsidRPr="008A0812">
        <w:t>T</w:t>
      </w:r>
      <w:r w:rsidRPr="008A0812">
        <w:t xml:space="preserve">WAS. </w:t>
      </w:r>
      <w:r w:rsidR="00E05D65" w:rsidRPr="008A0812">
        <w:t xml:space="preserve">In 2014, two centrifuges were installed in the dewatering building and are the primary dewatering method, with belt presses as back-ups. </w:t>
      </w:r>
      <w:r w:rsidRPr="008A0812">
        <w:t xml:space="preserve">The belt press system consists of a continuous belt filter press, belt wash system, sludge feed pump, and filtrate pump system. Each press operates identically and is designed to treat digested sludge with an average inlet solids concentration of approximately 2.5%. </w:t>
      </w:r>
      <w:r w:rsidR="00E05D65" w:rsidRPr="008A0812">
        <w:t xml:space="preserve">Design criteria for the dewatering system is summarized in </w:t>
      </w:r>
      <w:r w:rsidR="00E05D65" w:rsidRPr="008A0812">
        <w:fldChar w:fldCharType="begin"/>
      </w:r>
      <w:r w:rsidR="00E05D65" w:rsidRPr="008A0812">
        <w:instrText xml:space="preserve"> REF _Ref36214833 \h </w:instrText>
      </w:r>
      <w:r w:rsidR="008A0812">
        <w:instrText xml:space="preserve"> \* MERGEFORMAT </w:instrText>
      </w:r>
      <w:r w:rsidR="00E05D65" w:rsidRPr="008A0812">
        <w:fldChar w:fldCharType="separate"/>
      </w:r>
      <w:r w:rsidR="00AA68F8" w:rsidRPr="008A0812">
        <w:t xml:space="preserve">Table </w:t>
      </w:r>
      <w:r w:rsidR="00AA68F8">
        <w:rPr>
          <w:noProof/>
        </w:rPr>
        <w:t>1</w:t>
      </w:r>
      <w:r w:rsidR="00AA68F8" w:rsidRPr="008A0812">
        <w:rPr>
          <w:noProof/>
        </w:rPr>
        <w:noBreakHyphen/>
      </w:r>
      <w:r w:rsidR="00AA68F8">
        <w:rPr>
          <w:noProof/>
        </w:rPr>
        <w:t>15</w:t>
      </w:r>
      <w:r w:rsidR="00E05D65" w:rsidRPr="008A0812">
        <w:fldChar w:fldCharType="end"/>
      </w:r>
      <w:r w:rsidR="00E05D65" w:rsidRPr="008A0812">
        <w:t>.</w:t>
      </w:r>
    </w:p>
    <w:p w14:paraId="0B07B4A5" w14:textId="035AAABA" w:rsidR="003B6AE1" w:rsidRPr="008A0812" w:rsidRDefault="003B6AE1" w:rsidP="003B6AE1">
      <w:pPr>
        <w:pStyle w:val="Caption"/>
        <w:spacing w:before="200" w:after="120"/>
      </w:pPr>
      <w:bookmarkStart w:id="95" w:name="_Ref36214833"/>
      <w:bookmarkStart w:id="96" w:name="_Toc41684735"/>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15</w:t>
      </w:r>
      <w:r>
        <w:fldChar w:fldCharType="end"/>
      </w:r>
      <w:bookmarkEnd w:id="95"/>
      <w:r w:rsidRPr="008A0812">
        <w:t>: Dewatering Design Information</w:t>
      </w:r>
      <w:bookmarkEnd w:id="96"/>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99"/>
        <w:gridCol w:w="4194"/>
        <w:gridCol w:w="2538"/>
      </w:tblGrid>
      <w:tr w:rsidR="00083148" w:rsidRPr="008A0812" w14:paraId="6E42E05B" w14:textId="77777777" w:rsidTr="00DA54E6">
        <w:tc>
          <w:tcPr>
            <w:tcW w:w="2599" w:type="dxa"/>
            <w:tcBorders>
              <w:top w:val="single" w:sz="6" w:space="0" w:color="000000"/>
              <w:left w:val="single" w:sz="6" w:space="0" w:color="000000"/>
              <w:bottom w:val="single" w:sz="6" w:space="0" w:color="000000"/>
              <w:right w:val="single" w:sz="6" w:space="0" w:color="000000"/>
            </w:tcBorders>
            <w:shd w:val="clear" w:color="auto" w:fill="DADADA"/>
            <w:hideMark/>
          </w:tcPr>
          <w:p w14:paraId="6CDF3594" w14:textId="1C1AE811"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Major Component</w:t>
            </w:r>
          </w:p>
        </w:tc>
        <w:tc>
          <w:tcPr>
            <w:tcW w:w="4194" w:type="dxa"/>
            <w:tcBorders>
              <w:top w:val="single" w:sz="6" w:space="0" w:color="000000"/>
              <w:left w:val="single" w:sz="6" w:space="0" w:color="000000"/>
              <w:bottom w:val="single" w:sz="6" w:space="0" w:color="000000"/>
              <w:right w:val="single" w:sz="6" w:space="0" w:color="000000"/>
            </w:tcBorders>
            <w:shd w:val="clear" w:color="auto" w:fill="DADADA"/>
            <w:hideMark/>
          </w:tcPr>
          <w:p w14:paraId="4A176E71" w14:textId="3E516B36"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Description</w:t>
            </w:r>
          </w:p>
        </w:tc>
        <w:tc>
          <w:tcPr>
            <w:tcW w:w="2538" w:type="dxa"/>
            <w:tcBorders>
              <w:top w:val="single" w:sz="6" w:space="0" w:color="000000"/>
              <w:left w:val="single" w:sz="6" w:space="0" w:color="000000"/>
              <w:bottom w:val="single" w:sz="6" w:space="0" w:color="000000"/>
              <w:right w:val="single" w:sz="6" w:space="0" w:color="000000"/>
            </w:tcBorders>
            <w:shd w:val="clear" w:color="auto" w:fill="DADADA"/>
            <w:hideMark/>
          </w:tcPr>
          <w:p w14:paraId="7FF4D2AB" w14:textId="548ADE8B"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Design Flow</w:t>
            </w:r>
          </w:p>
        </w:tc>
      </w:tr>
      <w:tr w:rsidR="00083148" w:rsidRPr="008A0812" w14:paraId="321396A5" w14:textId="77777777" w:rsidTr="00DA54E6">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1DDD8D4F" w14:textId="6CBCE527" w:rsidR="00083148" w:rsidRPr="008A0812" w:rsidRDefault="00083148" w:rsidP="00083148">
            <w:pPr>
              <w:overflowPunct/>
              <w:autoSpaceDE/>
              <w:autoSpaceDN/>
              <w:adjustRightInd/>
              <w:rPr>
                <w:rFonts w:cs="Segoe UI"/>
              </w:rPr>
            </w:pPr>
            <w:r w:rsidRPr="008A0812">
              <w:rPr>
                <w:rFonts w:cs="Segoe UI"/>
              </w:rPr>
              <w:t>Digested Sludge Storage Tank</w:t>
            </w:r>
            <w:r w:rsidR="003B6AE1" w:rsidRPr="008A0812">
              <w:rPr>
                <w:rFonts w:cs="Segoe UI"/>
              </w:rPr>
              <w:t>s</w:t>
            </w:r>
          </w:p>
          <w:p w14:paraId="16A5F52D" w14:textId="7E2857CA" w:rsidR="00083148" w:rsidRPr="008A0812" w:rsidRDefault="00083148" w:rsidP="00083148">
            <w:pPr>
              <w:overflowPunct/>
              <w:autoSpaceDE/>
              <w:autoSpaceDN/>
              <w:adjustRightInd/>
              <w:rPr>
                <w:rFonts w:ascii="Segoe UI" w:hAnsi="Segoe UI" w:cs="Segoe UI"/>
                <w:sz w:val="18"/>
                <w:szCs w:val="18"/>
              </w:rPr>
            </w:pPr>
            <w:r w:rsidRPr="008A0812">
              <w:rPr>
                <w:rFonts w:cs="Segoe UI"/>
              </w:rPr>
              <w:t>(</w:t>
            </w:r>
            <w:r w:rsidR="003B6AE1" w:rsidRPr="008A0812">
              <w:rPr>
                <w:rFonts w:cs="Segoe UI"/>
              </w:rPr>
              <w:t xml:space="preserve">North and </w:t>
            </w:r>
            <w:r w:rsidRPr="008A0812">
              <w:rPr>
                <w:rFonts w:cs="Segoe UI"/>
              </w:rPr>
              <w:t>South)</w:t>
            </w:r>
          </w:p>
        </w:tc>
        <w:tc>
          <w:tcPr>
            <w:tcW w:w="4194" w:type="dxa"/>
            <w:tcBorders>
              <w:top w:val="nil"/>
              <w:left w:val="nil"/>
              <w:bottom w:val="single" w:sz="6" w:space="0" w:color="auto"/>
              <w:right w:val="single" w:sz="6" w:space="0" w:color="auto"/>
            </w:tcBorders>
            <w:shd w:val="clear" w:color="auto" w:fill="auto"/>
            <w:hideMark/>
          </w:tcPr>
          <w:p w14:paraId="3CA4E72C" w14:textId="52473944" w:rsidR="003B6AE1" w:rsidRPr="008A0812" w:rsidRDefault="003B6AE1" w:rsidP="00083148">
            <w:pPr>
              <w:overflowPunct/>
              <w:autoSpaceDE/>
              <w:autoSpaceDN/>
              <w:adjustRightInd/>
              <w:rPr>
                <w:rFonts w:cs="Segoe UI"/>
              </w:rPr>
            </w:pPr>
            <w:r w:rsidRPr="008A0812">
              <w:rPr>
                <w:rFonts w:cs="Segoe UI"/>
              </w:rPr>
              <w:t>Quantity: 2</w:t>
            </w:r>
          </w:p>
          <w:p w14:paraId="77BB8B66" w14:textId="2854148B" w:rsidR="00083148" w:rsidRPr="008A0812" w:rsidRDefault="00083148" w:rsidP="00083148">
            <w:pPr>
              <w:overflowPunct/>
              <w:autoSpaceDE/>
              <w:autoSpaceDN/>
              <w:adjustRightInd/>
              <w:rPr>
                <w:rFonts w:ascii="Segoe UI" w:hAnsi="Segoe UI" w:cs="Segoe UI"/>
                <w:sz w:val="18"/>
                <w:szCs w:val="18"/>
              </w:rPr>
            </w:pPr>
            <w:r w:rsidRPr="008A0812">
              <w:rPr>
                <w:rFonts w:cs="Segoe UI"/>
              </w:rPr>
              <w:t>Diameter: 70 feet </w:t>
            </w:r>
          </w:p>
          <w:p w14:paraId="70DFAFE7" w14:textId="5C5F6B58" w:rsidR="00083148" w:rsidRPr="008A0812" w:rsidRDefault="00083148" w:rsidP="00083148">
            <w:pPr>
              <w:overflowPunct/>
              <w:autoSpaceDE/>
              <w:autoSpaceDN/>
              <w:adjustRightInd/>
              <w:rPr>
                <w:rFonts w:ascii="Segoe UI" w:hAnsi="Segoe UI" w:cs="Segoe UI"/>
                <w:sz w:val="18"/>
                <w:szCs w:val="18"/>
              </w:rPr>
            </w:pPr>
            <w:r w:rsidRPr="008A0812">
              <w:rPr>
                <w:rFonts w:cs="Segoe UI"/>
              </w:rPr>
              <w:t>Side</w:t>
            </w:r>
            <w:r w:rsidR="008F2A5E" w:rsidRPr="008A0812">
              <w:rPr>
                <w:rFonts w:cs="Segoe UI"/>
              </w:rPr>
              <w:t xml:space="preserve"> W</w:t>
            </w:r>
            <w:r w:rsidRPr="008A0812">
              <w:rPr>
                <w:rFonts w:cs="Segoe UI"/>
              </w:rPr>
              <w:t>ater Depth:12 feet </w:t>
            </w:r>
          </w:p>
          <w:p w14:paraId="506C27D4" w14:textId="4097871E" w:rsidR="00083148" w:rsidRPr="008A0812" w:rsidRDefault="00083148" w:rsidP="00083148">
            <w:pPr>
              <w:overflowPunct/>
              <w:autoSpaceDE/>
              <w:autoSpaceDN/>
              <w:adjustRightInd/>
              <w:rPr>
                <w:rFonts w:ascii="Segoe UI" w:hAnsi="Segoe UI" w:cs="Segoe UI"/>
                <w:sz w:val="18"/>
                <w:szCs w:val="18"/>
              </w:rPr>
            </w:pPr>
            <w:r w:rsidRPr="008A0812">
              <w:rPr>
                <w:rFonts w:cs="Segoe UI"/>
              </w:rPr>
              <w:t>Active Volume: 350,000 gallons </w:t>
            </w:r>
          </w:p>
        </w:tc>
        <w:tc>
          <w:tcPr>
            <w:tcW w:w="2538" w:type="dxa"/>
            <w:tcBorders>
              <w:top w:val="nil"/>
              <w:left w:val="nil"/>
              <w:bottom w:val="single" w:sz="6" w:space="0" w:color="auto"/>
              <w:right w:val="single" w:sz="6" w:space="0" w:color="auto"/>
            </w:tcBorders>
            <w:shd w:val="clear" w:color="auto" w:fill="auto"/>
            <w:hideMark/>
          </w:tcPr>
          <w:p w14:paraId="6040D40B" w14:textId="77777777" w:rsidR="00083148" w:rsidRPr="008A0812" w:rsidRDefault="00083148" w:rsidP="008F2A5E">
            <w:pPr>
              <w:overflowPunct/>
              <w:autoSpaceDE/>
              <w:autoSpaceDN/>
              <w:adjustRightInd/>
              <w:rPr>
                <w:rFonts w:ascii="Segoe UI" w:hAnsi="Segoe UI" w:cs="Segoe UI"/>
                <w:sz w:val="18"/>
                <w:szCs w:val="18"/>
              </w:rPr>
            </w:pPr>
            <w:r w:rsidRPr="008A0812">
              <w:rPr>
                <w:rFonts w:cs="Segoe UI"/>
              </w:rPr>
              <w:t>N/A </w:t>
            </w:r>
          </w:p>
        </w:tc>
      </w:tr>
      <w:tr w:rsidR="00083148" w:rsidRPr="008A0812" w14:paraId="7AEEC203" w14:textId="77777777" w:rsidTr="00DA54E6">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3486F9F4" w14:textId="28389C15" w:rsidR="00083148" w:rsidRPr="008A0812" w:rsidRDefault="00083148" w:rsidP="00083148">
            <w:pPr>
              <w:overflowPunct/>
              <w:autoSpaceDE/>
              <w:autoSpaceDN/>
              <w:adjustRightInd/>
              <w:rPr>
                <w:rFonts w:ascii="Segoe UI" w:hAnsi="Segoe UI" w:cs="Segoe UI"/>
                <w:sz w:val="18"/>
                <w:szCs w:val="18"/>
              </w:rPr>
            </w:pPr>
            <w:r w:rsidRPr="008A0812">
              <w:rPr>
                <w:rFonts w:cs="Segoe UI"/>
              </w:rPr>
              <w:t>Centrifuge (Primary) </w:t>
            </w:r>
          </w:p>
        </w:tc>
        <w:tc>
          <w:tcPr>
            <w:tcW w:w="4194" w:type="dxa"/>
            <w:tcBorders>
              <w:top w:val="nil"/>
              <w:left w:val="nil"/>
              <w:bottom w:val="single" w:sz="6" w:space="0" w:color="auto"/>
              <w:right w:val="single" w:sz="6" w:space="0" w:color="auto"/>
            </w:tcBorders>
            <w:shd w:val="clear" w:color="auto" w:fill="auto"/>
            <w:hideMark/>
          </w:tcPr>
          <w:p w14:paraId="66BA19F6" w14:textId="77777777" w:rsidR="005B3F83" w:rsidRPr="008A0812" w:rsidRDefault="005B3F83" w:rsidP="00083148">
            <w:pPr>
              <w:overflowPunct/>
              <w:autoSpaceDE/>
              <w:autoSpaceDN/>
              <w:adjustRightInd/>
              <w:rPr>
                <w:rFonts w:cs="Segoe UI"/>
              </w:rPr>
            </w:pPr>
            <w:r w:rsidRPr="008A0812">
              <w:rPr>
                <w:rFonts w:cs="Segoe UI"/>
              </w:rPr>
              <w:t>Quantity: 2</w:t>
            </w:r>
          </w:p>
          <w:p w14:paraId="21246798" w14:textId="17C6D712" w:rsidR="00083148" w:rsidRPr="008A0812" w:rsidRDefault="00083148" w:rsidP="00083148">
            <w:pPr>
              <w:overflowPunct/>
              <w:autoSpaceDE/>
              <w:autoSpaceDN/>
              <w:adjustRightInd/>
              <w:rPr>
                <w:rFonts w:ascii="Segoe UI" w:hAnsi="Segoe UI" w:cs="Segoe UI"/>
                <w:sz w:val="18"/>
                <w:szCs w:val="18"/>
              </w:rPr>
            </w:pPr>
            <w:r w:rsidRPr="008A0812">
              <w:rPr>
                <w:rFonts w:cs="Segoe UI"/>
              </w:rPr>
              <w:t> </w:t>
            </w:r>
          </w:p>
        </w:tc>
        <w:tc>
          <w:tcPr>
            <w:tcW w:w="2538" w:type="dxa"/>
            <w:tcBorders>
              <w:top w:val="nil"/>
              <w:left w:val="nil"/>
              <w:bottom w:val="single" w:sz="6" w:space="0" w:color="auto"/>
              <w:right w:val="single" w:sz="6" w:space="0" w:color="auto"/>
            </w:tcBorders>
            <w:shd w:val="clear" w:color="auto" w:fill="auto"/>
            <w:hideMark/>
          </w:tcPr>
          <w:p w14:paraId="0CA6ED6A" w14:textId="3165820F" w:rsidR="00083148" w:rsidRPr="008A0812" w:rsidRDefault="00C30A5C" w:rsidP="008F2A5E">
            <w:pPr>
              <w:overflowPunct/>
              <w:autoSpaceDE/>
              <w:autoSpaceDN/>
              <w:adjustRightInd/>
              <w:rPr>
                <w:rFonts w:ascii="Segoe UI" w:hAnsi="Segoe UI" w:cs="Segoe UI"/>
                <w:sz w:val="18"/>
                <w:szCs w:val="18"/>
              </w:rPr>
            </w:pPr>
            <w:r w:rsidRPr="00C30A5C">
              <w:rPr>
                <w:rFonts w:cs="Segoe UI"/>
              </w:rPr>
              <w:t xml:space="preserve">The feed solids range from 1.6-2.2 TS% the average cake solids range from 22-24%. The Centrifuges are designed for aa feed flow of 20 gpm, but we typically do not go over 180 gpm. </w:t>
            </w:r>
            <w:r w:rsidR="00083148" w:rsidRPr="008A0812">
              <w:rPr>
                <w:rFonts w:cs="Segoe UI"/>
              </w:rPr>
              <w:t> </w:t>
            </w:r>
          </w:p>
        </w:tc>
      </w:tr>
      <w:tr w:rsidR="00083148" w:rsidRPr="008A0812" w14:paraId="4B7B043F" w14:textId="77777777" w:rsidTr="00DA54E6">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3495EA5F" w14:textId="1EC89A89" w:rsidR="00083148" w:rsidRPr="008A0812" w:rsidRDefault="00083148" w:rsidP="00083148">
            <w:pPr>
              <w:overflowPunct/>
              <w:autoSpaceDE/>
              <w:autoSpaceDN/>
              <w:adjustRightInd/>
              <w:rPr>
                <w:rFonts w:ascii="Segoe UI" w:hAnsi="Segoe UI" w:cs="Segoe UI"/>
                <w:sz w:val="18"/>
                <w:szCs w:val="18"/>
              </w:rPr>
            </w:pPr>
            <w:r w:rsidRPr="008A0812">
              <w:rPr>
                <w:rFonts w:cs="Segoe UI"/>
              </w:rPr>
              <w:t>Belt Press (Back-up) </w:t>
            </w:r>
          </w:p>
        </w:tc>
        <w:tc>
          <w:tcPr>
            <w:tcW w:w="4194" w:type="dxa"/>
            <w:tcBorders>
              <w:top w:val="nil"/>
              <w:left w:val="nil"/>
              <w:bottom w:val="single" w:sz="6" w:space="0" w:color="auto"/>
              <w:right w:val="single" w:sz="6" w:space="0" w:color="auto"/>
            </w:tcBorders>
            <w:shd w:val="clear" w:color="auto" w:fill="auto"/>
            <w:hideMark/>
          </w:tcPr>
          <w:p w14:paraId="764D0CF5" w14:textId="205876BE" w:rsidR="00083148" w:rsidRPr="008A0812" w:rsidRDefault="00083148" w:rsidP="00083148">
            <w:pPr>
              <w:overflowPunct/>
              <w:autoSpaceDE/>
              <w:autoSpaceDN/>
              <w:adjustRightInd/>
              <w:rPr>
                <w:rFonts w:ascii="Segoe UI" w:hAnsi="Segoe UI" w:cs="Segoe UI"/>
                <w:sz w:val="18"/>
                <w:szCs w:val="18"/>
              </w:rPr>
            </w:pPr>
            <w:r w:rsidRPr="008A0812">
              <w:rPr>
                <w:rFonts w:cs="Segoe UI"/>
              </w:rPr>
              <w:t>Quantity: 3 </w:t>
            </w:r>
          </w:p>
          <w:p w14:paraId="04F71A07" w14:textId="366DF5F2" w:rsidR="00083148" w:rsidRPr="008A0812" w:rsidRDefault="00083148" w:rsidP="00083148">
            <w:pPr>
              <w:overflowPunct/>
              <w:autoSpaceDE/>
              <w:autoSpaceDN/>
              <w:adjustRightInd/>
              <w:rPr>
                <w:rFonts w:ascii="Segoe UI" w:hAnsi="Segoe UI" w:cs="Segoe UI"/>
                <w:sz w:val="18"/>
                <w:szCs w:val="18"/>
              </w:rPr>
            </w:pPr>
            <w:r w:rsidRPr="008A0812">
              <w:rPr>
                <w:rFonts w:cs="Segoe UI"/>
              </w:rPr>
              <w:t>Belt Width (each): 2 meters</w:t>
            </w:r>
            <w:r w:rsidR="007B0C4C">
              <w:rPr>
                <w:rFonts w:cs="Segoe UI"/>
              </w:rPr>
              <w:t xml:space="preserve"> (</w:t>
            </w:r>
            <w:r w:rsidR="00C62B2E">
              <w:rPr>
                <w:rFonts w:cs="Segoe UI"/>
              </w:rPr>
              <w:t>approx.</w:t>
            </w:r>
            <w:r w:rsidR="007B0C4C">
              <w:rPr>
                <w:rFonts w:cs="Segoe UI"/>
              </w:rPr>
              <w:t xml:space="preserve"> 6 feet)</w:t>
            </w:r>
            <w:r w:rsidRPr="008A0812">
              <w:rPr>
                <w:rFonts w:cs="Segoe UI"/>
              </w:rPr>
              <w:t> </w:t>
            </w:r>
          </w:p>
          <w:p w14:paraId="16AE3E4F" w14:textId="5699A65E" w:rsidR="00083148" w:rsidRPr="008A0812" w:rsidRDefault="00083148" w:rsidP="00083148">
            <w:pPr>
              <w:overflowPunct/>
              <w:autoSpaceDE/>
              <w:autoSpaceDN/>
              <w:adjustRightInd/>
              <w:rPr>
                <w:rFonts w:ascii="Segoe UI" w:hAnsi="Segoe UI" w:cs="Segoe UI"/>
                <w:sz w:val="18"/>
                <w:szCs w:val="18"/>
              </w:rPr>
            </w:pPr>
            <w:r w:rsidRPr="008A0812">
              <w:rPr>
                <w:rFonts w:cs="Segoe UI"/>
              </w:rPr>
              <w:t>Feed Solids: 2-3 % </w:t>
            </w:r>
          </w:p>
          <w:p w14:paraId="35992648" w14:textId="5F9039F1" w:rsidR="00083148" w:rsidRPr="008A0812" w:rsidRDefault="00083148" w:rsidP="00083148">
            <w:pPr>
              <w:overflowPunct/>
              <w:autoSpaceDE/>
              <w:autoSpaceDN/>
              <w:adjustRightInd/>
              <w:rPr>
                <w:rFonts w:ascii="Segoe UI" w:hAnsi="Segoe UI" w:cs="Segoe UI"/>
                <w:sz w:val="18"/>
                <w:szCs w:val="18"/>
              </w:rPr>
            </w:pPr>
            <w:r w:rsidRPr="008A0812">
              <w:rPr>
                <w:rFonts w:cs="Segoe UI"/>
              </w:rPr>
              <w:t>Cake Solids: 22% </w:t>
            </w:r>
          </w:p>
          <w:p w14:paraId="4F5E59DE" w14:textId="3B0BAB91" w:rsidR="00083148" w:rsidRPr="008A0812" w:rsidRDefault="00083148" w:rsidP="00083148">
            <w:pPr>
              <w:overflowPunct/>
              <w:autoSpaceDE/>
              <w:autoSpaceDN/>
              <w:adjustRightInd/>
              <w:rPr>
                <w:rFonts w:ascii="Segoe UI" w:hAnsi="Segoe UI" w:cs="Segoe UI"/>
                <w:sz w:val="18"/>
                <w:szCs w:val="18"/>
              </w:rPr>
            </w:pPr>
            <w:r w:rsidRPr="008A0812">
              <w:rPr>
                <w:rFonts w:cs="Segoe UI"/>
              </w:rPr>
              <w:t>Solids Capture: 90% </w:t>
            </w:r>
          </w:p>
          <w:p w14:paraId="71AA7EF3" w14:textId="49C1AB6C" w:rsidR="00083148" w:rsidRPr="008A0812" w:rsidRDefault="00083148" w:rsidP="00083148">
            <w:pPr>
              <w:overflowPunct/>
              <w:autoSpaceDE/>
              <w:autoSpaceDN/>
              <w:adjustRightInd/>
              <w:rPr>
                <w:rFonts w:ascii="Segoe UI" w:hAnsi="Segoe UI" w:cs="Segoe UI"/>
                <w:sz w:val="18"/>
                <w:szCs w:val="18"/>
              </w:rPr>
            </w:pPr>
            <w:r w:rsidRPr="008A0812">
              <w:rPr>
                <w:rFonts w:cs="Segoe UI"/>
              </w:rPr>
              <w:t>Belt Wash Pressure: 90 psig</w:t>
            </w:r>
          </w:p>
          <w:p w14:paraId="34D5204C" w14:textId="25DA2E98" w:rsidR="00083148" w:rsidRPr="008A0812" w:rsidRDefault="00083148" w:rsidP="00083148">
            <w:pPr>
              <w:overflowPunct/>
              <w:autoSpaceDE/>
              <w:autoSpaceDN/>
              <w:adjustRightInd/>
              <w:rPr>
                <w:rFonts w:ascii="Segoe UI" w:hAnsi="Segoe UI" w:cs="Segoe UI"/>
                <w:sz w:val="18"/>
                <w:szCs w:val="18"/>
              </w:rPr>
            </w:pPr>
            <w:r w:rsidRPr="008A0812">
              <w:rPr>
                <w:rFonts w:cs="Segoe UI"/>
              </w:rPr>
              <w:t>Belt Wash Flow Rate: 125 gpm</w:t>
            </w:r>
          </w:p>
          <w:p w14:paraId="6F44CC5D" w14:textId="3E3A4753" w:rsidR="00083148" w:rsidRPr="008A0812" w:rsidRDefault="00083148" w:rsidP="00083148">
            <w:pPr>
              <w:overflowPunct/>
              <w:autoSpaceDE/>
              <w:autoSpaceDN/>
              <w:adjustRightInd/>
              <w:jc w:val="both"/>
              <w:rPr>
                <w:rFonts w:ascii="Segoe UI" w:hAnsi="Segoe UI" w:cs="Segoe UI"/>
                <w:sz w:val="18"/>
                <w:szCs w:val="18"/>
              </w:rPr>
            </w:pPr>
            <w:r w:rsidRPr="008A0812">
              <w:rPr>
                <w:rFonts w:cs="Segoe UI"/>
              </w:rPr>
              <w:t>Belt Material: Monofilament, Polyester </w:t>
            </w:r>
          </w:p>
        </w:tc>
        <w:tc>
          <w:tcPr>
            <w:tcW w:w="2538" w:type="dxa"/>
            <w:tcBorders>
              <w:top w:val="nil"/>
              <w:left w:val="nil"/>
              <w:bottom w:val="single" w:sz="6" w:space="0" w:color="auto"/>
              <w:right w:val="single" w:sz="6" w:space="0" w:color="auto"/>
            </w:tcBorders>
            <w:shd w:val="clear" w:color="auto" w:fill="auto"/>
            <w:hideMark/>
          </w:tcPr>
          <w:p w14:paraId="3D60F3F0" w14:textId="4D3D9BBD" w:rsidR="00083148" w:rsidRPr="008A0812" w:rsidRDefault="00083148" w:rsidP="008F2A5E">
            <w:pPr>
              <w:overflowPunct/>
              <w:autoSpaceDE/>
              <w:autoSpaceDN/>
              <w:adjustRightInd/>
              <w:rPr>
                <w:rFonts w:ascii="Segoe UI" w:hAnsi="Segoe UI" w:cs="Segoe UI"/>
                <w:sz w:val="18"/>
                <w:szCs w:val="18"/>
              </w:rPr>
            </w:pPr>
            <w:r w:rsidRPr="008A0812">
              <w:rPr>
                <w:rFonts w:cs="Segoe UI"/>
              </w:rPr>
              <w:t>135 gpm (ea.)</w:t>
            </w:r>
          </w:p>
        </w:tc>
      </w:tr>
    </w:tbl>
    <w:p w14:paraId="254D63E3" w14:textId="650DE20C" w:rsidR="00DA54E6" w:rsidRPr="008A0812" w:rsidRDefault="00DA54E6" w:rsidP="00DA54E6">
      <w:pPr>
        <w:pStyle w:val="Heading4"/>
      </w:pPr>
      <w:bookmarkStart w:id="97" w:name="_Toc41680817"/>
      <w:r w:rsidRPr="008A0812">
        <w:t>S</w:t>
      </w:r>
      <w:r w:rsidR="001814B2" w:rsidRPr="008A0812">
        <w:t>olids Storage</w:t>
      </w:r>
      <w:bookmarkEnd w:id="97"/>
    </w:p>
    <w:p w14:paraId="50211A61" w14:textId="322215A2" w:rsidR="00083148" w:rsidRPr="008A0812" w:rsidRDefault="00083148" w:rsidP="00083148">
      <w:pPr>
        <w:pStyle w:val="BodyText"/>
      </w:pPr>
      <w:r w:rsidRPr="008A0812">
        <w:t xml:space="preserve">The solids storage and handling include solids storage bin, truck loading bin and belt conveyors which convey the dewatered sludge to these facilities. The purpose of these facilities is to minimize truck loading times, maximize truck payload, and allow flexibility for dewatering and transportation. Design criteria for the solids storage facility </w:t>
      </w:r>
      <w:r w:rsidR="008F2A5E" w:rsidRPr="008A0812">
        <w:t>is</w:t>
      </w:r>
      <w:r w:rsidRPr="008A0812">
        <w:t xml:space="preserve"> summarized in </w:t>
      </w:r>
      <w:r w:rsidR="003B6AE1" w:rsidRPr="008A0812">
        <w:fldChar w:fldCharType="begin"/>
      </w:r>
      <w:r w:rsidR="003B6AE1" w:rsidRPr="008A0812">
        <w:instrText xml:space="preserve"> REF _Ref36214858 \h </w:instrText>
      </w:r>
      <w:r w:rsidR="008A0812">
        <w:instrText xml:space="preserve"> \* MERGEFORMAT </w:instrText>
      </w:r>
      <w:r w:rsidR="003B6AE1" w:rsidRPr="008A0812">
        <w:fldChar w:fldCharType="separate"/>
      </w:r>
      <w:r w:rsidR="00AA68F8" w:rsidRPr="008A0812">
        <w:t xml:space="preserve">Table </w:t>
      </w:r>
      <w:r w:rsidR="00AA68F8">
        <w:rPr>
          <w:noProof/>
        </w:rPr>
        <w:t>1</w:t>
      </w:r>
      <w:r w:rsidR="00AA68F8" w:rsidRPr="008A0812">
        <w:rPr>
          <w:noProof/>
        </w:rPr>
        <w:noBreakHyphen/>
      </w:r>
      <w:r w:rsidR="00AA68F8">
        <w:rPr>
          <w:noProof/>
        </w:rPr>
        <w:t>16</w:t>
      </w:r>
      <w:r w:rsidR="003B6AE1" w:rsidRPr="008A0812">
        <w:fldChar w:fldCharType="end"/>
      </w:r>
      <w:r w:rsidRPr="008A0812">
        <w:t xml:space="preserve">. </w:t>
      </w:r>
    </w:p>
    <w:p w14:paraId="59FFBA33" w14:textId="1920C9D4" w:rsidR="003B6AE1" w:rsidRPr="008A0812" w:rsidRDefault="003B6AE1" w:rsidP="003B6AE1">
      <w:pPr>
        <w:pStyle w:val="TableHeading"/>
      </w:pPr>
      <w:bookmarkStart w:id="98" w:name="_Ref36214858"/>
      <w:bookmarkStart w:id="99" w:name="_Toc36414035"/>
      <w:bookmarkStart w:id="100" w:name="_Toc41684736"/>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16</w:t>
      </w:r>
      <w:r>
        <w:fldChar w:fldCharType="end"/>
      </w:r>
      <w:bookmarkEnd w:id="98"/>
      <w:r w:rsidRPr="008A0812">
        <w:t>: Solids Storage Design Information</w:t>
      </w:r>
      <w:bookmarkEnd w:id="99"/>
      <w:bookmarkEnd w:id="100"/>
      <w:r w:rsidRPr="008A0812">
        <w:t xml:space="preserve"> </w:t>
      </w:r>
    </w:p>
    <w:tbl>
      <w:tblPr>
        <w:tblW w:w="9210"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65"/>
        <w:gridCol w:w="4140"/>
        <w:gridCol w:w="2505"/>
      </w:tblGrid>
      <w:tr w:rsidR="00083148" w:rsidRPr="008A0812" w14:paraId="2C1C3DC2" w14:textId="77777777" w:rsidTr="00172BD5">
        <w:tc>
          <w:tcPr>
            <w:tcW w:w="2565" w:type="dxa"/>
            <w:tcBorders>
              <w:top w:val="single" w:sz="6" w:space="0" w:color="000000"/>
              <w:left w:val="single" w:sz="6" w:space="0" w:color="000000"/>
              <w:bottom w:val="single" w:sz="6" w:space="0" w:color="000000"/>
              <w:right w:val="single" w:sz="6" w:space="0" w:color="000000"/>
            </w:tcBorders>
            <w:shd w:val="clear" w:color="auto" w:fill="DADADA"/>
            <w:hideMark/>
          </w:tcPr>
          <w:p w14:paraId="29746D59" w14:textId="1703ABF9"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Major Component</w:t>
            </w:r>
          </w:p>
        </w:tc>
        <w:tc>
          <w:tcPr>
            <w:tcW w:w="4140" w:type="dxa"/>
            <w:tcBorders>
              <w:top w:val="single" w:sz="6" w:space="0" w:color="000000"/>
              <w:left w:val="single" w:sz="6" w:space="0" w:color="000000"/>
              <w:bottom w:val="single" w:sz="6" w:space="0" w:color="000000"/>
              <w:right w:val="single" w:sz="6" w:space="0" w:color="000000"/>
            </w:tcBorders>
            <w:shd w:val="clear" w:color="auto" w:fill="DADADA"/>
            <w:hideMark/>
          </w:tcPr>
          <w:p w14:paraId="7293C2E0" w14:textId="4427A56B"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Description</w:t>
            </w:r>
          </w:p>
        </w:tc>
        <w:tc>
          <w:tcPr>
            <w:tcW w:w="2505" w:type="dxa"/>
            <w:tcBorders>
              <w:top w:val="single" w:sz="6" w:space="0" w:color="000000"/>
              <w:left w:val="single" w:sz="6" w:space="0" w:color="000000"/>
              <w:bottom w:val="single" w:sz="6" w:space="0" w:color="000000"/>
              <w:right w:val="single" w:sz="6" w:space="0" w:color="000000"/>
            </w:tcBorders>
            <w:shd w:val="clear" w:color="auto" w:fill="DADADA"/>
            <w:hideMark/>
          </w:tcPr>
          <w:p w14:paraId="29A7F985" w14:textId="0B9C3107"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Design Flow</w:t>
            </w:r>
          </w:p>
        </w:tc>
      </w:tr>
      <w:tr w:rsidR="00083148" w:rsidRPr="008A0812" w14:paraId="039DF127" w14:textId="77777777" w:rsidTr="00172BD5">
        <w:tc>
          <w:tcPr>
            <w:tcW w:w="2565" w:type="dxa"/>
            <w:tcBorders>
              <w:top w:val="single" w:sz="6" w:space="0" w:color="000000"/>
              <w:left w:val="single" w:sz="6" w:space="0" w:color="000000"/>
              <w:bottom w:val="single" w:sz="6" w:space="0" w:color="000000"/>
              <w:right w:val="single" w:sz="6" w:space="0" w:color="000000"/>
            </w:tcBorders>
            <w:shd w:val="clear" w:color="auto" w:fill="auto"/>
            <w:hideMark/>
          </w:tcPr>
          <w:p w14:paraId="5279F82B" w14:textId="4001E313" w:rsidR="00083148" w:rsidRPr="008A0812" w:rsidRDefault="00083148" w:rsidP="008F2A5E">
            <w:pPr>
              <w:overflowPunct/>
              <w:autoSpaceDE/>
              <w:autoSpaceDN/>
              <w:adjustRightInd/>
              <w:rPr>
                <w:rFonts w:ascii="Segoe UI" w:hAnsi="Segoe UI" w:cs="Segoe UI"/>
                <w:sz w:val="18"/>
                <w:szCs w:val="18"/>
              </w:rPr>
            </w:pPr>
            <w:r w:rsidRPr="008A0812">
              <w:rPr>
                <w:rFonts w:cs="Segoe UI"/>
              </w:rPr>
              <w:t>Solids Storage Facility </w:t>
            </w:r>
          </w:p>
        </w:tc>
        <w:tc>
          <w:tcPr>
            <w:tcW w:w="4140" w:type="dxa"/>
            <w:tcBorders>
              <w:top w:val="nil"/>
              <w:left w:val="nil"/>
              <w:bottom w:val="single" w:sz="6" w:space="0" w:color="auto"/>
              <w:right w:val="single" w:sz="6" w:space="0" w:color="auto"/>
            </w:tcBorders>
            <w:shd w:val="clear" w:color="auto" w:fill="auto"/>
            <w:hideMark/>
          </w:tcPr>
          <w:p w14:paraId="2C326868" w14:textId="453068A8" w:rsidR="00083148" w:rsidRPr="008A0812" w:rsidRDefault="00083148" w:rsidP="008F2A5E">
            <w:pPr>
              <w:overflowPunct/>
              <w:autoSpaceDE/>
              <w:autoSpaceDN/>
              <w:adjustRightInd/>
              <w:rPr>
                <w:rFonts w:ascii="Segoe UI" w:hAnsi="Segoe UI" w:cs="Segoe UI"/>
                <w:sz w:val="18"/>
                <w:szCs w:val="18"/>
              </w:rPr>
            </w:pPr>
            <w:r w:rsidRPr="008A0812">
              <w:rPr>
                <w:rFonts w:cs="Segoe UI"/>
              </w:rPr>
              <w:t>Quantity: 1 </w:t>
            </w:r>
          </w:p>
          <w:p w14:paraId="24DC2F01" w14:textId="6D2BC427" w:rsidR="00083148" w:rsidRPr="008A0812" w:rsidRDefault="00083148" w:rsidP="008F2A5E">
            <w:pPr>
              <w:overflowPunct/>
              <w:autoSpaceDE/>
              <w:autoSpaceDN/>
              <w:adjustRightInd/>
              <w:rPr>
                <w:rFonts w:ascii="Segoe UI" w:hAnsi="Segoe UI" w:cs="Segoe UI"/>
                <w:sz w:val="18"/>
                <w:szCs w:val="18"/>
              </w:rPr>
            </w:pPr>
            <w:r w:rsidRPr="008A0812">
              <w:rPr>
                <w:rFonts w:cs="Segoe UI"/>
                <w:u w:val="single"/>
              </w:rPr>
              <w:t>Solids Loading Rate</w:t>
            </w:r>
            <w:r w:rsidRPr="008A0812">
              <w:rPr>
                <w:rFonts w:cs="Segoe UI"/>
              </w:rPr>
              <w:t>:</w:t>
            </w:r>
          </w:p>
          <w:p w14:paraId="2E040F4F" w14:textId="4311052D" w:rsidR="00083148" w:rsidRPr="008A0812" w:rsidRDefault="00083148" w:rsidP="008F2A5E">
            <w:pPr>
              <w:overflowPunct/>
              <w:autoSpaceDE/>
              <w:autoSpaceDN/>
              <w:adjustRightInd/>
              <w:rPr>
                <w:rFonts w:ascii="Segoe UI" w:hAnsi="Segoe UI" w:cs="Segoe UI"/>
                <w:sz w:val="18"/>
                <w:szCs w:val="18"/>
              </w:rPr>
            </w:pPr>
            <w:r w:rsidRPr="008A0812">
              <w:rPr>
                <w:rFonts w:cs="Segoe UI"/>
              </w:rPr>
              <w:t>36,850 lbs. dry solids/day</w:t>
            </w:r>
          </w:p>
          <w:p w14:paraId="6CCC0A49" w14:textId="7F0076AC" w:rsidR="00083148" w:rsidRPr="008A0812" w:rsidRDefault="00083148" w:rsidP="008F2A5E">
            <w:pPr>
              <w:overflowPunct/>
              <w:autoSpaceDE/>
              <w:autoSpaceDN/>
              <w:adjustRightInd/>
              <w:rPr>
                <w:rFonts w:ascii="Segoe UI" w:hAnsi="Segoe UI" w:cs="Segoe UI"/>
                <w:sz w:val="18"/>
                <w:szCs w:val="18"/>
              </w:rPr>
            </w:pPr>
            <w:r w:rsidRPr="008A0812">
              <w:rPr>
                <w:rFonts w:cs="Segoe UI"/>
              </w:rPr>
              <w:t>Retention Time: 3 days</w:t>
            </w:r>
          </w:p>
        </w:tc>
        <w:tc>
          <w:tcPr>
            <w:tcW w:w="2505" w:type="dxa"/>
            <w:tcBorders>
              <w:top w:val="nil"/>
              <w:left w:val="nil"/>
              <w:bottom w:val="single" w:sz="6" w:space="0" w:color="auto"/>
              <w:right w:val="single" w:sz="6" w:space="0" w:color="auto"/>
            </w:tcBorders>
            <w:shd w:val="clear" w:color="auto" w:fill="auto"/>
            <w:hideMark/>
          </w:tcPr>
          <w:p w14:paraId="6AB38263" w14:textId="0211A0E1" w:rsidR="00083148" w:rsidRPr="008A0812" w:rsidRDefault="00083148" w:rsidP="008F2A5E">
            <w:pPr>
              <w:overflowPunct/>
              <w:autoSpaceDE/>
              <w:autoSpaceDN/>
              <w:adjustRightInd/>
              <w:rPr>
                <w:rFonts w:ascii="Segoe UI" w:hAnsi="Segoe UI" w:cs="Segoe UI"/>
                <w:sz w:val="18"/>
                <w:szCs w:val="18"/>
              </w:rPr>
            </w:pPr>
            <w:r w:rsidRPr="008A0812">
              <w:rPr>
                <w:rFonts w:cs="Segoe UI"/>
              </w:rPr>
              <w:t>350 cubic yards</w:t>
            </w:r>
          </w:p>
        </w:tc>
      </w:tr>
      <w:tr w:rsidR="00083148" w:rsidRPr="008A0812" w14:paraId="17A48431" w14:textId="77777777" w:rsidTr="00172BD5">
        <w:tc>
          <w:tcPr>
            <w:tcW w:w="2565" w:type="dxa"/>
            <w:tcBorders>
              <w:top w:val="single" w:sz="6" w:space="0" w:color="000000"/>
              <w:left w:val="single" w:sz="6" w:space="0" w:color="000000"/>
              <w:bottom w:val="single" w:sz="6" w:space="0" w:color="000000"/>
              <w:right w:val="single" w:sz="6" w:space="0" w:color="000000"/>
            </w:tcBorders>
            <w:shd w:val="clear" w:color="auto" w:fill="auto"/>
            <w:hideMark/>
          </w:tcPr>
          <w:p w14:paraId="5D3908D5" w14:textId="23711B48" w:rsidR="00083148" w:rsidRPr="008A0812" w:rsidRDefault="00083148" w:rsidP="008F2A5E">
            <w:pPr>
              <w:overflowPunct/>
              <w:autoSpaceDE/>
              <w:autoSpaceDN/>
              <w:adjustRightInd/>
              <w:rPr>
                <w:rFonts w:ascii="Segoe UI" w:hAnsi="Segoe UI" w:cs="Segoe UI"/>
                <w:sz w:val="18"/>
                <w:szCs w:val="18"/>
              </w:rPr>
            </w:pPr>
            <w:r w:rsidRPr="008A0812">
              <w:rPr>
                <w:rFonts w:cs="Segoe UI"/>
              </w:rPr>
              <w:t>Truck Loading Storage </w:t>
            </w:r>
          </w:p>
        </w:tc>
        <w:tc>
          <w:tcPr>
            <w:tcW w:w="4140" w:type="dxa"/>
            <w:tcBorders>
              <w:top w:val="nil"/>
              <w:left w:val="nil"/>
              <w:bottom w:val="single" w:sz="6" w:space="0" w:color="auto"/>
              <w:right w:val="single" w:sz="6" w:space="0" w:color="auto"/>
            </w:tcBorders>
            <w:shd w:val="clear" w:color="auto" w:fill="auto"/>
            <w:hideMark/>
          </w:tcPr>
          <w:p w14:paraId="7014BEE6" w14:textId="679AEDC6" w:rsidR="00083148" w:rsidRPr="008A0812" w:rsidRDefault="00083148" w:rsidP="008F2A5E">
            <w:pPr>
              <w:overflowPunct/>
              <w:autoSpaceDE/>
              <w:autoSpaceDN/>
              <w:adjustRightInd/>
              <w:rPr>
                <w:rFonts w:ascii="Segoe UI" w:hAnsi="Segoe UI" w:cs="Segoe UI"/>
                <w:sz w:val="18"/>
                <w:szCs w:val="18"/>
              </w:rPr>
            </w:pPr>
            <w:r w:rsidRPr="008A0812">
              <w:rPr>
                <w:rFonts w:cs="Segoe UI"/>
              </w:rPr>
              <w:t xml:space="preserve">Storage in </w:t>
            </w:r>
            <w:r w:rsidR="008F2A5E" w:rsidRPr="008A0812">
              <w:rPr>
                <w:rFonts w:cs="Segoe UI"/>
              </w:rPr>
              <w:t>B</w:t>
            </w:r>
            <w:r w:rsidRPr="008A0812">
              <w:rPr>
                <w:rFonts w:cs="Segoe UI"/>
              </w:rPr>
              <w:t>ins</w:t>
            </w:r>
          </w:p>
        </w:tc>
        <w:tc>
          <w:tcPr>
            <w:tcW w:w="2505" w:type="dxa"/>
            <w:tcBorders>
              <w:top w:val="nil"/>
              <w:left w:val="nil"/>
              <w:bottom w:val="single" w:sz="6" w:space="0" w:color="auto"/>
              <w:right w:val="single" w:sz="6" w:space="0" w:color="auto"/>
            </w:tcBorders>
            <w:shd w:val="clear" w:color="auto" w:fill="auto"/>
            <w:hideMark/>
          </w:tcPr>
          <w:p w14:paraId="66EC707E" w14:textId="79558837" w:rsidR="00083148" w:rsidRPr="008A0812" w:rsidRDefault="00083148" w:rsidP="008F2A5E">
            <w:pPr>
              <w:overflowPunct/>
              <w:autoSpaceDE/>
              <w:autoSpaceDN/>
              <w:adjustRightInd/>
              <w:rPr>
                <w:rFonts w:ascii="Segoe UI" w:hAnsi="Segoe UI" w:cs="Segoe UI"/>
                <w:sz w:val="18"/>
                <w:szCs w:val="18"/>
              </w:rPr>
            </w:pPr>
            <w:r w:rsidRPr="008A0812">
              <w:rPr>
                <w:rFonts w:cs="Segoe UI"/>
              </w:rPr>
              <w:t>40 cubic yards</w:t>
            </w:r>
          </w:p>
        </w:tc>
      </w:tr>
    </w:tbl>
    <w:p w14:paraId="124E1E83" w14:textId="321E0ADB" w:rsidR="00DE61F5" w:rsidRPr="008A0812" w:rsidRDefault="00083148" w:rsidP="0023394E">
      <w:pPr>
        <w:pStyle w:val="Heading3"/>
      </w:pPr>
      <w:bookmarkStart w:id="101" w:name="_Toc41680818"/>
      <w:r w:rsidRPr="008A0812">
        <w:t>Disinfection</w:t>
      </w:r>
      <w:bookmarkEnd w:id="101"/>
    </w:p>
    <w:p w14:paraId="3CD06A02" w14:textId="330BFAE4" w:rsidR="00395459" w:rsidRPr="008A0812" w:rsidRDefault="00083148" w:rsidP="00083148">
      <w:pPr>
        <w:pStyle w:val="BodyText"/>
      </w:pPr>
      <w:r w:rsidRPr="008A0812">
        <w:t xml:space="preserve">The chlorine contact basins and lagoon are designed for disinfection purposes. Currently, these units are not in </w:t>
      </w:r>
      <w:r w:rsidR="00E05D65" w:rsidRPr="008A0812">
        <w:t>operation.</w:t>
      </w:r>
      <w:r w:rsidRPr="008A0812">
        <w:t xml:space="preserve"> Disinfection through chlorination is only required if secondary effluent is discharged to the Santa Ana River</w:t>
      </w:r>
      <w:r w:rsidR="00480868" w:rsidRPr="008A0812">
        <w:t>, only as permitted during a 20:1 dilution</w:t>
      </w:r>
      <w:r w:rsidR="00E05D65" w:rsidRPr="008A0812">
        <w:t xml:space="preserve">, which is not </w:t>
      </w:r>
      <w:r w:rsidR="00395459" w:rsidRPr="008A0812">
        <w:t xml:space="preserve">how SBWRP is </w:t>
      </w:r>
      <w:r w:rsidR="00E05D65" w:rsidRPr="008A0812">
        <w:t>current</w:t>
      </w:r>
      <w:r w:rsidR="00395459" w:rsidRPr="008A0812">
        <w:t>ly</w:t>
      </w:r>
      <w:r w:rsidR="00E05D65" w:rsidRPr="008A0812">
        <w:t xml:space="preserve"> operat</w:t>
      </w:r>
      <w:r w:rsidR="00395459" w:rsidRPr="008A0812">
        <w:t>ed</w:t>
      </w:r>
      <w:r w:rsidR="00E05D65" w:rsidRPr="008A0812">
        <w:t xml:space="preserve">. </w:t>
      </w:r>
      <w:r w:rsidR="00395459" w:rsidRPr="008A0812">
        <w:t>SBWRP e</w:t>
      </w:r>
      <w:r w:rsidR="00E05D65" w:rsidRPr="008A0812">
        <w:t>ffluent cur</w:t>
      </w:r>
      <w:r w:rsidRPr="008A0812">
        <w:t xml:space="preserve">rently passes through the </w:t>
      </w:r>
      <w:r w:rsidR="00E05D65" w:rsidRPr="008A0812">
        <w:t xml:space="preserve">chlorine contact </w:t>
      </w:r>
      <w:r w:rsidRPr="008A0812">
        <w:t xml:space="preserve">basin to </w:t>
      </w:r>
      <w:r w:rsidR="00E05D65" w:rsidRPr="008A0812">
        <w:t>the Rapid Infiltration Extraction (RIX) facility for groundwater infiltration</w:t>
      </w:r>
      <w:r w:rsidRPr="008A0812">
        <w:t xml:space="preserve">. </w:t>
      </w:r>
    </w:p>
    <w:p w14:paraId="049D019B" w14:textId="4211704E" w:rsidR="00083148" w:rsidRPr="008A0812" w:rsidRDefault="00083148" w:rsidP="00083148">
      <w:pPr>
        <w:pStyle w:val="BodyText"/>
      </w:pPr>
      <w:r w:rsidRPr="008A0812">
        <w:t>Original design criteria for the</w:t>
      </w:r>
      <w:r w:rsidR="00395459" w:rsidRPr="008A0812">
        <w:t xml:space="preserve"> chlorine disinfection </w:t>
      </w:r>
      <w:r w:rsidRPr="008A0812">
        <w:t xml:space="preserve">units </w:t>
      </w:r>
      <w:r w:rsidR="008F2A5E" w:rsidRPr="008A0812">
        <w:t>is</w:t>
      </w:r>
      <w:r w:rsidRPr="008A0812">
        <w:t xml:space="preserve"> summarized in </w:t>
      </w:r>
      <w:r w:rsidR="003B6AE1" w:rsidRPr="008A0812">
        <w:fldChar w:fldCharType="begin"/>
      </w:r>
      <w:r w:rsidR="003B6AE1" w:rsidRPr="008A0812">
        <w:instrText xml:space="preserve"> REF _Ref36214901 \h </w:instrText>
      </w:r>
      <w:r w:rsidR="008A0812">
        <w:instrText xml:space="preserve"> \* MERGEFORMAT </w:instrText>
      </w:r>
      <w:r w:rsidR="003B6AE1" w:rsidRPr="008A0812">
        <w:fldChar w:fldCharType="separate"/>
      </w:r>
      <w:r w:rsidR="00AA68F8" w:rsidRPr="008A0812">
        <w:t xml:space="preserve">Table </w:t>
      </w:r>
      <w:r w:rsidR="00AA68F8">
        <w:rPr>
          <w:noProof/>
        </w:rPr>
        <w:t>1</w:t>
      </w:r>
      <w:r w:rsidR="00AA68F8" w:rsidRPr="008A0812">
        <w:rPr>
          <w:noProof/>
        </w:rPr>
        <w:noBreakHyphen/>
      </w:r>
      <w:r w:rsidR="00AA68F8">
        <w:rPr>
          <w:noProof/>
        </w:rPr>
        <w:t>17</w:t>
      </w:r>
      <w:r w:rsidR="003B6AE1" w:rsidRPr="008A0812">
        <w:fldChar w:fldCharType="end"/>
      </w:r>
      <w:r w:rsidRPr="008A0812">
        <w:t xml:space="preserve">. </w:t>
      </w:r>
    </w:p>
    <w:p w14:paraId="32EF118F" w14:textId="08454B2B" w:rsidR="003B6AE1" w:rsidRPr="008A0812" w:rsidRDefault="003B6AE1" w:rsidP="003B6AE1">
      <w:pPr>
        <w:pStyle w:val="TableHeading"/>
      </w:pPr>
      <w:bookmarkStart w:id="102" w:name="_Ref36214901"/>
      <w:bookmarkStart w:id="103" w:name="_Toc36414036"/>
      <w:bookmarkStart w:id="104" w:name="_Toc41684737"/>
      <w:r w:rsidRPr="008A0812">
        <w:t xml:space="preserve">Table </w:t>
      </w:r>
      <w:r>
        <w:fldChar w:fldCharType="begin"/>
      </w:r>
      <w:r>
        <w:instrText>STYLEREF 1 \s</w:instrText>
      </w:r>
      <w:r>
        <w:fldChar w:fldCharType="separate"/>
      </w:r>
      <w:r w:rsidR="00AA68F8">
        <w:rPr>
          <w:noProof/>
        </w:rPr>
        <w:t>1</w:t>
      </w:r>
      <w:r>
        <w:fldChar w:fldCharType="end"/>
      </w:r>
      <w:r w:rsidR="00524B10" w:rsidRPr="008A0812">
        <w:noBreakHyphen/>
      </w:r>
      <w:r>
        <w:fldChar w:fldCharType="begin"/>
      </w:r>
      <w:r>
        <w:instrText>SEQ Table \* ARABIC \s 1</w:instrText>
      </w:r>
      <w:r>
        <w:fldChar w:fldCharType="separate"/>
      </w:r>
      <w:r w:rsidR="00AA68F8">
        <w:rPr>
          <w:noProof/>
        </w:rPr>
        <w:t>17</w:t>
      </w:r>
      <w:r>
        <w:fldChar w:fldCharType="end"/>
      </w:r>
      <w:bookmarkEnd w:id="102"/>
      <w:r w:rsidRPr="008A0812">
        <w:t>: Chlorine Disinfection Design Information</w:t>
      </w:r>
      <w:bookmarkEnd w:id="103"/>
      <w:bookmarkEnd w:id="104"/>
      <w:r w:rsidRPr="008A0812">
        <w:t xml:space="preserve"> </w:t>
      </w:r>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99"/>
        <w:gridCol w:w="4194"/>
        <w:gridCol w:w="2538"/>
      </w:tblGrid>
      <w:tr w:rsidR="00083148" w:rsidRPr="008A0812" w14:paraId="6AA3073C" w14:textId="77777777" w:rsidTr="003B6AE1">
        <w:tc>
          <w:tcPr>
            <w:tcW w:w="2599" w:type="dxa"/>
            <w:tcBorders>
              <w:top w:val="single" w:sz="6" w:space="0" w:color="000000"/>
              <w:left w:val="single" w:sz="6" w:space="0" w:color="000000"/>
              <w:bottom w:val="single" w:sz="6" w:space="0" w:color="000000"/>
              <w:right w:val="single" w:sz="6" w:space="0" w:color="000000"/>
            </w:tcBorders>
            <w:shd w:val="clear" w:color="auto" w:fill="DADADA"/>
            <w:hideMark/>
          </w:tcPr>
          <w:p w14:paraId="5DC78040" w14:textId="33BBA664"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Major Component</w:t>
            </w:r>
          </w:p>
        </w:tc>
        <w:tc>
          <w:tcPr>
            <w:tcW w:w="4194" w:type="dxa"/>
            <w:tcBorders>
              <w:top w:val="single" w:sz="6" w:space="0" w:color="000000"/>
              <w:left w:val="single" w:sz="6" w:space="0" w:color="000000"/>
              <w:bottom w:val="single" w:sz="6" w:space="0" w:color="000000"/>
              <w:right w:val="single" w:sz="6" w:space="0" w:color="000000"/>
            </w:tcBorders>
            <w:shd w:val="clear" w:color="auto" w:fill="DADADA"/>
            <w:hideMark/>
          </w:tcPr>
          <w:p w14:paraId="499002B2" w14:textId="17EE5643"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Description</w:t>
            </w:r>
          </w:p>
        </w:tc>
        <w:tc>
          <w:tcPr>
            <w:tcW w:w="2538" w:type="dxa"/>
            <w:tcBorders>
              <w:top w:val="single" w:sz="6" w:space="0" w:color="000000"/>
              <w:left w:val="single" w:sz="6" w:space="0" w:color="000000"/>
              <w:bottom w:val="single" w:sz="6" w:space="0" w:color="000000"/>
              <w:right w:val="single" w:sz="6" w:space="0" w:color="000000"/>
            </w:tcBorders>
            <w:shd w:val="clear" w:color="auto" w:fill="DADADA"/>
            <w:hideMark/>
          </w:tcPr>
          <w:p w14:paraId="34C452A3" w14:textId="7A2F79B5" w:rsidR="00083148" w:rsidRPr="008A0812" w:rsidRDefault="00083148" w:rsidP="008F2A5E">
            <w:pPr>
              <w:overflowPunct/>
              <w:autoSpaceDE/>
              <w:autoSpaceDN/>
              <w:adjustRightInd/>
              <w:jc w:val="center"/>
              <w:rPr>
                <w:rFonts w:ascii="Segoe UI" w:hAnsi="Segoe UI" w:cs="Segoe UI"/>
                <w:sz w:val="18"/>
                <w:szCs w:val="18"/>
              </w:rPr>
            </w:pPr>
            <w:r w:rsidRPr="008A0812">
              <w:rPr>
                <w:rFonts w:cs="Segoe UI"/>
                <w:b/>
                <w:bCs/>
              </w:rPr>
              <w:t>Design Flow</w:t>
            </w:r>
          </w:p>
        </w:tc>
      </w:tr>
      <w:tr w:rsidR="00083148" w:rsidRPr="008A0812" w14:paraId="3D567675" w14:textId="77777777" w:rsidTr="003B6AE1">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0B5988B4" w14:textId="2D7000C3" w:rsidR="00083148" w:rsidRPr="008A0812" w:rsidRDefault="00083148" w:rsidP="008F2A5E">
            <w:pPr>
              <w:overflowPunct/>
              <w:autoSpaceDE/>
              <w:autoSpaceDN/>
              <w:adjustRightInd/>
              <w:rPr>
                <w:rFonts w:ascii="Segoe UI" w:hAnsi="Segoe UI" w:cs="Segoe UI"/>
                <w:sz w:val="18"/>
                <w:szCs w:val="18"/>
              </w:rPr>
            </w:pPr>
            <w:r w:rsidRPr="008A0812">
              <w:rPr>
                <w:rFonts w:cs="Segoe UI"/>
              </w:rPr>
              <w:t>Chlorine Contact Basin</w:t>
            </w:r>
            <w:r w:rsidR="000D2D44" w:rsidRPr="008A0812">
              <w:rPr>
                <w:rFonts w:cs="Segoe UI"/>
              </w:rPr>
              <w:t xml:space="preserve"> </w:t>
            </w:r>
          </w:p>
          <w:p w14:paraId="04DE1731" w14:textId="3CDA0A10" w:rsidR="00083148" w:rsidRPr="008A0812" w:rsidRDefault="00083148" w:rsidP="008F2A5E">
            <w:pPr>
              <w:overflowPunct/>
              <w:autoSpaceDE/>
              <w:autoSpaceDN/>
              <w:adjustRightInd/>
              <w:rPr>
                <w:rFonts w:ascii="Segoe UI" w:hAnsi="Segoe UI" w:cs="Segoe UI"/>
                <w:sz w:val="18"/>
                <w:szCs w:val="18"/>
              </w:rPr>
            </w:pPr>
            <w:r w:rsidRPr="008A0812">
              <w:rPr>
                <w:rFonts w:cs="Segoe UI"/>
              </w:rPr>
              <w:t>Unit 1 </w:t>
            </w:r>
          </w:p>
        </w:tc>
        <w:tc>
          <w:tcPr>
            <w:tcW w:w="4194" w:type="dxa"/>
            <w:tcBorders>
              <w:top w:val="nil"/>
              <w:left w:val="nil"/>
              <w:bottom w:val="single" w:sz="6" w:space="0" w:color="auto"/>
              <w:right w:val="single" w:sz="6" w:space="0" w:color="auto"/>
            </w:tcBorders>
            <w:shd w:val="clear" w:color="auto" w:fill="auto"/>
            <w:hideMark/>
          </w:tcPr>
          <w:p w14:paraId="572C764F" w14:textId="6623B171" w:rsidR="00083148" w:rsidRPr="008A0812" w:rsidRDefault="00083148" w:rsidP="008F2A5E">
            <w:pPr>
              <w:overflowPunct/>
              <w:autoSpaceDE/>
              <w:autoSpaceDN/>
              <w:adjustRightInd/>
              <w:rPr>
                <w:rFonts w:ascii="Segoe UI" w:hAnsi="Segoe UI" w:cs="Segoe UI"/>
                <w:sz w:val="18"/>
                <w:szCs w:val="18"/>
              </w:rPr>
            </w:pPr>
            <w:r w:rsidRPr="008A0812">
              <w:rPr>
                <w:rFonts w:cs="Segoe UI"/>
              </w:rPr>
              <w:t>Diameter: 60 f</w:t>
            </w:r>
            <w:r w:rsidR="008F2A5E" w:rsidRPr="008A0812">
              <w:rPr>
                <w:rFonts w:cs="Segoe UI"/>
              </w:rPr>
              <w:t>t</w:t>
            </w:r>
            <w:r w:rsidRPr="008A0812">
              <w:rPr>
                <w:rFonts w:cs="Segoe UI"/>
              </w:rPr>
              <w:t> </w:t>
            </w:r>
          </w:p>
          <w:p w14:paraId="5FC3A7CA" w14:textId="334AF9DA" w:rsidR="00083148" w:rsidRPr="008A0812" w:rsidRDefault="00083148" w:rsidP="008F2A5E">
            <w:pPr>
              <w:overflowPunct/>
              <w:autoSpaceDE/>
              <w:autoSpaceDN/>
              <w:adjustRightInd/>
              <w:rPr>
                <w:rFonts w:ascii="Segoe UI" w:hAnsi="Segoe UI" w:cs="Segoe UI"/>
                <w:sz w:val="18"/>
                <w:szCs w:val="18"/>
              </w:rPr>
            </w:pPr>
            <w:r w:rsidRPr="008A0812">
              <w:rPr>
                <w:rFonts w:cs="Segoe UI"/>
              </w:rPr>
              <w:t>Volume: 159,000 gallons </w:t>
            </w:r>
          </w:p>
          <w:p w14:paraId="7008CA38" w14:textId="3AA5272F" w:rsidR="00083148" w:rsidRPr="008A0812" w:rsidRDefault="00083148" w:rsidP="008F2A5E">
            <w:pPr>
              <w:overflowPunct/>
              <w:autoSpaceDE/>
              <w:autoSpaceDN/>
              <w:adjustRightInd/>
              <w:rPr>
                <w:rFonts w:ascii="Segoe UI" w:hAnsi="Segoe UI" w:cs="Segoe UI"/>
                <w:sz w:val="18"/>
                <w:szCs w:val="18"/>
              </w:rPr>
            </w:pPr>
            <w:r w:rsidRPr="008A0812">
              <w:rPr>
                <w:rFonts w:cs="Segoe UI"/>
              </w:rPr>
              <w:t>Side</w:t>
            </w:r>
            <w:r w:rsidR="008F2A5E" w:rsidRPr="008A0812">
              <w:rPr>
                <w:rFonts w:cs="Segoe UI"/>
              </w:rPr>
              <w:t xml:space="preserve"> W</w:t>
            </w:r>
            <w:r w:rsidRPr="008A0812">
              <w:rPr>
                <w:rFonts w:cs="Segoe UI"/>
              </w:rPr>
              <w:t>ater Depth: 7.5 f</w:t>
            </w:r>
            <w:r w:rsidR="008F2A5E" w:rsidRPr="008A0812">
              <w:rPr>
                <w:rFonts w:cs="Segoe UI"/>
              </w:rPr>
              <w:t>t</w:t>
            </w:r>
            <w:r w:rsidRPr="008A0812">
              <w:rPr>
                <w:rFonts w:cs="Segoe UI"/>
              </w:rPr>
              <w:t> </w:t>
            </w:r>
          </w:p>
          <w:p w14:paraId="1C42BE62" w14:textId="208CB986" w:rsidR="00083148" w:rsidRPr="008A0812" w:rsidRDefault="00083148" w:rsidP="008F2A5E">
            <w:pPr>
              <w:overflowPunct/>
              <w:autoSpaceDE/>
              <w:autoSpaceDN/>
              <w:adjustRightInd/>
              <w:rPr>
                <w:rFonts w:ascii="Segoe UI" w:hAnsi="Segoe UI" w:cs="Segoe UI"/>
                <w:sz w:val="18"/>
                <w:szCs w:val="18"/>
              </w:rPr>
            </w:pPr>
            <w:r w:rsidRPr="008A0812">
              <w:rPr>
                <w:rFonts w:cs="Segoe UI"/>
              </w:rPr>
              <w:t>Contact Time (13 mgd): 29 minutes </w:t>
            </w:r>
          </w:p>
        </w:tc>
        <w:tc>
          <w:tcPr>
            <w:tcW w:w="2538" w:type="dxa"/>
            <w:tcBorders>
              <w:top w:val="nil"/>
              <w:left w:val="nil"/>
              <w:bottom w:val="single" w:sz="6" w:space="0" w:color="auto"/>
              <w:right w:val="single" w:sz="6" w:space="0" w:color="auto"/>
            </w:tcBorders>
            <w:shd w:val="clear" w:color="auto" w:fill="auto"/>
            <w:hideMark/>
          </w:tcPr>
          <w:p w14:paraId="478E68C7" w14:textId="56B20410" w:rsidR="00083148" w:rsidRPr="008A0812" w:rsidRDefault="00083148" w:rsidP="008F2A5E">
            <w:pPr>
              <w:overflowPunct/>
              <w:autoSpaceDE/>
              <w:autoSpaceDN/>
              <w:adjustRightInd/>
              <w:rPr>
                <w:rFonts w:ascii="Segoe UI" w:hAnsi="Segoe UI" w:cs="Segoe UI"/>
                <w:sz w:val="18"/>
                <w:szCs w:val="18"/>
              </w:rPr>
            </w:pPr>
            <w:r w:rsidRPr="008A0812">
              <w:rPr>
                <w:rFonts w:cs="Segoe UI"/>
              </w:rPr>
              <w:t>13 mgd (average flow)</w:t>
            </w:r>
          </w:p>
        </w:tc>
      </w:tr>
      <w:tr w:rsidR="00083148" w:rsidRPr="008A0812" w14:paraId="6B1C08C7" w14:textId="77777777" w:rsidTr="003B6AE1">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390B2A04" w14:textId="13C0DDC2" w:rsidR="00083148" w:rsidRPr="008A0812" w:rsidRDefault="00083148" w:rsidP="008F2A5E">
            <w:pPr>
              <w:overflowPunct/>
              <w:autoSpaceDE/>
              <w:autoSpaceDN/>
              <w:adjustRightInd/>
              <w:rPr>
                <w:rFonts w:ascii="Segoe UI" w:hAnsi="Segoe UI" w:cs="Segoe UI"/>
                <w:sz w:val="18"/>
                <w:szCs w:val="18"/>
              </w:rPr>
            </w:pPr>
            <w:r w:rsidRPr="008A0812">
              <w:rPr>
                <w:rFonts w:cs="Segoe UI"/>
              </w:rPr>
              <w:t>Chlorine Contact Basin</w:t>
            </w:r>
            <w:r w:rsidR="000D2D44" w:rsidRPr="008A0812">
              <w:rPr>
                <w:rFonts w:cs="Segoe UI"/>
              </w:rPr>
              <w:t xml:space="preserve"> </w:t>
            </w:r>
          </w:p>
          <w:p w14:paraId="7C57A82D" w14:textId="69081C10" w:rsidR="00083148" w:rsidRPr="008A0812" w:rsidRDefault="00083148" w:rsidP="008F2A5E">
            <w:pPr>
              <w:overflowPunct/>
              <w:autoSpaceDE/>
              <w:autoSpaceDN/>
              <w:adjustRightInd/>
              <w:rPr>
                <w:rFonts w:ascii="Segoe UI" w:hAnsi="Segoe UI" w:cs="Segoe UI"/>
                <w:sz w:val="18"/>
                <w:szCs w:val="18"/>
              </w:rPr>
            </w:pPr>
            <w:r w:rsidRPr="008A0812">
              <w:rPr>
                <w:rFonts w:cs="Segoe UI"/>
              </w:rPr>
              <w:t>Unit 2 </w:t>
            </w:r>
          </w:p>
        </w:tc>
        <w:tc>
          <w:tcPr>
            <w:tcW w:w="4194" w:type="dxa"/>
            <w:tcBorders>
              <w:top w:val="nil"/>
              <w:left w:val="nil"/>
              <w:bottom w:val="single" w:sz="6" w:space="0" w:color="auto"/>
              <w:right w:val="single" w:sz="6" w:space="0" w:color="auto"/>
            </w:tcBorders>
            <w:shd w:val="clear" w:color="auto" w:fill="auto"/>
            <w:hideMark/>
          </w:tcPr>
          <w:p w14:paraId="49DBC68D" w14:textId="27C7BE96" w:rsidR="00083148" w:rsidRPr="008A0812" w:rsidRDefault="00083148" w:rsidP="008F2A5E">
            <w:pPr>
              <w:overflowPunct/>
              <w:autoSpaceDE/>
              <w:autoSpaceDN/>
              <w:adjustRightInd/>
              <w:rPr>
                <w:rFonts w:ascii="Segoe UI" w:hAnsi="Segoe UI" w:cs="Segoe UI"/>
                <w:sz w:val="18"/>
                <w:szCs w:val="18"/>
              </w:rPr>
            </w:pPr>
            <w:r w:rsidRPr="008A0812">
              <w:rPr>
                <w:rFonts w:cs="Segoe UI"/>
              </w:rPr>
              <w:t>Diameter: 100 ft </w:t>
            </w:r>
          </w:p>
          <w:p w14:paraId="0F5CE0F9" w14:textId="51EDE8F7" w:rsidR="00083148" w:rsidRPr="008A0812" w:rsidRDefault="00083148" w:rsidP="008F2A5E">
            <w:pPr>
              <w:overflowPunct/>
              <w:autoSpaceDE/>
              <w:autoSpaceDN/>
              <w:adjustRightInd/>
              <w:rPr>
                <w:rFonts w:ascii="Segoe UI" w:hAnsi="Segoe UI" w:cs="Segoe UI"/>
                <w:sz w:val="18"/>
                <w:szCs w:val="18"/>
              </w:rPr>
            </w:pPr>
            <w:r w:rsidRPr="008A0812">
              <w:rPr>
                <w:rFonts w:cs="Segoe UI"/>
              </w:rPr>
              <w:t>Volume: 543,000 gallons </w:t>
            </w:r>
          </w:p>
          <w:p w14:paraId="792F6A73" w14:textId="03696172" w:rsidR="00083148" w:rsidRPr="008A0812" w:rsidRDefault="00083148" w:rsidP="008F2A5E">
            <w:pPr>
              <w:overflowPunct/>
              <w:autoSpaceDE/>
              <w:autoSpaceDN/>
              <w:adjustRightInd/>
              <w:rPr>
                <w:rFonts w:ascii="Segoe UI" w:hAnsi="Segoe UI" w:cs="Segoe UI"/>
                <w:sz w:val="18"/>
                <w:szCs w:val="18"/>
              </w:rPr>
            </w:pPr>
            <w:r w:rsidRPr="008A0812">
              <w:rPr>
                <w:rFonts w:cs="Segoe UI"/>
              </w:rPr>
              <w:t>Side</w:t>
            </w:r>
            <w:r w:rsidR="008F2A5E" w:rsidRPr="008A0812">
              <w:rPr>
                <w:rFonts w:cs="Segoe UI"/>
              </w:rPr>
              <w:t xml:space="preserve"> W</w:t>
            </w:r>
            <w:r w:rsidRPr="008A0812">
              <w:rPr>
                <w:rFonts w:cs="Segoe UI"/>
              </w:rPr>
              <w:t>ater Depth: 10 ft </w:t>
            </w:r>
          </w:p>
          <w:p w14:paraId="2B13AE3F" w14:textId="10D43E02" w:rsidR="00083148" w:rsidRPr="008A0812" w:rsidRDefault="00083148" w:rsidP="008F2A5E">
            <w:pPr>
              <w:overflowPunct/>
              <w:autoSpaceDE/>
              <w:autoSpaceDN/>
              <w:adjustRightInd/>
              <w:rPr>
                <w:rFonts w:ascii="Segoe UI" w:hAnsi="Segoe UI" w:cs="Segoe UI"/>
                <w:sz w:val="18"/>
                <w:szCs w:val="18"/>
              </w:rPr>
            </w:pPr>
            <w:r w:rsidRPr="008A0812">
              <w:rPr>
                <w:rFonts w:cs="Segoe UI"/>
              </w:rPr>
              <w:t>Contact Time (15 mgd): 52 minutes </w:t>
            </w:r>
          </w:p>
        </w:tc>
        <w:tc>
          <w:tcPr>
            <w:tcW w:w="2538" w:type="dxa"/>
            <w:tcBorders>
              <w:top w:val="nil"/>
              <w:left w:val="nil"/>
              <w:bottom w:val="single" w:sz="6" w:space="0" w:color="auto"/>
              <w:right w:val="single" w:sz="6" w:space="0" w:color="auto"/>
            </w:tcBorders>
            <w:shd w:val="clear" w:color="auto" w:fill="auto"/>
            <w:hideMark/>
          </w:tcPr>
          <w:p w14:paraId="2D107317" w14:textId="0652C869" w:rsidR="00083148" w:rsidRPr="008A0812" w:rsidRDefault="00083148" w:rsidP="008F2A5E">
            <w:pPr>
              <w:overflowPunct/>
              <w:autoSpaceDE/>
              <w:autoSpaceDN/>
              <w:adjustRightInd/>
              <w:rPr>
                <w:rFonts w:ascii="Segoe UI" w:hAnsi="Segoe UI" w:cs="Segoe UI"/>
                <w:sz w:val="18"/>
                <w:szCs w:val="18"/>
              </w:rPr>
            </w:pPr>
            <w:r w:rsidRPr="008A0812">
              <w:rPr>
                <w:rFonts w:cs="Segoe UI"/>
              </w:rPr>
              <w:t>15 mgd (average flow)</w:t>
            </w:r>
          </w:p>
        </w:tc>
      </w:tr>
      <w:tr w:rsidR="00083148" w:rsidRPr="008A0812" w14:paraId="74800A06" w14:textId="77777777" w:rsidTr="003B6AE1">
        <w:tc>
          <w:tcPr>
            <w:tcW w:w="2599" w:type="dxa"/>
            <w:tcBorders>
              <w:top w:val="single" w:sz="6" w:space="0" w:color="000000"/>
              <w:left w:val="single" w:sz="6" w:space="0" w:color="000000"/>
              <w:bottom w:val="single" w:sz="6" w:space="0" w:color="000000"/>
              <w:right w:val="single" w:sz="6" w:space="0" w:color="000000"/>
            </w:tcBorders>
            <w:shd w:val="clear" w:color="auto" w:fill="auto"/>
            <w:hideMark/>
          </w:tcPr>
          <w:p w14:paraId="2D89A8D0" w14:textId="772981AD" w:rsidR="00083148" w:rsidRPr="008A0812" w:rsidRDefault="00083148" w:rsidP="008F2A5E">
            <w:pPr>
              <w:overflowPunct/>
              <w:autoSpaceDE/>
              <w:autoSpaceDN/>
              <w:adjustRightInd/>
              <w:rPr>
                <w:rFonts w:ascii="Segoe UI" w:hAnsi="Segoe UI" w:cs="Segoe UI"/>
                <w:sz w:val="18"/>
                <w:szCs w:val="18"/>
              </w:rPr>
            </w:pPr>
            <w:r w:rsidRPr="008A0812">
              <w:rPr>
                <w:rFonts w:cs="Segoe UI"/>
              </w:rPr>
              <w:t>Chlorine Contact Lagoon </w:t>
            </w:r>
          </w:p>
        </w:tc>
        <w:tc>
          <w:tcPr>
            <w:tcW w:w="4194" w:type="dxa"/>
            <w:tcBorders>
              <w:top w:val="nil"/>
              <w:left w:val="nil"/>
              <w:bottom w:val="single" w:sz="6" w:space="0" w:color="auto"/>
              <w:right w:val="single" w:sz="6" w:space="0" w:color="auto"/>
            </w:tcBorders>
            <w:shd w:val="clear" w:color="auto" w:fill="auto"/>
            <w:hideMark/>
          </w:tcPr>
          <w:p w14:paraId="151E0A68" w14:textId="395B8D2C" w:rsidR="00083148" w:rsidRPr="008A0812" w:rsidRDefault="00083148" w:rsidP="008F2A5E">
            <w:pPr>
              <w:overflowPunct/>
              <w:autoSpaceDE/>
              <w:autoSpaceDN/>
              <w:adjustRightInd/>
              <w:rPr>
                <w:rFonts w:ascii="Segoe UI" w:hAnsi="Segoe UI" w:cs="Segoe UI"/>
                <w:sz w:val="18"/>
                <w:szCs w:val="18"/>
              </w:rPr>
            </w:pPr>
            <w:r w:rsidRPr="008A0812">
              <w:rPr>
                <w:rFonts w:cs="Segoe UI"/>
              </w:rPr>
              <w:t>Volume: 1,260,000 gallons </w:t>
            </w:r>
          </w:p>
          <w:p w14:paraId="622A921E" w14:textId="08439E8A" w:rsidR="00083148" w:rsidRPr="008A0812" w:rsidRDefault="00083148" w:rsidP="008F2A5E">
            <w:pPr>
              <w:overflowPunct/>
              <w:autoSpaceDE/>
              <w:autoSpaceDN/>
              <w:adjustRightInd/>
              <w:rPr>
                <w:rFonts w:ascii="Segoe UI" w:hAnsi="Segoe UI" w:cs="Segoe UI"/>
                <w:sz w:val="18"/>
                <w:szCs w:val="18"/>
              </w:rPr>
            </w:pPr>
            <w:r w:rsidRPr="008A0812">
              <w:rPr>
                <w:rFonts w:cs="Segoe UI"/>
              </w:rPr>
              <w:t>Contact Time (28 mgd): 65 minutes </w:t>
            </w:r>
          </w:p>
        </w:tc>
        <w:tc>
          <w:tcPr>
            <w:tcW w:w="2538" w:type="dxa"/>
            <w:tcBorders>
              <w:top w:val="nil"/>
              <w:left w:val="nil"/>
              <w:bottom w:val="single" w:sz="6" w:space="0" w:color="auto"/>
              <w:right w:val="single" w:sz="6" w:space="0" w:color="auto"/>
            </w:tcBorders>
            <w:shd w:val="clear" w:color="auto" w:fill="auto"/>
            <w:hideMark/>
          </w:tcPr>
          <w:p w14:paraId="16346E81" w14:textId="30DF1B85" w:rsidR="00083148" w:rsidRPr="008A0812" w:rsidRDefault="00083148" w:rsidP="008F2A5E">
            <w:pPr>
              <w:overflowPunct/>
              <w:autoSpaceDE/>
              <w:autoSpaceDN/>
              <w:adjustRightInd/>
              <w:rPr>
                <w:rFonts w:ascii="Segoe UI" w:hAnsi="Segoe UI" w:cs="Segoe UI"/>
                <w:sz w:val="18"/>
                <w:szCs w:val="18"/>
              </w:rPr>
            </w:pPr>
            <w:r w:rsidRPr="008A0812">
              <w:rPr>
                <w:rFonts w:cs="Segoe UI"/>
              </w:rPr>
              <w:t>28 mgd (average flow)</w:t>
            </w:r>
          </w:p>
        </w:tc>
      </w:tr>
    </w:tbl>
    <w:p w14:paraId="0222E154" w14:textId="2963593F" w:rsidR="00083148" w:rsidRPr="008A0812" w:rsidRDefault="00335AAE" w:rsidP="0023394E">
      <w:pPr>
        <w:pStyle w:val="Heading3"/>
      </w:pPr>
      <w:bookmarkStart w:id="105" w:name="_Toc41680819"/>
      <w:r w:rsidRPr="008A0812">
        <w:t>Odor Control</w:t>
      </w:r>
      <w:bookmarkEnd w:id="105"/>
    </w:p>
    <w:p w14:paraId="7354983B" w14:textId="06D4B35B" w:rsidR="00335AAE" w:rsidRPr="008A0812" w:rsidRDefault="00335AAE" w:rsidP="00335AAE">
      <w:pPr>
        <w:pStyle w:val="BodyText"/>
      </w:pPr>
      <w:r w:rsidRPr="008A0812">
        <w:t>The SBWRP currently operates 5 foul air scrubbers with 2 packed bed scrubbers, each with 25,000 cfm capacity, dedicated to the Headworks Building</w:t>
      </w:r>
      <w:r w:rsidR="008F2A5E" w:rsidRPr="008A0812">
        <w:t>;</w:t>
      </w:r>
      <w:r w:rsidRPr="008A0812">
        <w:t xml:space="preserve"> 2 caustic scrubbers, each with 25,000 cfm capacity, dedicated to the belt filter presses</w:t>
      </w:r>
      <w:r w:rsidR="008F2A5E" w:rsidRPr="008A0812">
        <w:t>;</w:t>
      </w:r>
      <w:r w:rsidRPr="008A0812">
        <w:t xml:space="preserve"> and one dedicated to the digested sludge storage tanks.</w:t>
      </w:r>
    </w:p>
    <w:p w14:paraId="20332F96" w14:textId="77777777" w:rsidR="00335AAE" w:rsidRPr="008A0812" w:rsidRDefault="00335AAE" w:rsidP="00083148">
      <w:pPr>
        <w:pStyle w:val="BodyText"/>
        <w:sectPr w:rsidR="00335AAE" w:rsidRPr="008A0812" w:rsidSect="00DA745E">
          <w:headerReference w:type="even" r:id="rId17"/>
          <w:headerReference w:type="default" r:id="rId18"/>
          <w:footerReference w:type="even" r:id="rId19"/>
          <w:footerReference w:type="default" r:id="rId20"/>
          <w:headerReference w:type="first" r:id="rId21"/>
          <w:footerReference w:type="first" r:id="rId22"/>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104E8426" w14:textId="4AE11A41" w:rsidR="00083148" w:rsidRPr="008A0812" w:rsidRDefault="00335AAE" w:rsidP="00335AAE">
      <w:pPr>
        <w:pStyle w:val="Heading1"/>
      </w:pPr>
      <w:bookmarkStart w:id="107" w:name="_Toc41680820"/>
      <w:r w:rsidRPr="008A0812">
        <w:t>Asset Inventory</w:t>
      </w:r>
      <w:bookmarkEnd w:id="107"/>
    </w:p>
    <w:p w14:paraId="1BC88664" w14:textId="76EF094D" w:rsidR="00335AAE" w:rsidRPr="008A0812" w:rsidRDefault="00F16DF5" w:rsidP="00F16DF5">
      <w:pPr>
        <w:pStyle w:val="Heading2"/>
      </w:pPr>
      <w:bookmarkStart w:id="108" w:name="_Toc41680821"/>
      <w:r w:rsidRPr="008A0812">
        <w:t>Introduction</w:t>
      </w:r>
      <w:bookmarkEnd w:id="108"/>
    </w:p>
    <w:p w14:paraId="674AE0B3" w14:textId="77777777" w:rsidR="00F16DF5" w:rsidRPr="008A0812" w:rsidRDefault="00F16DF5" w:rsidP="00F16DF5">
      <w:pPr>
        <w:pStyle w:val="BodyText"/>
      </w:pPr>
      <w:r w:rsidRPr="008A0812">
        <w:t>SBMWD elected to incorporate elements of asset management into the development of the SBWRP Facilities Assessment and Master Plan. Some of the benefits being:</w:t>
      </w:r>
    </w:p>
    <w:p w14:paraId="3E9B0F31" w14:textId="1C3E326D" w:rsidR="00F16DF5" w:rsidRPr="008A0812" w:rsidRDefault="00F16DF5" w:rsidP="00F16DF5">
      <w:pPr>
        <w:pStyle w:val="Bullet"/>
      </w:pPr>
      <w:r w:rsidRPr="008A0812">
        <w:t>Asset inventory that can serve as a data source for the new Enterprise Asset Management (EAM) System, which will include as one component a Computerized Maintenance Management System (CMMS) to be used Department wide.</w:t>
      </w:r>
    </w:p>
    <w:p w14:paraId="5DA28E4F" w14:textId="28E51AC2" w:rsidR="00F16DF5" w:rsidRPr="008A0812" w:rsidRDefault="00F16DF5" w:rsidP="00F16DF5">
      <w:pPr>
        <w:pStyle w:val="Bullet"/>
      </w:pPr>
      <w:r w:rsidRPr="008A0812">
        <w:t>Rehabilitation and Replacement decisions based on condition versus age.</w:t>
      </w:r>
    </w:p>
    <w:p w14:paraId="403A5FCA" w14:textId="5638D493" w:rsidR="00F16DF5" w:rsidRPr="008A0812" w:rsidRDefault="00F16DF5" w:rsidP="00F16DF5">
      <w:pPr>
        <w:pStyle w:val="Bullet"/>
      </w:pPr>
      <w:r w:rsidRPr="008A0812">
        <w:t>Better able to manage SBMWD’s business risk exposure</w:t>
      </w:r>
    </w:p>
    <w:p w14:paraId="1A79A239" w14:textId="782A831B" w:rsidR="00F16DF5" w:rsidRPr="008A0812" w:rsidRDefault="00F16DF5" w:rsidP="00F16DF5">
      <w:pPr>
        <w:pStyle w:val="Bullet"/>
      </w:pPr>
      <w:r w:rsidRPr="008A0812">
        <w:t>Minimize life-cycle costs</w:t>
      </w:r>
    </w:p>
    <w:p w14:paraId="47513661" w14:textId="6EDF95B3" w:rsidR="00F16DF5" w:rsidRPr="008A0812" w:rsidRDefault="00F16DF5" w:rsidP="00F16DF5">
      <w:pPr>
        <w:pStyle w:val="Bullet"/>
      </w:pPr>
      <w:r w:rsidRPr="008A0812">
        <w:t>Better project long range funding requirements</w:t>
      </w:r>
    </w:p>
    <w:p w14:paraId="4B44BAF2" w14:textId="58028C42" w:rsidR="00F16DF5" w:rsidRPr="008A0812" w:rsidRDefault="00F16DF5" w:rsidP="00F16DF5">
      <w:pPr>
        <w:pStyle w:val="BodyText"/>
      </w:pPr>
      <w:r w:rsidRPr="008A0812">
        <w:t xml:space="preserve">Determination of the current state of the SBWRP’s assets requires knowledge of the assets owned and managed by SBMWD, so the first phase consisted of populating the asset register for the SBWRP.  </w:t>
      </w:r>
      <w:r w:rsidR="003B6AE1" w:rsidRPr="008A0812">
        <w:fldChar w:fldCharType="begin"/>
      </w:r>
      <w:r w:rsidR="003B6AE1" w:rsidRPr="008A0812">
        <w:instrText xml:space="preserve"> REF _Ref36214940 \h </w:instrText>
      </w:r>
      <w:r w:rsidR="008A0812">
        <w:instrText xml:space="preserve"> \* MERGEFORMAT </w:instrText>
      </w:r>
      <w:r w:rsidR="003B6AE1" w:rsidRPr="008A0812">
        <w:fldChar w:fldCharType="separate"/>
      </w:r>
      <w:r w:rsidR="00AA68F8" w:rsidRPr="008A0812">
        <w:t xml:space="preserve">Figure </w:t>
      </w:r>
      <w:r w:rsidR="00AA68F8">
        <w:rPr>
          <w:noProof/>
        </w:rPr>
        <w:t>2</w:t>
      </w:r>
      <w:r w:rsidR="00AA68F8">
        <w:rPr>
          <w:noProof/>
        </w:rPr>
        <w:noBreakHyphen/>
        <w:t>1</w:t>
      </w:r>
      <w:r w:rsidR="003B6AE1" w:rsidRPr="008A0812">
        <w:fldChar w:fldCharType="end"/>
      </w:r>
      <w:r w:rsidR="003B6AE1" w:rsidRPr="008A0812">
        <w:t xml:space="preserve"> </w:t>
      </w:r>
      <w:r w:rsidRPr="008A0812">
        <w:t>provides an aerial view of the SBWRP.  While this project only populated the asset register with SBWRP assets, the asset register framework was developed so that it could also be expanded and applied to other Departments in the future.</w:t>
      </w:r>
    </w:p>
    <w:p w14:paraId="57D82E7F" w14:textId="6E4C71DC" w:rsidR="003B6AE1" w:rsidRPr="008A0812" w:rsidRDefault="003B6AE1" w:rsidP="003B6AE1">
      <w:pPr>
        <w:pStyle w:val="FigureHeading"/>
      </w:pPr>
      <w:bookmarkStart w:id="109" w:name="_Ref36214940"/>
      <w:bookmarkStart w:id="110" w:name="_Toc36413930"/>
      <w:bookmarkStart w:id="111" w:name="_Toc41684657"/>
      <w:r w:rsidRPr="008A0812">
        <w:t xml:space="preserve">Figure </w:t>
      </w:r>
      <w:fldSimple w:instr=" STYLEREF 1 \s ">
        <w:r w:rsidR="00AA68F8">
          <w:rPr>
            <w:noProof/>
          </w:rPr>
          <w:t>2</w:t>
        </w:r>
      </w:fldSimple>
      <w:r w:rsidR="00B233D1">
        <w:noBreakHyphen/>
      </w:r>
      <w:fldSimple w:instr=" SEQ Figure \* ARABIC \s 1 ">
        <w:r w:rsidR="00AA68F8">
          <w:rPr>
            <w:noProof/>
          </w:rPr>
          <w:t>1</w:t>
        </w:r>
      </w:fldSimple>
      <w:bookmarkEnd w:id="109"/>
      <w:r w:rsidRPr="008A0812">
        <w:t>: SBMWD Water Reclamation Facility (Scope Area)</w:t>
      </w:r>
      <w:bookmarkEnd w:id="110"/>
      <w:bookmarkEnd w:id="111"/>
    </w:p>
    <w:p w14:paraId="0F97E6EC" w14:textId="457E8CBE" w:rsidR="00F16DF5" w:rsidRPr="008A0812" w:rsidRDefault="00F16DF5" w:rsidP="00F16DF5">
      <w:r>
        <w:rPr>
          <w:noProof/>
        </w:rPr>
        <w:drawing>
          <wp:inline distT="0" distB="0" distL="0" distR="0" wp14:anchorId="2F373BBD" wp14:editId="04CD0FC5">
            <wp:extent cx="5962652" cy="2420620"/>
            <wp:effectExtent l="0" t="0" r="0" b="0"/>
            <wp:docPr id="9698196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5962652" cy="2420620"/>
                    </a:xfrm>
                    <a:prstGeom prst="rect">
                      <a:avLst/>
                    </a:prstGeom>
                  </pic:spPr>
                </pic:pic>
              </a:graphicData>
            </a:graphic>
          </wp:inline>
        </w:drawing>
      </w:r>
    </w:p>
    <w:p w14:paraId="05036DE8" w14:textId="6E303A32" w:rsidR="00F16DF5" w:rsidRPr="008A0812" w:rsidRDefault="00F16DF5" w:rsidP="00F16DF5">
      <w:pPr>
        <w:pStyle w:val="Heading2"/>
      </w:pPr>
      <w:bookmarkStart w:id="112" w:name="_Toc41680822"/>
      <w:r w:rsidRPr="008A0812">
        <w:t>Data Collection</w:t>
      </w:r>
      <w:bookmarkEnd w:id="112"/>
    </w:p>
    <w:p w14:paraId="50381759" w14:textId="77777777" w:rsidR="00F16DF5" w:rsidRPr="008A0812" w:rsidRDefault="00F16DF5" w:rsidP="00F16DF5">
      <w:pPr>
        <w:pStyle w:val="BodyText"/>
      </w:pPr>
      <w:r w:rsidRPr="008A0812">
        <w:t>The first step of the WRP Facilities Assessment was the identification of all assets associated with the WRP into a consolidated database referred to as an asset register. Using data from SBMWD’s existing sources such as Record Drawings, electronic O&amp;M manuals (EOM) and institutional knowledge of staff, a preliminary asset register of SBWRP above-ground and yard piping assets was developed.</w:t>
      </w:r>
    </w:p>
    <w:p w14:paraId="46B7EFCB" w14:textId="366CD42E" w:rsidR="00F16DF5" w:rsidRPr="008A0812" w:rsidRDefault="00F16DF5" w:rsidP="00F16DF5">
      <w:pPr>
        <w:pStyle w:val="Heading3"/>
      </w:pPr>
      <w:bookmarkStart w:id="113" w:name="_Toc41680823"/>
      <w:r w:rsidRPr="008A0812">
        <w:t>Above-Ground Assets</w:t>
      </w:r>
      <w:bookmarkEnd w:id="113"/>
    </w:p>
    <w:p w14:paraId="00C8D54B" w14:textId="3A7344F7" w:rsidR="00F16DF5" w:rsidRPr="008A0812" w:rsidRDefault="00F16DF5" w:rsidP="00F16DF5">
      <w:pPr>
        <w:pStyle w:val="BodyText"/>
      </w:pPr>
      <w:r w:rsidRPr="008A0812">
        <w:t xml:space="preserve">The preliminary asset register of above-ground assets was further developed during the </w:t>
      </w:r>
      <w:bookmarkStart w:id="114" w:name="_Hlk22217133"/>
      <w:r w:rsidRPr="008A0812">
        <w:t xml:space="preserve">field inventory, condition assessment and further gap closure activities after the field inventory as shown in </w:t>
      </w:r>
      <w:r w:rsidR="00FF5B28" w:rsidRPr="008A0812">
        <w:fldChar w:fldCharType="begin"/>
      </w:r>
      <w:r w:rsidR="00FF5B28" w:rsidRPr="008A0812">
        <w:instrText xml:space="preserve"> REF _Ref36215884 \h </w:instrText>
      </w:r>
      <w:r w:rsidR="008A0812">
        <w:instrText xml:space="preserve"> \* MERGEFORMAT </w:instrText>
      </w:r>
      <w:r w:rsidR="00FF5B28" w:rsidRPr="008A0812">
        <w:fldChar w:fldCharType="separate"/>
      </w:r>
      <w:r w:rsidR="00AA68F8" w:rsidRPr="008A0812">
        <w:t xml:space="preserve">Table </w:t>
      </w:r>
      <w:r w:rsidR="00AA68F8">
        <w:rPr>
          <w:noProof/>
        </w:rPr>
        <w:t>2</w:t>
      </w:r>
      <w:r w:rsidR="00AA68F8" w:rsidRPr="008A0812">
        <w:rPr>
          <w:noProof/>
        </w:rPr>
        <w:noBreakHyphen/>
      </w:r>
      <w:r w:rsidR="00AA68F8">
        <w:rPr>
          <w:noProof/>
        </w:rPr>
        <w:t>1</w:t>
      </w:r>
      <w:r w:rsidR="00FF5B28" w:rsidRPr="008A0812">
        <w:fldChar w:fldCharType="end"/>
      </w:r>
      <w:r w:rsidRPr="008A0812">
        <w:t xml:space="preserve">. </w:t>
      </w:r>
    </w:p>
    <w:p w14:paraId="5ACB3D90" w14:textId="59820166" w:rsidR="00FF5B28" w:rsidRPr="008A0812" w:rsidRDefault="00FF5B28" w:rsidP="00FF5B28">
      <w:pPr>
        <w:pStyle w:val="TableHeading"/>
      </w:pPr>
      <w:bookmarkStart w:id="115" w:name="_Ref36215884"/>
      <w:bookmarkStart w:id="116" w:name="_Toc36414037"/>
      <w:bookmarkStart w:id="117" w:name="_Toc41684738"/>
      <w:r w:rsidRPr="008A0812">
        <w:t xml:space="preserve">Table </w:t>
      </w:r>
      <w:r>
        <w:fldChar w:fldCharType="begin"/>
      </w:r>
      <w:r>
        <w:instrText>STYLEREF 1 \s</w:instrText>
      </w:r>
      <w:r>
        <w:fldChar w:fldCharType="separate"/>
      </w:r>
      <w:r w:rsidR="00AA68F8">
        <w:rPr>
          <w:noProof/>
        </w:rPr>
        <w:t>2</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115"/>
      <w:r w:rsidRPr="008A0812">
        <w:t>: Sources of Information</w:t>
      </w:r>
      <w:bookmarkEnd w:id="116"/>
      <w:bookmarkEnd w:id="117"/>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2"/>
        <w:gridCol w:w="2970"/>
        <w:gridCol w:w="1779"/>
      </w:tblGrid>
      <w:tr w:rsidR="00F16DF5" w:rsidRPr="008A0812" w14:paraId="56F78B9D" w14:textId="77777777" w:rsidTr="00646BB0">
        <w:tc>
          <w:tcPr>
            <w:tcW w:w="4582" w:type="dxa"/>
            <w:tcBorders>
              <w:top w:val="single" w:sz="6" w:space="0" w:color="auto"/>
              <w:left w:val="single" w:sz="6" w:space="0" w:color="auto"/>
              <w:bottom w:val="single" w:sz="6" w:space="0" w:color="auto"/>
              <w:right w:val="single" w:sz="6" w:space="0" w:color="auto"/>
            </w:tcBorders>
            <w:shd w:val="clear" w:color="auto" w:fill="BFBFBF"/>
            <w:vAlign w:val="bottom"/>
            <w:hideMark/>
          </w:tcPr>
          <w:bookmarkEnd w:id="114"/>
          <w:p w14:paraId="1BEA784A" w14:textId="28A15951" w:rsidR="00F16DF5" w:rsidRPr="008A0812" w:rsidRDefault="00F16DF5" w:rsidP="00F16DF5">
            <w:pPr>
              <w:overflowPunct/>
              <w:autoSpaceDE/>
              <w:autoSpaceDN/>
              <w:adjustRightInd/>
              <w:jc w:val="center"/>
              <w:rPr>
                <w:rFonts w:ascii="Times New Roman" w:hAnsi="Times New Roman"/>
                <w:sz w:val="24"/>
                <w:szCs w:val="24"/>
              </w:rPr>
            </w:pPr>
            <w:r w:rsidRPr="008A0812">
              <w:rPr>
                <w:b/>
                <w:bCs/>
              </w:rPr>
              <w:t>Data Collection Methods</w:t>
            </w:r>
          </w:p>
        </w:tc>
        <w:tc>
          <w:tcPr>
            <w:tcW w:w="2970" w:type="dxa"/>
            <w:tcBorders>
              <w:top w:val="single" w:sz="6" w:space="0" w:color="auto"/>
              <w:left w:val="nil"/>
              <w:bottom w:val="single" w:sz="6" w:space="0" w:color="auto"/>
              <w:right w:val="single" w:sz="6" w:space="0" w:color="auto"/>
            </w:tcBorders>
            <w:shd w:val="clear" w:color="auto" w:fill="BFBFBF"/>
            <w:vAlign w:val="bottom"/>
            <w:hideMark/>
          </w:tcPr>
          <w:p w14:paraId="0D1564C2" w14:textId="6AB2A418" w:rsidR="00F16DF5" w:rsidRPr="008A0812" w:rsidRDefault="00F16DF5" w:rsidP="00F16DF5">
            <w:pPr>
              <w:overflowPunct/>
              <w:autoSpaceDE/>
              <w:autoSpaceDN/>
              <w:adjustRightInd/>
              <w:jc w:val="center"/>
              <w:rPr>
                <w:rFonts w:ascii="Times New Roman" w:hAnsi="Times New Roman"/>
                <w:sz w:val="24"/>
                <w:szCs w:val="24"/>
              </w:rPr>
            </w:pPr>
            <w:r w:rsidRPr="008A0812">
              <w:rPr>
                <w:b/>
                <w:bCs/>
              </w:rPr>
              <w:t xml:space="preserve">Percentage of Total Asset Count </w:t>
            </w:r>
          </w:p>
        </w:tc>
        <w:tc>
          <w:tcPr>
            <w:tcW w:w="1779" w:type="dxa"/>
            <w:tcBorders>
              <w:top w:val="single" w:sz="6" w:space="0" w:color="auto"/>
              <w:left w:val="nil"/>
              <w:bottom w:val="single" w:sz="6" w:space="0" w:color="auto"/>
              <w:right w:val="single" w:sz="6" w:space="0" w:color="auto"/>
            </w:tcBorders>
            <w:shd w:val="clear" w:color="auto" w:fill="BFBFBF"/>
            <w:vAlign w:val="bottom"/>
            <w:hideMark/>
          </w:tcPr>
          <w:p w14:paraId="17CE0DE3" w14:textId="65AA29A0" w:rsidR="00F16DF5" w:rsidRPr="008A0812" w:rsidRDefault="00F16DF5" w:rsidP="00F16DF5">
            <w:pPr>
              <w:overflowPunct/>
              <w:autoSpaceDE/>
              <w:autoSpaceDN/>
              <w:adjustRightInd/>
              <w:jc w:val="center"/>
              <w:rPr>
                <w:rFonts w:ascii="Times New Roman" w:hAnsi="Times New Roman"/>
                <w:sz w:val="24"/>
                <w:szCs w:val="24"/>
              </w:rPr>
            </w:pPr>
            <w:r w:rsidRPr="008A0812">
              <w:rPr>
                <w:b/>
                <w:bCs/>
              </w:rPr>
              <w:t>Count of Assets</w:t>
            </w:r>
            <w:r w:rsidRPr="008A0812">
              <w:t> </w:t>
            </w:r>
          </w:p>
        </w:tc>
      </w:tr>
      <w:tr w:rsidR="00F16DF5" w:rsidRPr="008A0812" w14:paraId="1B1D66F9" w14:textId="77777777" w:rsidTr="00646BB0">
        <w:tc>
          <w:tcPr>
            <w:tcW w:w="4582" w:type="dxa"/>
            <w:tcBorders>
              <w:top w:val="nil"/>
              <w:left w:val="single" w:sz="6" w:space="0" w:color="auto"/>
              <w:bottom w:val="single" w:sz="6" w:space="0" w:color="auto"/>
              <w:right w:val="single" w:sz="6" w:space="0" w:color="auto"/>
            </w:tcBorders>
            <w:shd w:val="clear" w:color="auto" w:fill="auto"/>
          </w:tcPr>
          <w:p w14:paraId="71B3F12E" w14:textId="474FE06F" w:rsidR="00F16DF5" w:rsidRPr="008A0812" w:rsidRDefault="00646BB0" w:rsidP="00646BB0">
            <w:pPr>
              <w:overflowPunct/>
              <w:autoSpaceDE/>
              <w:autoSpaceDN/>
              <w:adjustRightInd/>
              <w:jc w:val="center"/>
              <w:rPr>
                <w:rFonts w:asciiTheme="minorHAnsi" w:hAnsiTheme="minorHAnsi"/>
              </w:rPr>
            </w:pPr>
            <w:r w:rsidRPr="008A0812">
              <w:rPr>
                <w:rFonts w:asciiTheme="minorHAnsi" w:hAnsiTheme="minorHAnsi"/>
              </w:rPr>
              <w:t>Record Drawings, Electronic O&amp;M Manuals, Staff</w:t>
            </w:r>
          </w:p>
        </w:tc>
        <w:tc>
          <w:tcPr>
            <w:tcW w:w="2970" w:type="dxa"/>
            <w:tcBorders>
              <w:top w:val="nil"/>
              <w:left w:val="nil"/>
              <w:bottom w:val="single" w:sz="6" w:space="0" w:color="auto"/>
              <w:right w:val="single" w:sz="6" w:space="0" w:color="auto"/>
            </w:tcBorders>
            <w:shd w:val="clear" w:color="auto" w:fill="auto"/>
          </w:tcPr>
          <w:p w14:paraId="1F38682D" w14:textId="76E9BE24"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57%</w:t>
            </w:r>
          </w:p>
        </w:tc>
        <w:tc>
          <w:tcPr>
            <w:tcW w:w="1779" w:type="dxa"/>
            <w:tcBorders>
              <w:top w:val="nil"/>
              <w:left w:val="nil"/>
              <w:bottom w:val="single" w:sz="6" w:space="0" w:color="auto"/>
              <w:right w:val="single" w:sz="6" w:space="0" w:color="auto"/>
            </w:tcBorders>
            <w:shd w:val="clear" w:color="auto" w:fill="auto"/>
          </w:tcPr>
          <w:p w14:paraId="28A9F4B4" w14:textId="0A05B3BB"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1,804</w:t>
            </w:r>
          </w:p>
        </w:tc>
      </w:tr>
      <w:tr w:rsidR="00F16DF5" w:rsidRPr="008A0812" w14:paraId="671633C9" w14:textId="77777777" w:rsidTr="00646BB0">
        <w:tc>
          <w:tcPr>
            <w:tcW w:w="4582" w:type="dxa"/>
            <w:tcBorders>
              <w:top w:val="nil"/>
              <w:left w:val="single" w:sz="6" w:space="0" w:color="auto"/>
              <w:bottom w:val="single" w:sz="6" w:space="0" w:color="auto"/>
              <w:right w:val="single" w:sz="6" w:space="0" w:color="auto"/>
            </w:tcBorders>
            <w:shd w:val="clear" w:color="auto" w:fill="auto"/>
          </w:tcPr>
          <w:p w14:paraId="5204202B" w14:textId="208B914B" w:rsidR="00F16DF5" w:rsidRPr="008A0812" w:rsidRDefault="00646BB0" w:rsidP="00646BB0">
            <w:pPr>
              <w:overflowPunct/>
              <w:autoSpaceDE/>
              <w:autoSpaceDN/>
              <w:adjustRightInd/>
              <w:jc w:val="center"/>
              <w:rPr>
                <w:rFonts w:asciiTheme="minorHAnsi" w:hAnsiTheme="minorHAnsi"/>
              </w:rPr>
            </w:pPr>
            <w:r w:rsidRPr="008A0812">
              <w:rPr>
                <w:rFonts w:asciiTheme="minorHAnsi" w:hAnsiTheme="minorHAnsi"/>
              </w:rPr>
              <w:t>Added Onsite</w:t>
            </w:r>
          </w:p>
        </w:tc>
        <w:tc>
          <w:tcPr>
            <w:tcW w:w="2970" w:type="dxa"/>
            <w:tcBorders>
              <w:top w:val="nil"/>
              <w:left w:val="nil"/>
              <w:bottom w:val="single" w:sz="6" w:space="0" w:color="auto"/>
              <w:right w:val="single" w:sz="6" w:space="0" w:color="auto"/>
            </w:tcBorders>
            <w:shd w:val="clear" w:color="auto" w:fill="auto"/>
          </w:tcPr>
          <w:p w14:paraId="0352F6EE" w14:textId="24C49947"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42%</w:t>
            </w:r>
          </w:p>
        </w:tc>
        <w:tc>
          <w:tcPr>
            <w:tcW w:w="1779" w:type="dxa"/>
            <w:tcBorders>
              <w:top w:val="nil"/>
              <w:left w:val="nil"/>
              <w:bottom w:val="single" w:sz="6" w:space="0" w:color="auto"/>
              <w:right w:val="single" w:sz="6" w:space="0" w:color="auto"/>
            </w:tcBorders>
            <w:shd w:val="clear" w:color="auto" w:fill="auto"/>
          </w:tcPr>
          <w:p w14:paraId="419E0AEE" w14:textId="6E22AF23"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1,335</w:t>
            </w:r>
          </w:p>
        </w:tc>
      </w:tr>
      <w:tr w:rsidR="00F16DF5" w:rsidRPr="008A0812" w14:paraId="08B37192" w14:textId="77777777" w:rsidTr="00646BB0">
        <w:tc>
          <w:tcPr>
            <w:tcW w:w="4582" w:type="dxa"/>
            <w:tcBorders>
              <w:top w:val="nil"/>
              <w:left w:val="single" w:sz="6" w:space="0" w:color="auto"/>
              <w:bottom w:val="single" w:sz="6" w:space="0" w:color="auto"/>
              <w:right w:val="single" w:sz="6" w:space="0" w:color="auto"/>
            </w:tcBorders>
            <w:shd w:val="clear" w:color="auto" w:fill="auto"/>
          </w:tcPr>
          <w:p w14:paraId="59CD925D" w14:textId="34CC4712" w:rsidR="00F16DF5" w:rsidRPr="008A0812" w:rsidRDefault="00646BB0" w:rsidP="00646BB0">
            <w:pPr>
              <w:overflowPunct/>
              <w:autoSpaceDE/>
              <w:autoSpaceDN/>
              <w:adjustRightInd/>
              <w:jc w:val="center"/>
              <w:rPr>
                <w:rFonts w:asciiTheme="minorHAnsi" w:hAnsiTheme="minorHAnsi"/>
              </w:rPr>
            </w:pPr>
            <w:r w:rsidRPr="008A0812">
              <w:rPr>
                <w:rFonts w:asciiTheme="minorHAnsi" w:hAnsiTheme="minorHAnsi"/>
              </w:rPr>
              <w:t>After Onsite</w:t>
            </w:r>
          </w:p>
        </w:tc>
        <w:tc>
          <w:tcPr>
            <w:tcW w:w="2970" w:type="dxa"/>
            <w:tcBorders>
              <w:top w:val="nil"/>
              <w:left w:val="nil"/>
              <w:bottom w:val="single" w:sz="6" w:space="0" w:color="auto"/>
              <w:right w:val="single" w:sz="6" w:space="0" w:color="auto"/>
            </w:tcBorders>
            <w:shd w:val="clear" w:color="auto" w:fill="auto"/>
          </w:tcPr>
          <w:p w14:paraId="3E74ECA7" w14:textId="1953251D"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1%</w:t>
            </w:r>
          </w:p>
        </w:tc>
        <w:tc>
          <w:tcPr>
            <w:tcW w:w="1779" w:type="dxa"/>
            <w:tcBorders>
              <w:top w:val="nil"/>
              <w:left w:val="nil"/>
              <w:bottom w:val="single" w:sz="6" w:space="0" w:color="auto"/>
              <w:right w:val="single" w:sz="6" w:space="0" w:color="auto"/>
            </w:tcBorders>
            <w:shd w:val="clear" w:color="auto" w:fill="auto"/>
          </w:tcPr>
          <w:p w14:paraId="0E3B0174" w14:textId="4BFA101D" w:rsidR="00F16DF5" w:rsidRPr="008A0812" w:rsidRDefault="00646BB0" w:rsidP="00F16DF5">
            <w:pPr>
              <w:overflowPunct/>
              <w:autoSpaceDE/>
              <w:autoSpaceDN/>
              <w:adjustRightInd/>
              <w:jc w:val="center"/>
              <w:rPr>
                <w:rFonts w:asciiTheme="minorHAnsi" w:hAnsiTheme="minorHAnsi"/>
              </w:rPr>
            </w:pPr>
            <w:r w:rsidRPr="008A0812">
              <w:rPr>
                <w:rFonts w:asciiTheme="minorHAnsi" w:hAnsiTheme="minorHAnsi"/>
              </w:rPr>
              <w:t>40</w:t>
            </w:r>
          </w:p>
        </w:tc>
      </w:tr>
      <w:tr w:rsidR="00F16DF5" w:rsidRPr="008A0812" w14:paraId="0B6D1784" w14:textId="77777777" w:rsidTr="00646BB0">
        <w:tc>
          <w:tcPr>
            <w:tcW w:w="4582" w:type="dxa"/>
            <w:tcBorders>
              <w:top w:val="nil"/>
              <w:left w:val="single" w:sz="6" w:space="0" w:color="auto"/>
              <w:bottom w:val="single" w:sz="6" w:space="0" w:color="auto"/>
              <w:right w:val="single" w:sz="6" w:space="0" w:color="auto"/>
            </w:tcBorders>
            <w:shd w:val="clear" w:color="auto" w:fill="auto"/>
          </w:tcPr>
          <w:p w14:paraId="6718AAE1" w14:textId="4ABBD1FA" w:rsidR="00F16DF5" w:rsidRPr="008A0812" w:rsidRDefault="00646BB0" w:rsidP="00646BB0">
            <w:pPr>
              <w:overflowPunct/>
              <w:autoSpaceDE/>
              <w:autoSpaceDN/>
              <w:adjustRightInd/>
              <w:jc w:val="center"/>
              <w:rPr>
                <w:rFonts w:asciiTheme="minorHAnsi" w:hAnsiTheme="minorHAnsi"/>
                <w:b/>
                <w:bCs/>
              </w:rPr>
            </w:pPr>
            <w:r w:rsidRPr="008A0812">
              <w:rPr>
                <w:rFonts w:asciiTheme="minorHAnsi" w:hAnsiTheme="minorHAnsi"/>
                <w:b/>
                <w:bCs/>
              </w:rPr>
              <w:t>TOTALS</w:t>
            </w:r>
          </w:p>
        </w:tc>
        <w:tc>
          <w:tcPr>
            <w:tcW w:w="2970" w:type="dxa"/>
            <w:tcBorders>
              <w:top w:val="nil"/>
              <w:left w:val="nil"/>
              <w:bottom w:val="single" w:sz="6" w:space="0" w:color="auto"/>
              <w:right w:val="single" w:sz="6" w:space="0" w:color="auto"/>
            </w:tcBorders>
            <w:shd w:val="clear" w:color="auto" w:fill="auto"/>
          </w:tcPr>
          <w:p w14:paraId="38606676" w14:textId="60FFF2DA" w:rsidR="00F16DF5" w:rsidRPr="008A0812" w:rsidRDefault="00646BB0" w:rsidP="00F16DF5">
            <w:pPr>
              <w:overflowPunct/>
              <w:autoSpaceDE/>
              <w:autoSpaceDN/>
              <w:adjustRightInd/>
              <w:jc w:val="center"/>
              <w:rPr>
                <w:rFonts w:asciiTheme="minorHAnsi" w:hAnsiTheme="minorHAnsi"/>
                <w:b/>
                <w:bCs/>
              </w:rPr>
            </w:pPr>
            <w:r w:rsidRPr="008A0812">
              <w:rPr>
                <w:rFonts w:asciiTheme="minorHAnsi" w:hAnsiTheme="minorHAnsi"/>
                <w:b/>
                <w:bCs/>
              </w:rPr>
              <w:t>100%</w:t>
            </w:r>
          </w:p>
        </w:tc>
        <w:tc>
          <w:tcPr>
            <w:tcW w:w="1779" w:type="dxa"/>
            <w:tcBorders>
              <w:top w:val="nil"/>
              <w:left w:val="nil"/>
              <w:bottom w:val="single" w:sz="6" w:space="0" w:color="auto"/>
              <w:right w:val="single" w:sz="6" w:space="0" w:color="auto"/>
            </w:tcBorders>
            <w:shd w:val="clear" w:color="auto" w:fill="auto"/>
          </w:tcPr>
          <w:p w14:paraId="43757097" w14:textId="7E464544" w:rsidR="00F16DF5" w:rsidRPr="008A0812" w:rsidRDefault="00646BB0" w:rsidP="00F16DF5">
            <w:pPr>
              <w:overflowPunct/>
              <w:autoSpaceDE/>
              <w:autoSpaceDN/>
              <w:adjustRightInd/>
              <w:jc w:val="center"/>
              <w:rPr>
                <w:rFonts w:asciiTheme="minorHAnsi" w:hAnsiTheme="minorHAnsi"/>
                <w:b/>
                <w:bCs/>
              </w:rPr>
            </w:pPr>
            <w:r w:rsidRPr="008A0812">
              <w:rPr>
                <w:rFonts w:asciiTheme="minorHAnsi" w:hAnsiTheme="minorHAnsi"/>
                <w:b/>
                <w:bCs/>
              </w:rPr>
              <w:t>3,179</w:t>
            </w:r>
          </w:p>
        </w:tc>
      </w:tr>
    </w:tbl>
    <w:p w14:paraId="0F6EDDF6" w14:textId="41A771D8" w:rsidR="00646BB0" w:rsidRPr="008A0812" w:rsidRDefault="003B6AE1" w:rsidP="00646BB0">
      <w:pPr>
        <w:pStyle w:val="BodyText"/>
      </w:pPr>
      <w:r w:rsidRPr="008A0812">
        <w:fldChar w:fldCharType="begin"/>
      </w:r>
      <w:r w:rsidRPr="008A0812">
        <w:instrText xml:space="preserve"> REF _Ref36214987 \h </w:instrText>
      </w:r>
      <w:r w:rsidR="008A0812">
        <w:instrText xml:space="preserve"> \* MERGEFORMAT </w:instrText>
      </w:r>
      <w:r w:rsidRPr="008A0812">
        <w:fldChar w:fldCharType="separate"/>
      </w:r>
      <w:r w:rsidR="00AA68F8" w:rsidRPr="008A0812">
        <w:t xml:space="preserve">Figure </w:t>
      </w:r>
      <w:r w:rsidR="00AA68F8">
        <w:rPr>
          <w:noProof/>
        </w:rPr>
        <w:t>2</w:t>
      </w:r>
      <w:r w:rsidR="00AA68F8">
        <w:rPr>
          <w:noProof/>
        </w:rPr>
        <w:noBreakHyphen/>
        <w:t>2</w:t>
      </w:r>
      <w:r w:rsidRPr="008A0812">
        <w:fldChar w:fldCharType="end"/>
      </w:r>
      <w:r w:rsidRPr="008A0812">
        <w:t xml:space="preserve"> </w:t>
      </w:r>
      <w:r w:rsidR="00646BB0" w:rsidRPr="008A0812">
        <w:t xml:space="preserve">lists the count of above-ground assets by process. </w:t>
      </w:r>
      <w:bookmarkStart w:id="118" w:name="_Hlk22216079"/>
    </w:p>
    <w:p w14:paraId="3384D719" w14:textId="12F407E3" w:rsidR="003B6AE1" w:rsidRPr="008A0812" w:rsidRDefault="003B6AE1" w:rsidP="003B6AE1">
      <w:pPr>
        <w:pStyle w:val="FigureHeading"/>
      </w:pPr>
      <w:bookmarkStart w:id="119" w:name="_Ref36214987"/>
      <w:bookmarkStart w:id="120" w:name="_Toc36413931"/>
      <w:bookmarkStart w:id="121" w:name="_Toc41684658"/>
      <w:bookmarkEnd w:id="118"/>
      <w:r w:rsidRPr="008A0812">
        <w:t xml:space="preserve">Figure </w:t>
      </w:r>
      <w:fldSimple w:instr=" STYLEREF 1 \s ">
        <w:r w:rsidR="00AA68F8">
          <w:rPr>
            <w:noProof/>
          </w:rPr>
          <w:t>2</w:t>
        </w:r>
      </w:fldSimple>
      <w:r w:rsidR="00B233D1">
        <w:noBreakHyphen/>
      </w:r>
      <w:fldSimple w:instr=" SEQ Figure \* ARABIC \s 1 ">
        <w:r w:rsidR="00AA68F8">
          <w:rPr>
            <w:noProof/>
          </w:rPr>
          <w:t>2</w:t>
        </w:r>
      </w:fldSimple>
      <w:bookmarkEnd w:id="119"/>
      <w:r w:rsidRPr="008A0812">
        <w:t>: SBWRP Count of Above-Ground Assets by Process</w:t>
      </w:r>
      <w:bookmarkEnd w:id="120"/>
      <w:bookmarkEnd w:id="121"/>
    </w:p>
    <w:p w14:paraId="42F58C3D" w14:textId="420A610A" w:rsidR="00646BB0" w:rsidRPr="008A0812" w:rsidRDefault="00C81165" w:rsidP="00646BB0">
      <w:pPr>
        <w:jc w:val="center"/>
      </w:pPr>
      <w:r w:rsidRPr="008A0812">
        <w:rPr>
          <w:noProof/>
        </w:rPr>
        <w:drawing>
          <wp:inline distT="0" distB="0" distL="0" distR="0" wp14:anchorId="233994FA" wp14:editId="7314F436">
            <wp:extent cx="5477774" cy="2575573"/>
            <wp:effectExtent l="0" t="0" r="8890" b="0"/>
            <wp:docPr id="371" name="Chart 371">
              <a:extLst xmlns:a="http://schemas.openxmlformats.org/drawingml/2006/main">
                <a:ext uri="{FF2B5EF4-FFF2-40B4-BE49-F238E27FC236}">
                  <a16:creationId xmlns:a16="http://schemas.microsoft.com/office/drawing/2014/main" id="{1C180AAD-78F8-4BB2-87A7-1E85B83FD4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957D3D1" w14:textId="22C60346" w:rsidR="00F16DF5" w:rsidRPr="008A0812" w:rsidRDefault="00646BB0" w:rsidP="00646BB0">
      <w:pPr>
        <w:pStyle w:val="Heading3"/>
      </w:pPr>
      <w:bookmarkStart w:id="122" w:name="_Toc41680824"/>
      <w:r w:rsidRPr="008A0812">
        <w:t>Yard Piping</w:t>
      </w:r>
      <w:bookmarkEnd w:id="122"/>
    </w:p>
    <w:p w14:paraId="1B55E247" w14:textId="194A40E1" w:rsidR="00646BB0" w:rsidRPr="008A0812" w:rsidRDefault="00646BB0" w:rsidP="00646BB0">
      <w:pPr>
        <w:pStyle w:val="BodyText"/>
      </w:pPr>
      <w:r w:rsidRPr="008A0812">
        <w:t xml:space="preserve">The preliminary asset register for WRP yard piping was developed using a combination of AutoCAD, ArcGIS and Excel. The source files consisted of pipe layers in AutoCAD, a grid shapefile in ArcGIS and record plant drawings. The source CAD file was processed for geolocation and cleaned for transfer into GIS. ArcGIS was used to parse and compile pertinent data from the processed CAD file and to geo- process layers for information such as pipe length and grid location. All layers were then compiled into one layer and attribute table, which served as the basis of the asset register. This table was transferred into Excel for final cleaning and processing. Using record drawings, approximate pipe ages were added to the spreadsheet based on the year of construction for each function. Approximate available useful life, derived by function, was also added to the yard piping asset register. </w:t>
      </w:r>
      <w:r w:rsidR="003B6AE1" w:rsidRPr="008A0812">
        <w:fldChar w:fldCharType="begin"/>
      </w:r>
      <w:r w:rsidR="003B6AE1" w:rsidRPr="008A0812">
        <w:instrText xml:space="preserve"> REF _Ref36215017 \h </w:instrText>
      </w:r>
      <w:r w:rsidR="008A0812">
        <w:instrText xml:space="preserve"> \* MERGEFORMAT </w:instrText>
      </w:r>
      <w:r w:rsidR="003B6AE1" w:rsidRPr="008A0812">
        <w:fldChar w:fldCharType="separate"/>
      </w:r>
      <w:r w:rsidR="00AA68F8" w:rsidRPr="008A0812">
        <w:t xml:space="preserve">Figure </w:t>
      </w:r>
      <w:r w:rsidR="00AA68F8">
        <w:rPr>
          <w:noProof/>
        </w:rPr>
        <w:t>2</w:t>
      </w:r>
      <w:r w:rsidR="00AA68F8">
        <w:rPr>
          <w:noProof/>
        </w:rPr>
        <w:noBreakHyphen/>
        <w:t>3</w:t>
      </w:r>
      <w:r w:rsidR="003B6AE1" w:rsidRPr="008A0812">
        <w:fldChar w:fldCharType="end"/>
      </w:r>
      <w:r w:rsidR="003B6AE1" w:rsidRPr="008A0812">
        <w:t xml:space="preserve"> </w:t>
      </w:r>
      <w:r w:rsidRPr="008A0812">
        <w:t xml:space="preserve">illustrates the resultant yard pipes captured in the asset register, colored by function. </w:t>
      </w:r>
      <w:bookmarkStart w:id="123" w:name="_Hlk22216139"/>
    </w:p>
    <w:p w14:paraId="0756F3EE" w14:textId="0969D368" w:rsidR="003B6AE1" w:rsidRPr="008A0812" w:rsidRDefault="003B6AE1" w:rsidP="00AF40CB">
      <w:pPr>
        <w:pStyle w:val="FigureHeading"/>
      </w:pPr>
      <w:bookmarkStart w:id="124" w:name="_Ref36215017"/>
      <w:bookmarkStart w:id="125" w:name="_Toc41684659"/>
      <w:bookmarkEnd w:id="123"/>
      <w:r w:rsidRPr="008A0812">
        <w:t xml:space="preserve">Figure </w:t>
      </w:r>
      <w:fldSimple w:instr=" STYLEREF 1 \s ">
        <w:r w:rsidR="00AA68F8">
          <w:rPr>
            <w:noProof/>
          </w:rPr>
          <w:t>2</w:t>
        </w:r>
      </w:fldSimple>
      <w:r w:rsidR="00B233D1">
        <w:noBreakHyphen/>
      </w:r>
      <w:fldSimple w:instr=" SEQ Figure \* ARABIC \s 1 ">
        <w:r w:rsidR="00AA68F8">
          <w:rPr>
            <w:noProof/>
          </w:rPr>
          <w:t>3</w:t>
        </w:r>
      </w:fldSimple>
      <w:bookmarkEnd w:id="124"/>
      <w:r w:rsidRPr="008A0812">
        <w:t>: SBWRP Yard Piping</w:t>
      </w:r>
      <w:bookmarkEnd w:id="125"/>
    </w:p>
    <w:p w14:paraId="738EC644" w14:textId="0B35C5AB" w:rsidR="00646BB0" w:rsidRPr="008A0812" w:rsidRDefault="00646BB0" w:rsidP="00646BB0">
      <w:r>
        <w:rPr>
          <w:noProof/>
        </w:rPr>
        <w:drawing>
          <wp:inline distT="0" distB="0" distL="0" distR="0" wp14:anchorId="4285C526" wp14:editId="6F54EFB6">
            <wp:extent cx="5846445" cy="2395855"/>
            <wp:effectExtent l="0" t="0" r="1905" b="4445"/>
            <wp:docPr id="1813972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5">
                      <a:extLst>
                        <a:ext uri="{28A0092B-C50C-407E-A947-70E740481C1C}">
                          <a14:useLocalDpi xmlns:a14="http://schemas.microsoft.com/office/drawing/2010/main" val="0"/>
                        </a:ext>
                      </a:extLst>
                    </a:blip>
                    <a:stretch>
                      <a:fillRect/>
                    </a:stretch>
                  </pic:blipFill>
                  <pic:spPr>
                    <a:xfrm>
                      <a:off x="0" y="0"/>
                      <a:ext cx="5846445" cy="2395855"/>
                    </a:xfrm>
                    <a:prstGeom prst="rect">
                      <a:avLst/>
                    </a:prstGeom>
                  </pic:spPr>
                </pic:pic>
              </a:graphicData>
            </a:graphic>
          </wp:inline>
        </w:drawing>
      </w:r>
    </w:p>
    <w:p w14:paraId="3DD88040" w14:textId="7B204555" w:rsidR="00C81165" w:rsidRPr="008A0812" w:rsidRDefault="003B6AE1" w:rsidP="00C81165">
      <w:pPr>
        <w:pStyle w:val="BodyText"/>
      </w:pPr>
      <w:r w:rsidRPr="008A0812">
        <w:fldChar w:fldCharType="begin"/>
      </w:r>
      <w:r w:rsidRPr="008A0812">
        <w:instrText xml:space="preserve"> REF _Ref36215044 \h </w:instrText>
      </w:r>
      <w:r w:rsidR="008A0812">
        <w:instrText xml:space="preserve"> \* MERGEFORMAT </w:instrText>
      </w:r>
      <w:r w:rsidRPr="008A0812">
        <w:fldChar w:fldCharType="separate"/>
      </w:r>
      <w:r w:rsidR="00AA68F8" w:rsidRPr="008A0812">
        <w:t xml:space="preserve">Figure </w:t>
      </w:r>
      <w:r w:rsidR="00AA68F8">
        <w:rPr>
          <w:noProof/>
        </w:rPr>
        <w:t>2</w:t>
      </w:r>
      <w:r w:rsidR="00AA68F8">
        <w:rPr>
          <w:noProof/>
        </w:rPr>
        <w:noBreakHyphen/>
        <w:t>4</w:t>
      </w:r>
      <w:r w:rsidRPr="008A0812">
        <w:fldChar w:fldCharType="end"/>
      </w:r>
      <w:r w:rsidR="00646BB0" w:rsidRPr="008A0812">
        <w:t xml:space="preserve"> illustrates the resultant yard piping lengths by function and </w:t>
      </w:r>
      <w:r w:rsidRPr="008A0812">
        <w:fldChar w:fldCharType="begin"/>
      </w:r>
      <w:r w:rsidRPr="008A0812">
        <w:instrText xml:space="preserve"> REF _Ref36215168 \h </w:instrText>
      </w:r>
      <w:r w:rsidR="008A0812">
        <w:instrText xml:space="preserve"> \* MERGEFORMAT </w:instrText>
      </w:r>
      <w:r w:rsidRPr="008A0812">
        <w:fldChar w:fldCharType="separate"/>
      </w:r>
      <w:r w:rsidR="00AA68F8" w:rsidRPr="008A0812">
        <w:t xml:space="preserve">Figure </w:t>
      </w:r>
      <w:r w:rsidR="00AA68F8">
        <w:rPr>
          <w:noProof/>
        </w:rPr>
        <w:t>2</w:t>
      </w:r>
      <w:r w:rsidR="00AA68F8">
        <w:rPr>
          <w:noProof/>
        </w:rPr>
        <w:noBreakHyphen/>
        <w:t>5</w:t>
      </w:r>
      <w:r w:rsidRPr="008A0812">
        <w:fldChar w:fldCharType="end"/>
      </w:r>
      <w:r w:rsidR="00646BB0" w:rsidRPr="008A0812">
        <w:t xml:space="preserve"> presents the yard piping function hierarchy.</w:t>
      </w:r>
      <w:r w:rsidR="00C81165" w:rsidRPr="008A0812">
        <w:t xml:space="preserve"> </w:t>
      </w:r>
      <w:bookmarkStart w:id="126" w:name="_Hlk22216605"/>
    </w:p>
    <w:p w14:paraId="03A924D1" w14:textId="493AA9F7" w:rsidR="003B6AE1" w:rsidRPr="008A0812" w:rsidRDefault="003B6AE1" w:rsidP="00AF40CB">
      <w:pPr>
        <w:pStyle w:val="FigureHeading"/>
      </w:pPr>
      <w:bookmarkStart w:id="127" w:name="_Ref36215044"/>
      <w:bookmarkStart w:id="128" w:name="_Toc41684660"/>
      <w:bookmarkEnd w:id="126"/>
      <w:r w:rsidRPr="008A0812">
        <w:t xml:space="preserve">Figure </w:t>
      </w:r>
      <w:fldSimple w:instr=" STYLEREF 1 \s ">
        <w:r w:rsidR="00AA68F8">
          <w:rPr>
            <w:noProof/>
          </w:rPr>
          <w:t>2</w:t>
        </w:r>
      </w:fldSimple>
      <w:r w:rsidR="00B233D1">
        <w:noBreakHyphen/>
      </w:r>
      <w:fldSimple w:instr=" SEQ Figure \* ARABIC \s 1 ">
        <w:r w:rsidR="00AA68F8">
          <w:rPr>
            <w:noProof/>
          </w:rPr>
          <w:t>4</w:t>
        </w:r>
      </w:fldSimple>
      <w:bookmarkEnd w:id="127"/>
      <w:r w:rsidRPr="008A0812">
        <w:t>: SBWRP Yard Piping Length by Function</w:t>
      </w:r>
      <w:bookmarkEnd w:id="128"/>
    </w:p>
    <w:p w14:paraId="0E39723E" w14:textId="4C1209D5" w:rsidR="00C81165" w:rsidRPr="008A0812" w:rsidRDefault="00C81165" w:rsidP="00C81165">
      <w:pPr>
        <w:jc w:val="center"/>
      </w:pPr>
      <w:r w:rsidRPr="008A0812">
        <w:rPr>
          <w:noProof/>
        </w:rPr>
        <w:drawing>
          <wp:inline distT="0" distB="0" distL="0" distR="0" wp14:anchorId="6B10086B" wp14:editId="611FDB1E">
            <wp:extent cx="5598795" cy="2879678"/>
            <wp:effectExtent l="0" t="0" r="1905" b="0"/>
            <wp:docPr id="246" name="Chart 246">
              <a:extLst xmlns:a="http://schemas.openxmlformats.org/drawingml/2006/main">
                <a:ext uri="{FF2B5EF4-FFF2-40B4-BE49-F238E27FC236}">
                  <a16:creationId xmlns:a16="http://schemas.microsoft.com/office/drawing/2014/main" id="{29FA3010-B10D-4883-91BA-82DC368FCF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0E2CF31" w14:textId="77777777" w:rsidR="00C81165" w:rsidRPr="008A0812" w:rsidRDefault="00C81165" w:rsidP="00C81165">
      <w:pPr>
        <w:pStyle w:val="BodyText"/>
        <w:ind w:left="540"/>
        <w:rPr>
          <w:rFonts w:ascii="Arial"/>
          <w:bCs/>
          <w:sz w:val="16"/>
          <w:szCs w:val="18"/>
        </w:rPr>
      </w:pPr>
      <w:r w:rsidRPr="008A0812">
        <w:rPr>
          <w:rFonts w:ascii="Arial"/>
          <w:bCs/>
          <w:sz w:val="16"/>
          <w:szCs w:val="18"/>
        </w:rPr>
        <w:t>*IDS lines represent the SBMWD WRP Security System</w:t>
      </w:r>
    </w:p>
    <w:p w14:paraId="673989D7" w14:textId="158A52B8" w:rsidR="00CB647C" w:rsidRPr="008A0812" w:rsidRDefault="00C81165">
      <w:pPr>
        <w:overflowPunct/>
        <w:autoSpaceDE/>
        <w:autoSpaceDN/>
        <w:adjustRightInd/>
        <w:textAlignment w:val="auto"/>
        <w:sectPr w:rsidR="00CB647C" w:rsidRPr="008A0812" w:rsidSect="00C81165">
          <w:footnotePr>
            <w:numRestart w:val="eachPage"/>
          </w:footnotePr>
          <w:endnotePr>
            <w:numFmt w:val="decimal"/>
          </w:endnotePr>
          <w:type w:val="continuous"/>
          <w:pgSz w:w="12240" w:h="15840" w:code="1"/>
          <w:pgMar w:top="1800" w:right="1440" w:bottom="1440" w:left="1440" w:header="720" w:footer="360" w:gutter="0"/>
          <w:pgNumType w:start="1" w:chapStyle="1"/>
          <w:cols w:space="720"/>
          <w:noEndnote/>
          <w:docGrid w:linePitch="299"/>
        </w:sectPr>
      </w:pPr>
      <w:r w:rsidRPr="008A0812">
        <w:br w:type="page"/>
      </w:r>
    </w:p>
    <w:p w14:paraId="2CD1A523" w14:textId="13D4D69A" w:rsidR="00C81165" w:rsidRPr="008A0812" w:rsidRDefault="00C81165">
      <w:pPr>
        <w:overflowPunct/>
        <w:autoSpaceDE/>
        <w:autoSpaceDN/>
        <w:adjustRightInd/>
        <w:textAlignment w:val="auto"/>
      </w:pPr>
    </w:p>
    <w:p w14:paraId="57C091AB" w14:textId="563AF451" w:rsidR="00E0752D" w:rsidRPr="008A0812" w:rsidRDefault="003B6AE1" w:rsidP="00AF40CB">
      <w:pPr>
        <w:pStyle w:val="FigureHeading"/>
      </w:pPr>
      <w:bookmarkStart w:id="129" w:name="_Ref36215168"/>
      <w:bookmarkStart w:id="130" w:name="_Toc41684661"/>
      <w:bookmarkStart w:id="131" w:name="_Hlk22217608"/>
      <w:r w:rsidRPr="008A0812">
        <w:t xml:space="preserve">Figure </w:t>
      </w:r>
      <w:fldSimple w:instr=" STYLEREF 1 \s ">
        <w:r w:rsidR="00AA68F8">
          <w:rPr>
            <w:noProof/>
          </w:rPr>
          <w:t>2</w:t>
        </w:r>
      </w:fldSimple>
      <w:r w:rsidR="00B233D1">
        <w:noBreakHyphen/>
      </w:r>
      <w:fldSimple w:instr=" SEQ Figure \* ARABIC \s 1 ">
        <w:r w:rsidR="00AA68F8">
          <w:rPr>
            <w:noProof/>
          </w:rPr>
          <w:t>5</w:t>
        </w:r>
      </w:fldSimple>
      <w:bookmarkEnd w:id="129"/>
      <w:r w:rsidRPr="008A0812">
        <w:t xml:space="preserve">: </w:t>
      </w:r>
      <w:r w:rsidR="00E0752D" w:rsidRPr="008A0812">
        <w:t>SBWRP Yard Piping Function-Based Hierarchy</w:t>
      </w:r>
      <w:bookmarkEnd w:id="130"/>
    </w:p>
    <w:bookmarkEnd w:id="131"/>
    <w:p w14:paraId="6661B663" w14:textId="77777777" w:rsidR="00CB647C" w:rsidRPr="008A0812" w:rsidRDefault="00CB647C">
      <w:pPr>
        <w:overflowPunct/>
        <w:autoSpaceDE/>
        <w:autoSpaceDN/>
        <w:adjustRightInd/>
        <w:textAlignment w:val="auto"/>
        <w:rPr>
          <w:i/>
          <w:iCs/>
        </w:rPr>
      </w:pPr>
    </w:p>
    <w:p w14:paraId="6B4D7238" w14:textId="4788DEDC" w:rsidR="00CB647C" w:rsidRPr="008A0812" w:rsidRDefault="000E2C65" w:rsidP="00CB647C">
      <w:pPr>
        <w:overflowPunct/>
        <w:autoSpaceDE/>
        <w:autoSpaceDN/>
        <w:adjustRightInd/>
        <w:jc w:val="center"/>
        <w:textAlignment w:val="auto"/>
        <w:rPr>
          <w:i/>
          <w:iCs/>
        </w:rPr>
        <w:sectPr w:rsidR="00CB647C" w:rsidRPr="008A0812" w:rsidSect="00CB647C">
          <w:headerReference w:type="default" r:id="rId27"/>
          <w:footerReference w:type="default" r:id="rId28"/>
          <w:footnotePr>
            <w:numRestart w:val="eachPage"/>
          </w:footnotePr>
          <w:endnotePr>
            <w:numFmt w:val="decimal"/>
          </w:endnotePr>
          <w:type w:val="continuous"/>
          <w:pgSz w:w="15840" w:h="12240" w:orient="landscape" w:code="1"/>
          <w:pgMar w:top="1440" w:right="1800" w:bottom="1440" w:left="1440" w:header="720" w:footer="360" w:gutter="0"/>
          <w:pgNumType w:chapStyle="1"/>
          <w:cols w:space="720"/>
          <w:noEndnote/>
          <w:docGrid w:linePitch="299"/>
        </w:sectPr>
      </w:pPr>
      <w:r>
        <w:rPr>
          <w:i/>
          <w:iCs/>
          <w:noProof/>
        </w:rPr>
        <w:drawing>
          <wp:inline distT="0" distB="0" distL="0" distR="0" wp14:anchorId="5825DFC4" wp14:editId="7AE6E75C">
            <wp:extent cx="8547494" cy="3176822"/>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94657" cy="3194351"/>
                    </a:xfrm>
                    <a:prstGeom prst="rect">
                      <a:avLst/>
                    </a:prstGeom>
                    <a:noFill/>
                  </pic:spPr>
                </pic:pic>
              </a:graphicData>
            </a:graphic>
          </wp:inline>
        </w:drawing>
      </w:r>
    </w:p>
    <w:p w14:paraId="76D42703" w14:textId="572863C8" w:rsidR="00F16DF5" w:rsidRPr="008A0812" w:rsidRDefault="00E0752D" w:rsidP="00E0752D">
      <w:pPr>
        <w:pStyle w:val="Heading3"/>
      </w:pPr>
      <w:bookmarkStart w:id="132" w:name="_Toc41680825"/>
      <w:r w:rsidRPr="008A0812">
        <w:t>Data Attributes</w:t>
      </w:r>
      <w:bookmarkEnd w:id="132"/>
    </w:p>
    <w:p w14:paraId="25F692C7" w14:textId="73B4B471" w:rsidR="00E0752D" w:rsidRPr="008A0812" w:rsidRDefault="00E0752D" w:rsidP="00E0752D">
      <w:pPr>
        <w:pStyle w:val="BodyText"/>
      </w:pPr>
      <w:r w:rsidRPr="008A0812">
        <w:t xml:space="preserve">A data attribute is a characteristic that sets it apart from other data and is key to performing condition and risk assessment. </w:t>
      </w:r>
      <w:r w:rsidR="00FF5B28" w:rsidRPr="008A0812">
        <w:fldChar w:fldCharType="begin"/>
      </w:r>
      <w:r w:rsidR="00FF5B28" w:rsidRPr="008A0812">
        <w:instrText xml:space="preserve"> REF _Ref36215914 \h </w:instrText>
      </w:r>
      <w:r w:rsidR="008A0812">
        <w:instrText xml:space="preserve"> \* MERGEFORMAT </w:instrText>
      </w:r>
      <w:r w:rsidR="00FF5B28" w:rsidRPr="008A0812">
        <w:fldChar w:fldCharType="separate"/>
      </w:r>
      <w:r w:rsidR="00AA68F8" w:rsidRPr="008A0812">
        <w:t xml:space="preserve">Table </w:t>
      </w:r>
      <w:r w:rsidR="00AA68F8">
        <w:rPr>
          <w:noProof/>
        </w:rPr>
        <w:t>2</w:t>
      </w:r>
      <w:r w:rsidR="00AA68F8" w:rsidRPr="008A0812">
        <w:rPr>
          <w:noProof/>
        </w:rPr>
        <w:noBreakHyphen/>
      </w:r>
      <w:r w:rsidR="00AA68F8">
        <w:rPr>
          <w:noProof/>
        </w:rPr>
        <w:t>2</w:t>
      </w:r>
      <w:r w:rsidR="00FF5B28" w:rsidRPr="008A0812">
        <w:fldChar w:fldCharType="end"/>
      </w:r>
      <w:r w:rsidRPr="008A0812">
        <w:t xml:space="preserve"> shows the typical relevant asset attributes associated with each above-ground and yard pipe asset within the SBWRP asset register. </w:t>
      </w:r>
    </w:p>
    <w:p w14:paraId="3760B7F4" w14:textId="560F9799" w:rsidR="00FF5B28" w:rsidRPr="008A0812" w:rsidRDefault="00FF5B28" w:rsidP="00FF5B28">
      <w:pPr>
        <w:pStyle w:val="TableHeading"/>
      </w:pPr>
      <w:bookmarkStart w:id="133" w:name="_Ref36215914"/>
      <w:bookmarkStart w:id="134" w:name="_Toc36414038"/>
      <w:bookmarkStart w:id="135" w:name="_Toc41684739"/>
      <w:r w:rsidRPr="008A0812">
        <w:t xml:space="preserve">Table </w:t>
      </w:r>
      <w:r>
        <w:fldChar w:fldCharType="begin"/>
      </w:r>
      <w:r>
        <w:instrText>STYLEREF 1 \s</w:instrText>
      </w:r>
      <w:r>
        <w:fldChar w:fldCharType="separate"/>
      </w:r>
      <w:r w:rsidR="00AA68F8">
        <w:rPr>
          <w:noProof/>
        </w:rPr>
        <w:t>2</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133"/>
      <w:r w:rsidRPr="008A0812">
        <w:t>: Typical Asset Attributes for Water and Wastewater Treatment Facilities</w:t>
      </w:r>
      <w:bookmarkEnd w:id="134"/>
      <w:bookmarkEnd w:id="135"/>
    </w:p>
    <w:tbl>
      <w:tblPr>
        <w:tblW w:w="9344" w:type="dxa"/>
        <w:tblBorders>
          <w:top w:val="single" w:sz="6" w:space="0" w:color="auto"/>
          <w:left w:val="single" w:sz="6" w:space="0" w:color="auto"/>
          <w:bottom w:val="single" w:sz="6" w:space="0" w:color="auto"/>
          <w:right w:val="single" w:sz="6" w:space="0" w:color="auto"/>
          <w:insideV w:val="single" w:sz="6" w:space="0" w:color="auto"/>
        </w:tblBorders>
        <w:tblCellMar>
          <w:left w:w="0" w:type="dxa"/>
          <w:right w:w="0" w:type="dxa"/>
        </w:tblCellMar>
        <w:tblLook w:val="04A0" w:firstRow="1" w:lastRow="0" w:firstColumn="1" w:lastColumn="0" w:noHBand="0" w:noVBand="1"/>
      </w:tblPr>
      <w:tblGrid>
        <w:gridCol w:w="1706"/>
        <w:gridCol w:w="1706"/>
        <w:gridCol w:w="2340"/>
        <w:gridCol w:w="1796"/>
        <w:gridCol w:w="1796"/>
      </w:tblGrid>
      <w:tr w:rsidR="00E0752D" w:rsidRPr="008A0812" w14:paraId="0C661A42" w14:textId="77777777" w:rsidTr="006B37E7">
        <w:tc>
          <w:tcPr>
            <w:tcW w:w="1706" w:type="dxa"/>
            <w:tcBorders>
              <w:top w:val="single" w:sz="6" w:space="0" w:color="auto"/>
              <w:bottom w:val="single" w:sz="6" w:space="0" w:color="auto"/>
            </w:tcBorders>
            <w:shd w:val="clear" w:color="auto" w:fill="BFBFBF"/>
            <w:vAlign w:val="bottom"/>
            <w:hideMark/>
          </w:tcPr>
          <w:p w14:paraId="2756CEA5" w14:textId="7A4EAFE1" w:rsidR="00E0752D" w:rsidRPr="008A0812" w:rsidRDefault="00E0752D" w:rsidP="006B37E7">
            <w:pPr>
              <w:overflowPunct/>
              <w:autoSpaceDE/>
              <w:autoSpaceDN/>
              <w:adjustRightInd/>
              <w:jc w:val="center"/>
              <w:rPr>
                <w:rFonts w:ascii="Times New Roman" w:hAnsi="Times New Roman"/>
                <w:sz w:val="24"/>
                <w:szCs w:val="24"/>
              </w:rPr>
            </w:pPr>
            <w:r w:rsidRPr="008A0812">
              <w:rPr>
                <w:b/>
                <w:bCs/>
              </w:rPr>
              <w:t>Physical/Attributes</w:t>
            </w:r>
          </w:p>
        </w:tc>
        <w:tc>
          <w:tcPr>
            <w:tcW w:w="1706" w:type="dxa"/>
            <w:tcBorders>
              <w:top w:val="single" w:sz="6" w:space="0" w:color="auto"/>
              <w:bottom w:val="single" w:sz="6" w:space="0" w:color="auto"/>
            </w:tcBorders>
            <w:shd w:val="clear" w:color="auto" w:fill="BFBFBF"/>
            <w:vAlign w:val="bottom"/>
            <w:hideMark/>
          </w:tcPr>
          <w:p w14:paraId="484252ED" w14:textId="422CE925" w:rsidR="00E0752D" w:rsidRPr="008A0812" w:rsidRDefault="00E0752D" w:rsidP="006B37E7">
            <w:pPr>
              <w:overflowPunct/>
              <w:autoSpaceDE/>
              <w:autoSpaceDN/>
              <w:adjustRightInd/>
              <w:jc w:val="center"/>
              <w:rPr>
                <w:rFonts w:ascii="Times New Roman" w:hAnsi="Times New Roman"/>
                <w:sz w:val="24"/>
                <w:szCs w:val="24"/>
              </w:rPr>
            </w:pPr>
            <w:r w:rsidRPr="008A0812">
              <w:rPr>
                <w:b/>
                <w:bCs/>
              </w:rPr>
              <w:t xml:space="preserve">Groupings </w:t>
            </w:r>
          </w:p>
        </w:tc>
        <w:tc>
          <w:tcPr>
            <w:tcW w:w="2340" w:type="dxa"/>
            <w:tcBorders>
              <w:top w:val="single" w:sz="6" w:space="0" w:color="auto"/>
              <w:bottom w:val="single" w:sz="6" w:space="0" w:color="auto"/>
            </w:tcBorders>
            <w:shd w:val="clear" w:color="auto" w:fill="BFBFBF"/>
          </w:tcPr>
          <w:p w14:paraId="646A4D0E" w14:textId="65DC5E08" w:rsidR="00E0752D" w:rsidRPr="008A0812" w:rsidRDefault="00E0752D" w:rsidP="006B37E7">
            <w:pPr>
              <w:overflowPunct/>
              <w:autoSpaceDE/>
              <w:autoSpaceDN/>
              <w:adjustRightInd/>
              <w:jc w:val="center"/>
              <w:rPr>
                <w:b/>
                <w:bCs/>
              </w:rPr>
            </w:pPr>
            <w:r w:rsidRPr="008A0812">
              <w:rPr>
                <w:b/>
                <w:bCs/>
              </w:rPr>
              <w:t>Remaining Useful Life</w:t>
            </w:r>
          </w:p>
        </w:tc>
        <w:tc>
          <w:tcPr>
            <w:tcW w:w="1796" w:type="dxa"/>
            <w:tcBorders>
              <w:top w:val="single" w:sz="6" w:space="0" w:color="auto"/>
              <w:bottom w:val="single" w:sz="6" w:space="0" w:color="auto"/>
            </w:tcBorders>
            <w:shd w:val="clear" w:color="auto" w:fill="BFBFBF"/>
          </w:tcPr>
          <w:p w14:paraId="6630B24C" w14:textId="5005AD0B" w:rsidR="00E0752D" w:rsidRPr="008A0812" w:rsidRDefault="00E0752D" w:rsidP="006B37E7">
            <w:pPr>
              <w:overflowPunct/>
              <w:autoSpaceDE/>
              <w:autoSpaceDN/>
              <w:adjustRightInd/>
              <w:jc w:val="center"/>
              <w:rPr>
                <w:b/>
                <w:bCs/>
              </w:rPr>
            </w:pPr>
            <w:r w:rsidRPr="008A0812">
              <w:rPr>
                <w:b/>
                <w:bCs/>
              </w:rPr>
              <w:t>Valuation</w:t>
            </w:r>
          </w:p>
        </w:tc>
        <w:tc>
          <w:tcPr>
            <w:tcW w:w="1796" w:type="dxa"/>
            <w:tcBorders>
              <w:top w:val="single" w:sz="6" w:space="0" w:color="auto"/>
              <w:bottom w:val="single" w:sz="6" w:space="0" w:color="auto"/>
            </w:tcBorders>
            <w:shd w:val="clear" w:color="auto" w:fill="BFBFBF"/>
            <w:vAlign w:val="bottom"/>
            <w:hideMark/>
          </w:tcPr>
          <w:p w14:paraId="337436C6" w14:textId="155255A3" w:rsidR="00E0752D" w:rsidRPr="008A0812" w:rsidRDefault="00E0752D" w:rsidP="006B37E7">
            <w:pPr>
              <w:overflowPunct/>
              <w:autoSpaceDE/>
              <w:autoSpaceDN/>
              <w:adjustRightInd/>
              <w:jc w:val="center"/>
              <w:rPr>
                <w:rFonts w:ascii="Times New Roman" w:hAnsi="Times New Roman"/>
                <w:sz w:val="24"/>
                <w:szCs w:val="24"/>
              </w:rPr>
            </w:pPr>
            <w:r w:rsidRPr="008A0812">
              <w:rPr>
                <w:b/>
                <w:bCs/>
              </w:rPr>
              <w:t>Risk</w:t>
            </w:r>
          </w:p>
        </w:tc>
      </w:tr>
      <w:tr w:rsidR="00E0752D" w:rsidRPr="008A0812" w14:paraId="6170EDAA" w14:textId="77777777" w:rsidTr="006B37E7">
        <w:tc>
          <w:tcPr>
            <w:tcW w:w="1706" w:type="dxa"/>
            <w:tcBorders>
              <w:top w:val="single" w:sz="6" w:space="0" w:color="auto"/>
              <w:bottom w:val="single" w:sz="6" w:space="0" w:color="auto"/>
            </w:tcBorders>
            <w:shd w:val="clear" w:color="auto" w:fill="auto"/>
          </w:tcPr>
          <w:p w14:paraId="4409FEAA" w14:textId="5D4A2227"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Size</w:t>
            </w:r>
          </w:p>
        </w:tc>
        <w:tc>
          <w:tcPr>
            <w:tcW w:w="1706" w:type="dxa"/>
            <w:tcBorders>
              <w:top w:val="single" w:sz="6" w:space="0" w:color="auto"/>
              <w:bottom w:val="single" w:sz="6" w:space="0" w:color="auto"/>
            </w:tcBorders>
            <w:shd w:val="clear" w:color="auto" w:fill="auto"/>
          </w:tcPr>
          <w:p w14:paraId="4E7B8B6F" w14:textId="75A96C9B"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Class</w:t>
            </w:r>
          </w:p>
        </w:tc>
        <w:tc>
          <w:tcPr>
            <w:tcW w:w="2340" w:type="dxa"/>
            <w:tcBorders>
              <w:top w:val="single" w:sz="6" w:space="0" w:color="auto"/>
              <w:bottom w:val="single" w:sz="6" w:space="0" w:color="auto"/>
            </w:tcBorders>
          </w:tcPr>
          <w:p w14:paraId="6D1EB1AA" w14:textId="6F973D4B"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Condition Score</w:t>
            </w:r>
          </w:p>
        </w:tc>
        <w:tc>
          <w:tcPr>
            <w:tcW w:w="1796" w:type="dxa"/>
            <w:tcBorders>
              <w:top w:val="single" w:sz="6" w:space="0" w:color="auto"/>
              <w:bottom w:val="single" w:sz="6" w:space="0" w:color="auto"/>
            </w:tcBorders>
          </w:tcPr>
          <w:p w14:paraId="0D15509F" w14:textId="4C3B0A90"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Unit Cost</w:t>
            </w:r>
          </w:p>
        </w:tc>
        <w:tc>
          <w:tcPr>
            <w:tcW w:w="1796" w:type="dxa"/>
            <w:tcBorders>
              <w:top w:val="single" w:sz="6" w:space="0" w:color="auto"/>
              <w:bottom w:val="single" w:sz="6" w:space="0" w:color="auto"/>
            </w:tcBorders>
            <w:shd w:val="clear" w:color="auto" w:fill="auto"/>
          </w:tcPr>
          <w:p w14:paraId="74A10CB2" w14:textId="6AA3D315"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Probability of Failure</w:t>
            </w:r>
          </w:p>
        </w:tc>
      </w:tr>
      <w:tr w:rsidR="00E0752D" w:rsidRPr="008A0812" w14:paraId="1CDC7AFF" w14:textId="77777777" w:rsidTr="006B37E7">
        <w:tc>
          <w:tcPr>
            <w:tcW w:w="1706" w:type="dxa"/>
            <w:tcBorders>
              <w:top w:val="single" w:sz="6" w:space="0" w:color="auto"/>
              <w:bottom w:val="single" w:sz="6" w:space="0" w:color="auto"/>
            </w:tcBorders>
            <w:shd w:val="clear" w:color="auto" w:fill="auto"/>
          </w:tcPr>
          <w:p w14:paraId="445A8D44" w14:textId="5CB469FB"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Size Unit</w:t>
            </w:r>
          </w:p>
        </w:tc>
        <w:tc>
          <w:tcPr>
            <w:tcW w:w="1706" w:type="dxa"/>
            <w:tcBorders>
              <w:top w:val="single" w:sz="6" w:space="0" w:color="auto"/>
              <w:bottom w:val="single" w:sz="6" w:space="0" w:color="auto"/>
            </w:tcBorders>
            <w:shd w:val="clear" w:color="auto" w:fill="auto"/>
          </w:tcPr>
          <w:p w14:paraId="60EA42DE" w14:textId="16240A6E"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Type</w:t>
            </w:r>
          </w:p>
        </w:tc>
        <w:tc>
          <w:tcPr>
            <w:tcW w:w="2340" w:type="dxa"/>
            <w:tcBorders>
              <w:top w:val="single" w:sz="6" w:space="0" w:color="auto"/>
              <w:bottom w:val="single" w:sz="6" w:space="0" w:color="auto"/>
            </w:tcBorders>
          </w:tcPr>
          <w:p w14:paraId="0F83842C" w14:textId="1326C340"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Useful Life</w:t>
            </w:r>
          </w:p>
        </w:tc>
        <w:tc>
          <w:tcPr>
            <w:tcW w:w="1796" w:type="dxa"/>
            <w:tcBorders>
              <w:top w:val="single" w:sz="6" w:space="0" w:color="auto"/>
              <w:bottom w:val="single" w:sz="6" w:space="0" w:color="auto"/>
            </w:tcBorders>
          </w:tcPr>
          <w:p w14:paraId="14A6D70B" w14:textId="7D6B7F27"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Replacement Cost</w:t>
            </w:r>
          </w:p>
        </w:tc>
        <w:tc>
          <w:tcPr>
            <w:tcW w:w="1796" w:type="dxa"/>
            <w:tcBorders>
              <w:top w:val="single" w:sz="6" w:space="0" w:color="auto"/>
              <w:bottom w:val="single" w:sz="6" w:space="0" w:color="auto"/>
            </w:tcBorders>
            <w:shd w:val="clear" w:color="auto" w:fill="auto"/>
          </w:tcPr>
          <w:p w14:paraId="16141E56" w14:textId="41F7B4A2"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Consequence of Failure</w:t>
            </w:r>
          </w:p>
        </w:tc>
      </w:tr>
      <w:tr w:rsidR="00E0752D" w:rsidRPr="008A0812" w14:paraId="0110CF6F" w14:textId="77777777" w:rsidTr="006B37E7">
        <w:tc>
          <w:tcPr>
            <w:tcW w:w="1706" w:type="dxa"/>
            <w:tcBorders>
              <w:top w:val="single" w:sz="6" w:space="0" w:color="auto"/>
              <w:bottom w:val="single" w:sz="6" w:space="0" w:color="auto"/>
            </w:tcBorders>
            <w:shd w:val="clear" w:color="auto" w:fill="auto"/>
          </w:tcPr>
          <w:p w14:paraId="5167537D" w14:textId="6D69CEF9"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Material</w:t>
            </w:r>
          </w:p>
        </w:tc>
        <w:tc>
          <w:tcPr>
            <w:tcW w:w="1706" w:type="dxa"/>
            <w:tcBorders>
              <w:top w:val="single" w:sz="6" w:space="0" w:color="auto"/>
              <w:bottom w:val="single" w:sz="6" w:space="0" w:color="auto"/>
            </w:tcBorders>
            <w:shd w:val="clear" w:color="auto" w:fill="auto"/>
          </w:tcPr>
          <w:p w14:paraId="03FACDDC" w14:textId="2B735119"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Discipline</w:t>
            </w:r>
          </w:p>
        </w:tc>
        <w:tc>
          <w:tcPr>
            <w:tcW w:w="2340" w:type="dxa"/>
            <w:tcBorders>
              <w:top w:val="single" w:sz="6" w:space="0" w:color="auto"/>
              <w:bottom w:val="single" w:sz="6" w:space="0" w:color="auto"/>
            </w:tcBorders>
          </w:tcPr>
          <w:p w14:paraId="147D1B10" w14:textId="04ECF7BC"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Remaining Useful Life</w:t>
            </w:r>
          </w:p>
        </w:tc>
        <w:tc>
          <w:tcPr>
            <w:tcW w:w="1796" w:type="dxa"/>
            <w:tcBorders>
              <w:top w:val="single" w:sz="6" w:space="0" w:color="auto"/>
              <w:bottom w:val="single" w:sz="6" w:space="0" w:color="auto"/>
            </w:tcBorders>
          </w:tcPr>
          <w:p w14:paraId="5E19CE0F"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47B83688" w14:textId="34AB313E"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Risk Score</w:t>
            </w:r>
          </w:p>
        </w:tc>
      </w:tr>
      <w:tr w:rsidR="00E0752D" w:rsidRPr="008A0812" w14:paraId="134A7AF4" w14:textId="77777777" w:rsidTr="006B37E7">
        <w:tc>
          <w:tcPr>
            <w:tcW w:w="1706" w:type="dxa"/>
            <w:tcBorders>
              <w:top w:val="single" w:sz="6" w:space="0" w:color="auto"/>
              <w:bottom w:val="single" w:sz="6" w:space="0" w:color="auto"/>
            </w:tcBorders>
            <w:shd w:val="clear" w:color="auto" w:fill="auto"/>
          </w:tcPr>
          <w:p w14:paraId="7CF2887F" w14:textId="7462A832"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Manufacturer</w:t>
            </w:r>
          </w:p>
        </w:tc>
        <w:tc>
          <w:tcPr>
            <w:tcW w:w="1706" w:type="dxa"/>
            <w:tcBorders>
              <w:top w:val="single" w:sz="6" w:space="0" w:color="auto"/>
              <w:bottom w:val="single" w:sz="6" w:space="0" w:color="auto"/>
            </w:tcBorders>
            <w:shd w:val="clear" w:color="auto" w:fill="auto"/>
          </w:tcPr>
          <w:p w14:paraId="7F6B72A9" w14:textId="01BA7991" w:rsidR="00E0752D" w:rsidRPr="008A0812" w:rsidRDefault="00E0752D" w:rsidP="006B37E7">
            <w:pPr>
              <w:overflowPunct/>
              <w:autoSpaceDE/>
              <w:autoSpaceDN/>
              <w:adjustRightInd/>
              <w:jc w:val="center"/>
              <w:rPr>
                <w:rFonts w:asciiTheme="minorHAnsi" w:hAnsiTheme="minorHAnsi"/>
              </w:rPr>
            </w:pPr>
          </w:p>
        </w:tc>
        <w:tc>
          <w:tcPr>
            <w:tcW w:w="2340" w:type="dxa"/>
            <w:tcBorders>
              <w:top w:val="single" w:sz="6" w:space="0" w:color="auto"/>
              <w:bottom w:val="single" w:sz="6" w:space="0" w:color="auto"/>
            </w:tcBorders>
          </w:tcPr>
          <w:p w14:paraId="478CB85F" w14:textId="515B4790"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Rehab Year</w:t>
            </w:r>
          </w:p>
        </w:tc>
        <w:tc>
          <w:tcPr>
            <w:tcW w:w="1796" w:type="dxa"/>
            <w:tcBorders>
              <w:top w:val="single" w:sz="6" w:space="0" w:color="auto"/>
              <w:bottom w:val="single" w:sz="6" w:space="0" w:color="auto"/>
            </w:tcBorders>
          </w:tcPr>
          <w:p w14:paraId="4EDC38F8"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581AB2CE" w14:textId="134EF21C" w:rsidR="00E0752D" w:rsidRPr="008A0812" w:rsidRDefault="00E0752D" w:rsidP="006B37E7">
            <w:pPr>
              <w:overflowPunct/>
              <w:autoSpaceDE/>
              <w:autoSpaceDN/>
              <w:adjustRightInd/>
              <w:jc w:val="center"/>
              <w:rPr>
                <w:rFonts w:asciiTheme="minorHAnsi" w:hAnsiTheme="minorHAnsi"/>
              </w:rPr>
            </w:pPr>
          </w:p>
        </w:tc>
      </w:tr>
      <w:tr w:rsidR="00E0752D" w:rsidRPr="008A0812" w14:paraId="6579FD18" w14:textId="77777777" w:rsidTr="006B37E7">
        <w:tc>
          <w:tcPr>
            <w:tcW w:w="1706" w:type="dxa"/>
            <w:tcBorders>
              <w:top w:val="single" w:sz="6" w:space="0" w:color="auto"/>
              <w:bottom w:val="single" w:sz="6" w:space="0" w:color="auto"/>
            </w:tcBorders>
            <w:shd w:val="clear" w:color="auto" w:fill="auto"/>
          </w:tcPr>
          <w:p w14:paraId="160E8F9A" w14:textId="0F11D2BD"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Serial Number</w:t>
            </w:r>
          </w:p>
        </w:tc>
        <w:tc>
          <w:tcPr>
            <w:tcW w:w="1706" w:type="dxa"/>
            <w:tcBorders>
              <w:top w:val="single" w:sz="6" w:space="0" w:color="auto"/>
              <w:bottom w:val="single" w:sz="6" w:space="0" w:color="auto"/>
            </w:tcBorders>
            <w:shd w:val="clear" w:color="auto" w:fill="auto"/>
          </w:tcPr>
          <w:p w14:paraId="47A7BC4B" w14:textId="77777777" w:rsidR="00E0752D" w:rsidRPr="008A0812" w:rsidRDefault="00E0752D" w:rsidP="006B37E7">
            <w:pPr>
              <w:overflowPunct/>
              <w:autoSpaceDE/>
              <w:autoSpaceDN/>
              <w:adjustRightInd/>
              <w:jc w:val="center"/>
              <w:rPr>
                <w:rFonts w:asciiTheme="minorHAnsi" w:hAnsiTheme="minorHAnsi"/>
              </w:rPr>
            </w:pPr>
          </w:p>
        </w:tc>
        <w:tc>
          <w:tcPr>
            <w:tcW w:w="2340" w:type="dxa"/>
            <w:tcBorders>
              <w:top w:val="single" w:sz="6" w:space="0" w:color="auto"/>
              <w:bottom w:val="single" w:sz="6" w:space="0" w:color="auto"/>
            </w:tcBorders>
          </w:tcPr>
          <w:p w14:paraId="08EF6FAD" w14:textId="43E077D4" w:rsidR="00E0752D" w:rsidRPr="008A0812" w:rsidRDefault="006B37E7" w:rsidP="006B37E7">
            <w:pPr>
              <w:overflowPunct/>
              <w:autoSpaceDE/>
              <w:autoSpaceDN/>
              <w:adjustRightInd/>
              <w:jc w:val="center"/>
              <w:rPr>
                <w:rFonts w:asciiTheme="minorHAnsi" w:hAnsiTheme="minorHAnsi"/>
              </w:rPr>
            </w:pPr>
            <w:r w:rsidRPr="008A0812">
              <w:rPr>
                <w:rFonts w:asciiTheme="minorHAnsi" w:hAnsiTheme="minorHAnsi"/>
              </w:rPr>
              <w:t>Rehab Description</w:t>
            </w:r>
          </w:p>
        </w:tc>
        <w:tc>
          <w:tcPr>
            <w:tcW w:w="1796" w:type="dxa"/>
            <w:tcBorders>
              <w:top w:val="single" w:sz="6" w:space="0" w:color="auto"/>
              <w:bottom w:val="single" w:sz="6" w:space="0" w:color="auto"/>
            </w:tcBorders>
          </w:tcPr>
          <w:p w14:paraId="649BFEEF"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4F9014C7" w14:textId="77777777" w:rsidR="00E0752D" w:rsidRPr="008A0812" w:rsidRDefault="00E0752D" w:rsidP="006B37E7">
            <w:pPr>
              <w:overflowPunct/>
              <w:autoSpaceDE/>
              <w:autoSpaceDN/>
              <w:adjustRightInd/>
              <w:jc w:val="center"/>
              <w:rPr>
                <w:rFonts w:asciiTheme="minorHAnsi" w:hAnsiTheme="minorHAnsi"/>
              </w:rPr>
            </w:pPr>
          </w:p>
        </w:tc>
      </w:tr>
      <w:tr w:rsidR="00E0752D" w:rsidRPr="008A0812" w14:paraId="61E383E2" w14:textId="77777777" w:rsidTr="006B37E7">
        <w:tc>
          <w:tcPr>
            <w:tcW w:w="1706" w:type="dxa"/>
            <w:tcBorders>
              <w:top w:val="single" w:sz="6" w:space="0" w:color="auto"/>
              <w:bottom w:val="single" w:sz="6" w:space="0" w:color="auto"/>
            </w:tcBorders>
            <w:shd w:val="clear" w:color="auto" w:fill="auto"/>
          </w:tcPr>
          <w:p w14:paraId="724D65B5" w14:textId="2BD34DE6"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Tag ID</w:t>
            </w:r>
          </w:p>
        </w:tc>
        <w:tc>
          <w:tcPr>
            <w:tcW w:w="1706" w:type="dxa"/>
            <w:tcBorders>
              <w:top w:val="single" w:sz="6" w:space="0" w:color="auto"/>
              <w:bottom w:val="single" w:sz="6" w:space="0" w:color="auto"/>
            </w:tcBorders>
            <w:shd w:val="clear" w:color="auto" w:fill="auto"/>
          </w:tcPr>
          <w:p w14:paraId="1E43BEAD" w14:textId="77777777" w:rsidR="00E0752D" w:rsidRPr="008A0812" w:rsidRDefault="00E0752D" w:rsidP="006B37E7">
            <w:pPr>
              <w:overflowPunct/>
              <w:autoSpaceDE/>
              <w:autoSpaceDN/>
              <w:adjustRightInd/>
              <w:jc w:val="center"/>
              <w:rPr>
                <w:rFonts w:asciiTheme="minorHAnsi" w:hAnsiTheme="minorHAnsi"/>
              </w:rPr>
            </w:pPr>
          </w:p>
        </w:tc>
        <w:tc>
          <w:tcPr>
            <w:tcW w:w="2340" w:type="dxa"/>
            <w:tcBorders>
              <w:top w:val="single" w:sz="6" w:space="0" w:color="auto"/>
              <w:bottom w:val="single" w:sz="6" w:space="0" w:color="auto"/>
            </w:tcBorders>
          </w:tcPr>
          <w:p w14:paraId="27F6B84F"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tcPr>
          <w:p w14:paraId="3F0970C9"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6838B0CC" w14:textId="77777777" w:rsidR="00E0752D" w:rsidRPr="008A0812" w:rsidRDefault="00E0752D" w:rsidP="006B37E7">
            <w:pPr>
              <w:overflowPunct/>
              <w:autoSpaceDE/>
              <w:autoSpaceDN/>
              <w:adjustRightInd/>
              <w:jc w:val="center"/>
              <w:rPr>
                <w:rFonts w:asciiTheme="minorHAnsi" w:hAnsiTheme="minorHAnsi"/>
              </w:rPr>
            </w:pPr>
          </w:p>
        </w:tc>
      </w:tr>
      <w:tr w:rsidR="00E0752D" w:rsidRPr="008A0812" w14:paraId="413692B3" w14:textId="77777777" w:rsidTr="006B37E7">
        <w:tc>
          <w:tcPr>
            <w:tcW w:w="1706" w:type="dxa"/>
            <w:tcBorders>
              <w:top w:val="single" w:sz="6" w:space="0" w:color="auto"/>
              <w:bottom w:val="single" w:sz="6" w:space="0" w:color="auto"/>
            </w:tcBorders>
            <w:shd w:val="clear" w:color="auto" w:fill="auto"/>
          </w:tcPr>
          <w:p w14:paraId="4B7F4A81" w14:textId="35BC60A3"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Model</w:t>
            </w:r>
          </w:p>
        </w:tc>
        <w:tc>
          <w:tcPr>
            <w:tcW w:w="1706" w:type="dxa"/>
            <w:tcBorders>
              <w:top w:val="single" w:sz="6" w:space="0" w:color="auto"/>
              <w:bottom w:val="single" w:sz="6" w:space="0" w:color="auto"/>
            </w:tcBorders>
            <w:shd w:val="clear" w:color="auto" w:fill="auto"/>
          </w:tcPr>
          <w:p w14:paraId="6D5A1053" w14:textId="77777777" w:rsidR="00E0752D" w:rsidRPr="008A0812" w:rsidRDefault="00E0752D" w:rsidP="006B37E7">
            <w:pPr>
              <w:overflowPunct/>
              <w:autoSpaceDE/>
              <w:autoSpaceDN/>
              <w:adjustRightInd/>
              <w:jc w:val="center"/>
              <w:rPr>
                <w:rFonts w:asciiTheme="minorHAnsi" w:hAnsiTheme="minorHAnsi"/>
              </w:rPr>
            </w:pPr>
          </w:p>
        </w:tc>
        <w:tc>
          <w:tcPr>
            <w:tcW w:w="2340" w:type="dxa"/>
            <w:tcBorders>
              <w:top w:val="single" w:sz="6" w:space="0" w:color="auto"/>
              <w:bottom w:val="single" w:sz="6" w:space="0" w:color="auto"/>
            </w:tcBorders>
          </w:tcPr>
          <w:p w14:paraId="33313BB6"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tcPr>
          <w:p w14:paraId="02CC7CD4"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79DD7DF8" w14:textId="77777777" w:rsidR="00E0752D" w:rsidRPr="008A0812" w:rsidRDefault="00E0752D" w:rsidP="006B37E7">
            <w:pPr>
              <w:overflowPunct/>
              <w:autoSpaceDE/>
              <w:autoSpaceDN/>
              <w:adjustRightInd/>
              <w:jc w:val="center"/>
              <w:rPr>
                <w:rFonts w:asciiTheme="minorHAnsi" w:hAnsiTheme="minorHAnsi"/>
              </w:rPr>
            </w:pPr>
          </w:p>
        </w:tc>
      </w:tr>
      <w:tr w:rsidR="00E0752D" w:rsidRPr="008A0812" w14:paraId="05B8B76C" w14:textId="77777777" w:rsidTr="006B37E7">
        <w:tc>
          <w:tcPr>
            <w:tcW w:w="1706" w:type="dxa"/>
            <w:tcBorders>
              <w:top w:val="single" w:sz="6" w:space="0" w:color="auto"/>
              <w:bottom w:val="single" w:sz="6" w:space="0" w:color="auto"/>
            </w:tcBorders>
            <w:shd w:val="clear" w:color="auto" w:fill="auto"/>
          </w:tcPr>
          <w:p w14:paraId="0DABDCC6" w14:textId="2E9D3C07" w:rsidR="00E0752D" w:rsidRPr="008A0812" w:rsidRDefault="00E0752D" w:rsidP="006B37E7">
            <w:pPr>
              <w:overflowPunct/>
              <w:autoSpaceDE/>
              <w:autoSpaceDN/>
              <w:adjustRightInd/>
              <w:jc w:val="center"/>
              <w:rPr>
                <w:rFonts w:asciiTheme="minorHAnsi" w:hAnsiTheme="minorHAnsi"/>
              </w:rPr>
            </w:pPr>
            <w:r w:rsidRPr="008A0812">
              <w:rPr>
                <w:rFonts w:asciiTheme="minorHAnsi" w:hAnsiTheme="minorHAnsi"/>
              </w:rPr>
              <w:t>Asset Description</w:t>
            </w:r>
          </w:p>
        </w:tc>
        <w:tc>
          <w:tcPr>
            <w:tcW w:w="1706" w:type="dxa"/>
            <w:tcBorders>
              <w:top w:val="single" w:sz="6" w:space="0" w:color="auto"/>
              <w:bottom w:val="single" w:sz="6" w:space="0" w:color="auto"/>
            </w:tcBorders>
            <w:shd w:val="clear" w:color="auto" w:fill="auto"/>
          </w:tcPr>
          <w:p w14:paraId="15415992" w14:textId="77777777" w:rsidR="00E0752D" w:rsidRPr="008A0812" w:rsidRDefault="00E0752D" w:rsidP="006B37E7">
            <w:pPr>
              <w:overflowPunct/>
              <w:autoSpaceDE/>
              <w:autoSpaceDN/>
              <w:adjustRightInd/>
              <w:jc w:val="center"/>
              <w:rPr>
                <w:rFonts w:asciiTheme="minorHAnsi" w:hAnsiTheme="minorHAnsi"/>
              </w:rPr>
            </w:pPr>
          </w:p>
        </w:tc>
        <w:tc>
          <w:tcPr>
            <w:tcW w:w="2340" w:type="dxa"/>
            <w:tcBorders>
              <w:top w:val="single" w:sz="6" w:space="0" w:color="auto"/>
              <w:bottom w:val="single" w:sz="6" w:space="0" w:color="auto"/>
            </w:tcBorders>
          </w:tcPr>
          <w:p w14:paraId="0715EE04"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tcPr>
          <w:p w14:paraId="6F58B6DD" w14:textId="77777777" w:rsidR="00E0752D" w:rsidRPr="008A0812" w:rsidRDefault="00E0752D" w:rsidP="006B37E7">
            <w:pPr>
              <w:overflowPunct/>
              <w:autoSpaceDE/>
              <w:autoSpaceDN/>
              <w:adjustRightInd/>
              <w:jc w:val="center"/>
              <w:rPr>
                <w:rFonts w:asciiTheme="minorHAnsi" w:hAnsiTheme="minorHAnsi"/>
              </w:rPr>
            </w:pPr>
          </w:p>
        </w:tc>
        <w:tc>
          <w:tcPr>
            <w:tcW w:w="1796" w:type="dxa"/>
            <w:tcBorders>
              <w:top w:val="single" w:sz="6" w:space="0" w:color="auto"/>
              <w:bottom w:val="single" w:sz="6" w:space="0" w:color="auto"/>
            </w:tcBorders>
            <w:shd w:val="clear" w:color="auto" w:fill="auto"/>
          </w:tcPr>
          <w:p w14:paraId="396C2AF4" w14:textId="77777777" w:rsidR="00E0752D" w:rsidRPr="008A0812" w:rsidRDefault="00E0752D" w:rsidP="006B37E7">
            <w:pPr>
              <w:overflowPunct/>
              <w:autoSpaceDE/>
              <w:autoSpaceDN/>
              <w:adjustRightInd/>
              <w:jc w:val="center"/>
              <w:rPr>
                <w:rFonts w:asciiTheme="minorHAnsi" w:hAnsiTheme="minorHAnsi"/>
              </w:rPr>
            </w:pPr>
          </w:p>
        </w:tc>
      </w:tr>
    </w:tbl>
    <w:p w14:paraId="1D105859" w14:textId="77777777" w:rsidR="006B37E7" w:rsidRPr="008A0812" w:rsidRDefault="006B37E7" w:rsidP="006B37E7">
      <w:pPr>
        <w:pStyle w:val="BodyText"/>
      </w:pPr>
      <w:r w:rsidRPr="008A0812">
        <w:t>Prior to the field inventory of above-ground assets at WRP, gaps in attributes such as install year and major rehabilitation history were closed during the gap closure workshops with the Department. This allowed for derivation of remaining useful life, probability of failure (PoF) and consequence of failure (CoF) to develop a list of assets for a focused condition assessment. Any remaining gaps in physical attributes such as Manufacturer, Model, Serial Number and Size were closed during the field inventory. Furthermore, about 1,300 additional assets, not identified during the development of the preliminary asset register, were added to the asset register during the field inventory while attribute information for the existing assets were verified and updated as needed.</w:t>
      </w:r>
    </w:p>
    <w:p w14:paraId="6BE50EE5" w14:textId="60A3BBBE" w:rsidR="00E0752D" w:rsidRPr="008A0812" w:rsidRDefault="006B37E7" w:rsidP="006B37E7">
      <w:pPr>
        <w:pStyle w:val="BodyText"/>
      </w:pPr>
      <w:r w:rsidRPr="008A0812">
        <w:t>Fields such as Material, Condition and Status are currently gaps in the yard piping asset register. Other minor gaps in the asset register are length (ft) at 6% of the dataset and diameter (in) at 18% of the dataset.</w:t>
      </w:r>
    </w:p>
    <w:p w14:paraId="4388C227" w14:textId="21B6098B" w:rsidR="00E0752D" w:rsidRPr="008A0812" w:rsidRDefault="006B37E7" w:rsidP="006B37E7">
      <w:pPr>
        <w:pStyle w:val="Heading2"/>
      </w:pPr>
      <w:bookmarkStart w:id="136" w:name="_Toc41680826"/>
      <w:r w:rsidRPr="008A0812">
        <w:t>Asset Register Framework</w:t>
      </w:r>
      <w:bookmarkEnd w:id="136"/>
    </w:p>
    <w:p w14:paraId="0F821517" w14:textId="77777777" w:rsidR="006B37E7" w:rsidRPr="008A0812" w:rsidRDefault="006B37E7" w:rsidP="006B37E7">
      <w:pPr>
        <w:pStyle w:val="BodyText"/>
      </w:pPr>
      <w:r w:rsidRPr="008A0812">
        <w:t>An asset register is the systematic recording of all assets within the WRP that SBMWD owns or is responsible for their operations and maintenance. An asset hierarchy provides a structured framework for organizing assets in the asset register. A hierarchy enables SBMWD staff to easily locate an asset and obtain data (e.g., valuation, risk, remaining useful life) required to support asset management decisions.</w:t>
      </w:r>
    </w:p>
    <w:p w14:paraId="5F98D630" w14:textId="34C2029A" w:rsidR="006B37E7" w:rsidRPr="008A0812" w:rsidRDefault="006B37E7" w:rsidP="006B37E7">
      <w:pPr>
        <w:pStyle w:val="BodyText"/>
      </w:pPr>
      <w:r w:rsidRPr="008A0812">
        <w:t xml:space="preserve">An asset register forms links between all asset-related applications or information systems and enables the assessment of the assets as individual components, composite assets, or groups of assets. Along with establishing the asset register hierarchy as shown in </w:t>
      </w:r>
      <w:r w:rsidR="003B6AE1" w:rsidRPr="008A0812">
        <w:fldChar w:fldCharType="begin"/>
      </w:r>
      <w:r w:rsidR="003B6AE1" w:rsidRPr="008A0812">
        <w:instrText xml:space="preserve"> REF _Ref36215210 \h </w:instrText>
      </w:r>
      <w:r w:rsidR="008A0812">
        <w:instrText xml:space="preserve"> \* MERGEFORMAT </w:instrText>
      </w:r>
      <w:r w:rsidR="003B6AE1" w:rsidRPr="008A0812">
        <w:fldChar w:fldCharType="separate"/>
      </w:r>
      <w:r w:rsidR="00AA68F8" w:rsidRPr="008A0812">
        <w:t xml:space="preserve">Figure </w:t>
      </w:r>
      <w:r w:rsidR="00AA68F8">
        <w:rPr>
          <w:noProof/>
        </w:rPr>
        <w:t>2</w:t>
      </w:r>
      <w:r w:rsidR="00AA68F8">
        <w:rPr>
          <w:noProof/>
        </w:rPr>
        <w:noBreakHyphen/>
        <w:t>6</w:t>
      </w:r>
      <w:r w:rsidR="003B6AE1" w:rsidRPr="008A0812">
        <w:fldChar w:fldCharType="end"/>
      </w:r>
      <w:r w:rsidRPr="008A0812">
        <w:t>, developing an asset register includes the following components:</w:t>
      </w:r>
    </w:p>
    <w:p w14:paraId="2AC94963" w14:textId="765DA1A9" w:rsidR="006B37E7" w:rsidRPr="008A0812" w:rsidRDefault="006B37E7" w:rsidP="006B37E7">
      <w:pPr>
        <w:pStyle w:val="Bullet"/>
      </w:pPr>
      <w:r w:rsidRPr="008A0812">
        <w:rPr>
          <w:b/>
          <w:bCs/>
        </w:rPr>
        <w:t>Asset Definition</w:t>
      </w:r>
      <w:r w:rsidRPr="008A0812">
        <w:t>. Developing a definition for an asset that can be used across SBMWD by the Finance and Water Reclamations Divisions, and Engineering Section.</w:t>
      </w:r>
    </w:p>
    <w:p w14:paraId="3965DD0B" w14:textId="61EB7DF7" w:rsidR="006B37E7" w:rsidRPr="008A0812" w:rsidRDefault="006B37E7" w:rsidP="006B37E7">
      <w:pPr>
        <w:pStyle w:val="Bullet"/>
      </w:pPr>
      <w:r w:rsidRPr="008A0812">
        <w:rPr>
          <w:b/>
          <w:bCs/>
        </w:rPr>
        <w:t>Asset Classification</w:t>
      </w:r>
      <w:r w:rsidRPr="008A0812">
        <w:t>. An asset class can be defined as a group of assets with similar type, function, useful life, and pricing attributes (e.g., size, material, power).</w:t>
      </w:r>
    </w:p>
    <w:p w14:paraId="0645FEA4" w14:textId="465CA4E9" w:rsidR="00E0752D" w:rsidRPr="008A0812" w:rsidRDefault="006B37E7" w:rsidP="006B37E7">
      <w:pPr>
        <w:pStyle w:val="Bullet"/>
      </w:pPr>
      <w:r w:rsidRPr="008A0812">
        <w:rPr>
          <w:b/>
          <w:bCs/>
        </w:rPr>
        <w:t>Data Standards</w:t>
      </w:r>
      <w:r w:rsidRPr="008A0812">
        <w:t>. Data standards identify data attributes required to support asset management decisions. There are common attributes (e.g., year of install, replacement cost, asset naming/numbering) and specific attributes (e.g., type, power, size, length, and material) for each asset class.</w:t>
      </w:r>
    </w:p>
    <w:p w14:paraId="424DA535" w14:textId="439DFA68" w:rsidR="003B6AE1" w:rsidRPr="008A0812" w:rsidRDefault="003B6AE1" w:rsidP="00AF40CB">
      <w:pPr>
        <w:pStyle w:val="FigureHeading"/>
      </w:pPr>
      <w:bookmarkStart w:id="137" w:name="_Ref36215210"/>
      <w:bookmarkStart w:id="138" w:name="_Toc41684662"/>
      <w:r w:rsidRPr="008A0812">
        <w:t xml:space="preserve">Figure </w:t>
      </w:r>
      <w:fldSimple w:instr=" STYLEREF 1 \s ">
        <w:r w:rsidR="00AA68F8">
          <w:rPr>
            <w:noProof/>
          </w:rPr>
          <w:t>2</w:t>
        </w:r>
      </w:fldSimple>
      <w:r w:rsidR="00B233D1">
        <w:noBreakHyphen/>
      </w:r>
      <w:fldSimple w:instr=" SEQ Figure \* ARABIC \s 1 ">
        <w:r w:rsidR="00AA68F8">
          <w:rPr>
            <w:noProof/>
          </w:rPr>
          <w:t>6</w:t>
        </w:r>
      </w:fldSimple>
      <w:bookmarkEnd w:id="137"/>
      <w:r w:rsidRPr="008A0812">
        <w:t>: Asset Register Hierarchy Parent-Child Relationship</w:t>
      </w:r>
      <w:bookmarkEnd w:id="138"/>
    </w:p>
    <w:p w14:paraId="197706D4" w14:textId="2A54C754" w:rsidR="00F16DF5" w:rsidRPr="008A0812" w:rsidRDefault="006B37E7" w:rsidP="006B37E7">
      <w:pPr>
        <w:pStyle w:val="BodyText"/>
        <w:jc w:val="center"/>
      </w:pPr>
      <w:r>
        <w:rPr>
          <w:noProof/>
        </w:rPr>
        <w:drawing>
          <wp:inline distT="0" distB="0" distL="0" distR="0" wp14:anchorId="116FAF5F" wp14:editId="586314A9">
            <wp:extent cx="4016559" cy="2511552"/>
            <wp:effectExtent l="0" t="0" r="3175" b="3175"/>
            <wp:docPr id="193162624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ic:nvPicPr>
                  <pic:blipFill>
                    <a:blip r:embed="rId30">
                      <a:extLst>
                        <a:ext uri="{28A0092B-C50C-407E-A947-70E740481C1C}">
                          <a14:useLocalDpi xmlns:a14="http://schemas.microsoft.com/office/drawing/2010/main" val="0"/>
                        </a:ext>
                      </a:extLst>
                    </a:blip>
                    <a:stretch>
                      <a:fillRect/>
                    </a:stretch>
                  </pic:blipFill>
                  <pic:spPr>
                    <a:xfrm>
                      <a:off x="0" y="0"/>
                      <a:ext cx="4016559" cy="2511552"/>
                    </a:xfrm>
                    <a:prstGeom prst="rect">
                      <a:avLst/>
                    </a:prstGeom>
                  </pic:spPr>
                </pic:pic>
              </a:graphicData>
            </a:graphic>
          </wp:inline>
        </w:drawing>
      </w:r>
    </w:p>
    <w:p w14:paraId="4B35873A" w14:textId="097F1561" w:rsidR="000C5041" w:rsidRPr="008A0812" w:rsidRDefault="006B37E7" w:rsidP="00F16DF5">
      <w:pPr>
        <w:pStyle w:val="BodyText"/>
      </w:pPr>
      <w:r w:rsidRPr="008A0812">
        <w:t xml:space="preserve">The asset register for SBMWD was set up using a “process-based” hierarchy as shown in </w:t>
      </w:r>
      <w:r w:rsidR="003B6AE1" w:rsidRPr="008A0812">
        <w:fldChar w:fldCharType="begin"/>
      </w:r>
      <w:r w:rsidR="003B6AE1" w:rsidRPr="008A0812">
        <w:instrText xml:space="preserve"> REF _Ref36215248 \h </w:instrText>
      </w:r>
      <w:r w:rsidR="008A0812">
        <w:instrText xml:space="preserve"> \* MERGEFORMAT </w:instrText>
      </w:r>
      <w:r w:rsidR="003B6AE1" w:rsidRPr="008A0812">
        <w:fldChar w:fldCharType="separate"/>
      </w:r>
      <w:r w:rsidR="00AA68F8" w:rsidRPr="008A0812">
        <w:t xml:space="preserve">Figure </w:t>
      </w:r>
      <w:r w:rsidR="00AA68F8">
        <w:rPr>
          <w:noProof/>
        </w:rPr>
        <w:t>2</w:t>
      </w:r>
      <w:r w:rsidR="00AA68F8">
        <w:rPr>
          <w:noProof/>
        </w:rPr>
        <w:noBreakHyphen/>
        <w:t>7</w:t>
      </w:r>
      <w:r w:rsidR="003B6AE1" w:rsidRPr="008A0812">
        <w:fldChar w:fldCharType="end"/>
      </w:r>
      <w:r w:rsidRPr="008A0812">
        <w:t xml:space="preserve"> and </w:t>
      </w:r>
      <w:r w:rsidR="003B6AE1" w:rsidRPr="008A0812">
        <w:fldChar w:fldCharType="begin"/>
      </w:r>
      <w:r w:rsidR="003B6AE1" w:rsidRPr="008A0812">
        <w:instrText xml:space="preserve"> REF _Ref36215287 \h </w:instrText>
      </w:r>
      <w:r w:rsidR="008A0812">
        <w:instrText xml:space="preserve"> \* MERGEFORMAT </w:instrText>
      </w:r>
      <w:r w:rsidR="003B6AE1" w:rsidRPr="008A0812">
        <w:fldChar w:fldCharType="separate"/>
      </w:r>
      <w:r w:rsidR="00AA68F8" w:rsidRPr="008A0812">
        <w:t xml:space="preserve">Figure </w:t>
      </w:r>
      <w:r w:rsidR="00AA68F8">
        <w:rPr>
          <w:noProof/>
        </w:rPr>
        <w:t>2</w:t>
      </w:r>
      <w:r w:rsidR="00AA68F8">
        <w:rPr>
          <w:noProof/>
        </w:rPr>
        <w:noBreakHyphen/>
        <w:t>8</w:t>
      </w:r>
      <w:r w:rsidR="003B6AE1" w:rsidRPr="008A0812">
        <w:fldChar w:fldCharType="end"/>
      </w:r>
      <w:r w:rsidRPr="008A0812">
        <w:t>. There are five levels of hierarchy captured for the SBWRP in the asset register. The hierarchy divides into facility and major process first and then location, which is further broken down into assembly/systems.</w:t>
      </w:r>
    </w:p>
    <w:p w14:paraId="29B896C3" w14:textId="20E029DF" w:rsidR="003B6AE1" w:rsidRPr="008A0812" w:rsidRDefault="003B6AE1" w:rsidP="00AF40CB">
      <w:pPr>
        <w:pStyle w:val="FigureHeading"/>
      </w:pPr>
      <w:bookmarkStart w:id="139" w:name="_Ref36215248"/>
      <w:bookmarkStart w:id="140" w:name="_Toc41684663"/>
      <w:r w:rsidRPr="008A0812">
        <w:t xml:space="preserve">Figure </w:t>
      </w:r>
      <w:fldSimple w:instr=" STYLEREF 1 \s ">
        <w:r w:rsidR="00AA68F8">
          <w:rPr>
            <w:noProof/>
          </w:rPr>
          <w:t>2</w:t>
        </w:r>
      </w:fldSimple>
      <w:r w:rsidR="00B233D1">
        <w:noBreakHyphen/>
      </w:r>
      <w:fldSimple w:instr=" SEQ Figure \* ARABIC \s 1 ">
        <w:r w:rsidR="00AA68F8">
          <w:rPr>
            <w:noProof/>
          </w:rPr>
          <w:t>7</w:t>
        </w:r>
      </w:fldSimple>
      <w:bookmarkEnd w:id="139"/>
      <w:r w:rsidRPr="008A0812">
        <w:t>: Five Levels of Hierarchy for Drilling Down and Rolling Up</w:t>
      </w:r>
      <w:bookmarkEnd w:id="140"/>
    </w:p>
    <w:p w14:paraId="2FB6CE05" w14:textId="0D7F5B7A" w:rsidR="00011AAF" w:rsidRPr="008A0812" w:rsidRDefault="00F60961" w:rsidP="00F60961">
      <w:pPr>
        <w:pStyle w:val="BodyText"/>
        <w:jc w:val="center"/>
      </w:pPr>
      <w:r>
        <w:rPr>
          <w:noProof/>
        </w:rPr>
        <w:drawing>
          <wp:inline distT="0" distB="0" distL="0" distR="0" wp14:anchorId="69E518B1" wp14:editId="37CE2173">
            <wp:extent cx="2098675" cy="2066925"/>
            <wp:effectExtent l="0" t="0" r="0" b="9525"/>
            <wp:docPr id="146138875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pic:nvPicPr>
                  <pic:blipFill>
                    <a:blip r:embed="rId31">
                      <a:extLst>
                        <a:ext uri="{28A0092B-C50C-407E-A947-70E740481C1C}">
                          <a14:useLocalDpi xmlns:a14="http://schemas.microsoft.com/office/drawing/2010/main" val="0"/>
                        </a:ext>
                      </a:extLst>
                    </a:blip>
                    <a:stretch>
                      <a:fillRect/>
                    </a:stretch>
                  </pic:blipFill>
                  <pic:spPr>
                    <a:xfrm>
                      <a:off x="0" y="0"/>
                      <a:ext cx="2098675" cy="2066925"/>
                    </a:xfrm>
                    <a:prstGeom prst="rect">
                      <a:avLst/>
                    </a:prstGeom>
                  </pic:spPr>
                </pic:pic>
              </a:graphicData>
            </a:graphic>
          </wp:inline>
        </w:drawing>
      </w:r>
    </w:p>
    <w:p w14:paraId="6B5FEF77" w14:textId="77777777" w:rsidR="006B0AA4" w:rsidRPr="008A0812" w:rsidRDefault="006B0AA4">
      <w:pPr>
        <w:overflowPunct/>
        <w:autoSpaceDE/>
        <w:autoSpaceDN/>
        <w:adjustRightInd/>
        <w:textAlignment w:val="auto"/>
        <w:sectPr w:rsidR="006B0AA4" w:rsidRPr="008A0812" w:rsidSect="00D86759">
          <w:headerReference w:type="default" r:id="rId32"/>
          <w:footnotePr>
            <w:numRestart w:val="eachPage"/>
          </w:footnotePr>
          <w:endnotePr>
            <w:numFmt w:val="decimal"/>
          </w:endnotePr>
          <w:pgSz w:w="12240" w:h="15840" w:code="1"/>
          <w:pgMar w:top="1800" w:right="1440" w:bottom="1440" w:left="1440" w:header="720" w:footer="360" w:gutter="0"/>
          <w:pgNumType w:chapStyle="1"/>
          <w:cols w:space="720"/>
          <w:noEndnote/>
          <w:docGrid w:linePitch="299"/>
        </w:sectPr>
      </w:pPr>
    </w:p>
    <w:p w14:paraId="23226448" w14:textId="4A90999A" w:rsidR="00E41D7C" w:rsidRDefault="006B0AA4" w:rsidP="3C8A962A">
      <w:pPr>
        <w:pStyle w:val="FigureHeading"/>
        <w:ind w:left="0" w:firstLine="0"/>
      </w:pPr>
      <w:bookmarkStart w:id="141" w:name="_Ref36215287"/>
      <w:bookmarkStart w:id="142" w:name="_Toc41684664"/>
      <w:bookmarkStart w:id="143" w:name="_Hlk23850274"/>
      <w:r w:rsidRPr="008A0812">
        <w:t xml:space="preserve">Figure </w:t>
      </w:r>
      <w:fldSimple w:instr=" STYLEREF 1 \s ">
        <w:r w:rsidR="00AA68F8">
          <w:rPr>
            <w:noProof/>
          </w:rPr>
          <w:t>2</w:t>
        </w:r>
      </w:fldSimple>
      <w:r w:rsidR="00B233D1">
        <w:noBreakHyphen/>
      </w:r>
      <w:fldSimple w:instr=" SEQ Figure \* ARABIC \s 1 ">
        <w:r w:rsidR="00AA68F8">
          <w:rPr>
            <w:noProof/>
          </w:rPr>
          <w:t>8</w:t>
        </w:r>
      </w:fldSimple>
      <w:bookmarkEnd w:id="141"/>
      <w:r w:rsidRPr="008A0812">
        <w:t>: Process-Based Hierarchy</w:t>
      </w:r>
      <w:bookmarkEnd w:id="142"/>
    </w:p>
    <w:p w14:paraId="0E561EE3" w14:textId="571386AC" w:rsidR="004D40F6" w:rsidRPr="008A0812" w:rsidRDefault="00251323" w:rsidP="3C8A962A">
      <w:pPr>
        <w:pStyle w:val="FigureHeading"/>
        <w:ind w:left="0" w:firstLine="0"/>
        <w:rPr>
          <w:rFonts w:asciiTheme="minorHAnsi" w:eastAsiaTheme="minorHAnsi" w:hAnsiTheme="minorHAnsi" w:cstheme="minorBidi"/>
        </w:rPr>
      </w:pPr>
      <w:r>
        <w:rPr>
          <w:noProof/>
        </w:rPr>
        <w:drawing>
          <wp:inline distT="0" distB="0" distL="0" distR="0" wp14:anchorId="441FF23E" wp14:editId="17D31699">
            <wp:extent cx="6915150" cy="51277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21359" cy="5132321"/>
                    </a:xfrm>
                    <a:prstGeom prst="rect">
                      <a:avLst/>
                    </a:prstGeom>
                    <a:noFill/>
                  </pic:spPr>
                </pic:pic>
              </a:graphicData>
            </a:graphic>
          </wp:inline>
        </w:drawing>
      </w:r>
      <w:bookmarkEnd w:id="143"/>
    </w:p>
    <w:p w14:paraId="53581AEE" w14:textId="77777777" w:rsidR="001A25A2" w:rsidRPr="008A0812" w:rsidRDefault="001A25A2">
      <w:pPr>
        <w:overflowPunct/>
        <w:autoSpaceDE/>
        <w:autoSpaceDN/>
        <w:adjustRightInd/>
        <w:textAlignment w:val="auto"/>
        <w:rPr>
          <w:rFonts w:asciiTheme="minorHAnsi" w:eastAsiaTheme="minorHAnsi" w:hAnsiTheme="minorHAnsi" w:cstheme="minorBidi"/>
        </w:rPr>
        <w:sectPr w:rsidR="001A25A2" w:rsidRPr="008A0812" w:rsidSect="004D40F6">
          <w:headerReference w:type="default" r:id="rId34"/>
          <w:footerReference w:type="default" r:id="rId35"/>
          <w:footnotePr>
            <w:numRestart w:val="eachPage"/>
          </w:footnotePr>
          <w:endnotePr>
            <w:numFmt w:val="decimal"/>
          </w:endnotePr>
          <w:pgSz w:w="15840" w:h="12240" w:orient="landscape" w:code="1"/>
          <w:pgMar w:top="1440" w:right="1440" w:bottom="1440" w:left="1440" w:header="720" w:footer="360" w:gutter="0"/>
          <w:pgNumType w:start="7" w:chapStyle="1"/>
          <w:cols w:space="720"/>
          <w:noEndnote/>
          <w:docGrid w:linePitch="299"/>
        </w:sectPr>
      </w:pPr>
    </w:p>
    <w:p w14:paraId="070D4DE6" w14:textId="4FDECEEE" w:rsidR="00F16DF5" w:rsidRPr="008A0812" w:rsidRDefault="005B283C" w:rsidP="005B283C">
      <w:pPr>
        <w:pStyle w:val="Heading3"/>
      </w:pPr>
      <w:bookmarkStart w:id="144" w:name="_Toc41680827"/>
      <w:r w:rsidRPr="008A0812">
        <w:t>Asset Identification and Asset Tagging System</w:t>
      </w:r>
      <w:bookmarkEnd w:id="144"/>
    </w:p>
    <w:p w14:paraId="2F641CFC" w14:textId="77777777" w:rsidR="005B283C" w:rsidRPr="008A0812" w:rsidRDefault="005B283C" w:rsidP="005B283C">
      <w:pPr>
        <w:pStyle w:val="BodyText"/>
      </w:pPr>
      <w:r w:rsidRPr="008A0812">
        <w:t>Each asset in the asset register was assigned a unique “Asset ID” starting with the number 1 and continuing sequentially as assets are added to the asset register.</w:t>
      </w:r>
    </w:p>
    <w:p w14:paraId="31B5525C" w14:textId="2787C61E" w:rsidR="005B283C" w:rsidRPr="008A0812" w:rsidRDefault="005B283C" w:rsidP="005B283C">
      <w:pPr>
        <w:pStyle w:val="BodyText"/>
      </w:pPr>
      <w:r w:rsidRPr="008A0812">
        <w:t>Along with assigning an Asset ID, Hazen collaborated with SBMWD staff to refine their Tagging ID System which consists of:</w:t>
      </w:r>
    </w:p>
    <w:p w14:paraId="1EC840E6" w14:textId="115484B8" w:rsidR="005B283C" w:rsidRPr="008A0812" w:rsidRDefault="005B283C" w:rsidP="005B283C">
      <w:pPr>
        <w:pStyle w:val="BodyText"/>
        <w:jc w:val="center"/>
        <w:rPr>
          <w:b/>
          <w:bCs/>
        </w:rPr>
      </w:pPr>
      <w:r w:rsidRPr="008A0812">
        <w:rPr>
          <w:b/>
          <w:bCs/>
        </w:rPr>
        <w:t>Owner / Site / Location / Process / Type / Number</w:t>
      </w:r>
    </w:p>
    <w:p w14:paraId="5F812F82" w14:textId="7FCA6D2C" w:rsidR="005B283C" w:rsidRPr="008A0812" w:rsidRDefault="005B283C" w:rsidP="005B283C">
      <w:pPr>
        <w:pStyle w:val="BodyText"/>
      </w:pPr>
      <w:r w:rsidRPr="008A0812">
        <w:t>An example is:</w:t>
      </w:r>
    </w:p>
    <w:p w14:paraId="301FBF41" w14:textId="68DA8A57" w:rsidR="005B283C" w:rsidRPr="008A0812" w:rsidRDefault="005B283C" w:rsidP="005B283C">
      <w:pPr>
        <w:pStyle w:val="BodyText"/>
        <w:jc w:val="center"/>
        <w:rPr>
          <w:b/>
          <w:bCs/>
        </w:rPr>
      </w:pPr>
      <w:r w:rsidRPr="008A0812">
        <w:rPr>
          <w:b/>
          <w:bCs/>
        </w:rPr>
        <w:t>Arrowhead Influent Flow Meter Tube SBMWD.WRP.B223.81.FE.</w:t>
      </w:r>
      <w:r w:rsidR="00EA10DF">
        <w:rPr>
          <w:b/>
          <w:bCs/>
        </w:rPr>
        <w:t>010</w:t>
      </w:r>
    </w:p>
    <w:p w14:paraId="7A14518B" w14:textId="23D48517" w:rsidR="005B283C" w:rsidRPr="008A0812" w:rsidRDefault="00FF5B28" w:rsidP="005B283C">
      <w:pPr>
        <w:pStyle w:val="BodyText"/>
      </w:pPr>
      <w:r w:rsidRPr="008A0812">
        <w:fldChar w:fldCharType="begin"/>
      </w:r>
      <w:r w:rsidRPr="008A0812">
        <w:instrText xml:space="preserve"> REF _Ref36215955 \h </w:instrText>
      </w:r>
      <w:r w:rsidR="008A0812">
        <w:instrText xml:space="preserve"> \* MERGEFORMAT </w:instrText>
      </w:r>
      <w:r w:rsidRPr="008A0812">
        <w:fldChar w:fldCharType="separate"/>
      </w:r>
      <w:r w:rsidR="00AA68F8" w:rsidRPr="008A0812">
        <w:t xml:space="preserve">Table </w:t>
      </w:r>
      <w:r w:rsidR="00AA68F8">
        <w:rPr>
          <w:noProof/>
        </w:rPr>
        <w:t>2</w:t>
      </w:r>
      <w:r w:rsidR="00AA68F8" w:rsidRPr="008A0812">
        <w:rPr>
          <w:noProof/>
        </w:rPr>
        <w:noBreakHyphen/>
      </w:r>
      <w:r w:rsidR="00AA68F8">
        <w:rPr>
          <w:noProof/>
        </w:rPr>
        <w:t>3</w:t>
      </w:r>
      <w:r w:rsidRPr="008A0812">
        <w:fldChar w:fldCharType="end"/>
      </w:r>
      <w:r w:rsidRPr="008A0812">
        <w:t xml:space="preserve"> </w:t>
      </w:r>
      <w:r w:rsidR="005B283C" w:rsidRPr="008A0812">
        <w:t xml:space="preserve">provides the Tag ID System elements and a description of the example above. </w:t>
      </w:r>
    </w:p>
    <w:p w14:paraId="3CAB1118" w14:textId="41B682F6" w:rsidR="00FF5B28" w:rsidRPr="008A0812" w:rsidRDefault="00FF5B28" w:rsidP="00FF5B28">
      <w:pPr>
        <w:pStyle w:val="TableHeading"/>
      </w:pPr>
      <w:bookmarkStart w:id="145" w:name="_Ref36215955"/>
      <w:bookmarkStart w:id="146" w:name="_Toc36414039"/>
      <w:bookmarkStart w:id="147" w:name="_Toc41684740"/>
      <w:bookmarkStart w:id="148" w:name="_Hlk23850674"/>
      <w:r w:rsidRPr="008A0812">
        <w:t xml:space="preserve">Table </w:t>
      </w:r>
      <w:r>
        <w:fldChar w:fldCharType="begin"/>
      </w:r>
      <w:r>
        <w:instrText>STYLEREF 1 \s</w:instrText>
      </w:r>
      <w:r>
        <w:fldChar w:fldCharType="separate"/>
      </w:r>
      <w:r w:rsidR="00AA68F8">
        <w:rPr>
          <w:noProof/>
        </w:rPr>
        <w:t>2</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145"/>
      <w:r w:rsidRPr="008A0812">
        <w:t>: Typical Asset Attributes for Water and Wastewater Treatment Facilities</w:t>
      </w:r>
      <w:bookmarkEnd w:id="146"/>
      <w:bookmarkEnd w:id="147"/>
    </w:p>
    <w:tbl>
      <w:tblPr>
        <w:tblW w:w="9331" w:type="dxa"/>
        <w:tblBorders>
          <w:top w:val="single" w:sz="6" w:space="0" w:color="auto"/>
          <w:left w:val="single" w:sz="6" w:space="0" w:color="auto"/>
          <w:bottom w:val="single" w:sz="6" w:space="0" w:color="auto"/>
          <w:right w:val="single" w:sz="6" w:space="0" w:color="auto"/>
          <w:insideV w:val="single" w:sz="6" w:space="0" w:color="auto"/>
        </w:tblBorders>
        <w:tblCellMar>
          <w:left w:w="0" w:type="dxa"/>
          <w:right w:w="0" w:type="dxa"/>
        </w:tblCellMar>
        <w:tblLook w:val="04A0" w:firstRow="1" w:lastRow="0" w:firstColumn="1" w:lastColumn="0" w:noHBand="0" w:noVBand="1"/>
      </w:tblPr>
      <w:tblGrid>
        <w:gridCol w:w="2692"/>
        <w:gridCol w:w="6639"/>
      </w:tblGrid>
      <w:tr w:rsidR="005B283C" w:rsidRPr="008A0812" w14:paraId="00D3D92C" w14:textId="77777777" w:rsidTr="005B283C">
        <w:tc>
          <w:tcPr>
            <w:tcW w:w="2692" w:type="dxa"/>
            <w:tcBorders>
              <w:top w:val="single" w:sz="6" w:space="0" w:color="auto"/>
              <w:bottom w:val="single" w:sz="6" w:space="0" w:color="auto"/>
            </w:tcBorders>
            <w:shd w:val="clear" w:color="auto" w:fill="BFBFBF"/>
            <w:vAlign w:val="bottom"/>
            <w:hideMark/>
          </w:tcPr>
          <w:bookmarkEnd w:id="148"/>
          <w:p w14:paraId="420F5FC7" w14:textId="043C45A7" w:rsidR="005B283C" w:rsidRPr="008A0812" w:rsidRDefault="005B283C" w:rsidP="005B283C">
            <w:pPr>
              <w:overflowPunct/>
              <w:autoSpaceDE/>
              <w:autoSpaceDN/>
              <w:adjustRightInd/>
              <w:rPr>
                <w:rFonts w:ascii="Times New Roman" w:hAnsi="Times New Roman"/>
                <w:sz w:val="24"/>
                <w:szCs w:val="24"/>
              </w:rPr>
            </w:pPr>
            <w:r w:rsidRPr="008A0812">
              <w:rPr>
                <w:b/>
                <w:bCs/>
              </w:rPr>
              <w:t>Tag ID System Elements</w:t>
            </w:r>
          </w:p>
        </w:tc>
        <w:tc>
          <w:tcPr>
            <w:tcW w:w="6639" w:type="dxa"/>
            <w:tcBorders>
              <w:top w:val="single" w:sz="6" w:space="0" w:color="auto"/>
              <w:bottom w:val="single" w:sz="6" w:space="0" w:color="auto"/>
            </w:tcBorders>
            <w:shd w:val="clear" w:color="auto" w:fill="BFBFBF"/>
            <w:vAlign w:val="bottom"/>
            <w:hideMark/>
          </w:tcPr>
          <w:p w14:paraId="4897C0FF" w14:textId="680032D6" w:rsidR="005B283C" w:rsidRPr="008A0812" w:rsidRDefault="005B283C" w:rsidP="005B283C">
            <w:pPr>
              <w:overflowPunct/>
              <w:autoSpaceDE/>
              <w:autoSpaceDN/>
              <w:adjustRightInd/>
              <w:rPr>
                <w:rFonts w:ascii="Times New Roman" w:hAnsi="Times New Roman"/>
                <w:sz w:val="24"/>
                <w:szCs w:val="24"/>
              </w:rPr>
            </w:pPr>
            <w:r w:rsidRPr="008A0812">
              <w:rPr>
                <w:b/>
                <w:bCs/>
              </w:rPr>
              <w:t>Example Description</w:t>
            </w:r>
          </w:p>
        </w:tc>
      </w:tr>
      <w:tr w:rsidR="005B283C" w:rsidRPr="008A0812" w14:paraId="1F4A851A" w14:textId="77777777" w:rsidTr="005B283C">
        <w:tc>
          <w:tcPr>
            <w:tcW w:w="2692" w:type="dxa"/>
            <w:tcBorders>
              <w:top w:val="single" w:sz="6" w:space="0" w:color="auto"/>
              <w:bottom w:val="single" w:sz="6" w:space="0" w:color="auto"/>
            </w:tcBorders>
            <w:shd w:val="clear" w:color="auto" w:fill="auto"/>
          </w:tcPr>
          <w:p w14:paraId="5A3F1AFD" w14:textId="4D44F407"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Owner</w:t>
            </w:r>
          </w:p>
        </w:tc>
        <w:tc>
          <w:tcPr>
            <w:tcW w:w="6639" w:type="dxa"/>
            <w:tcBorders>
              <w:top w:val="single" w:sz="6" w:space="0" w:color="auto"/>
              <w:bottom w:val="single" w:sz="6" w:space="0" w:color="auto"/>
            </w:tcBorders>
            <w:shd w:val="clear" w:color="auto" w:fill="auto"/>
          </w:tcPr>
          <w:p w14:paraId="11E5285F" w14:textId="65441800"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SBMWD (San Bernardino Municipal Water Department)</w:t>
            </w:r>
          </w:p>
        </w:tc>
      </w:tr>
      <w:tr w:rsidR="005B283C" w:rsidRPr="008A0812" w14:paraId="5136AAFB" w14:textId="77777777" w:rsidTr="005B283C">
        <w:tc>
          <w:tcPr>
            <w:tcW w:w="2692" w:type="dxa"/>
            <w:tcBorders>
              <w:top w:val="single" w:sz="6" w:space="0" w:color="auto"/>
              <w:bottom w:val="single" w:sz="6" w:space="0" w:color="auto"/>
            </w:tcBorders>
            <w:shd w:val="clear" w:color="auto" w:fill="auto"/>
          </w:tcPr>
          <w:p w14:paraId="08E0FFF4" w14:textId="01B41705"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Site</w:t>
            </w:r>
          </w:p>
        </w:tc>
        <w:tc>
          <w:tcPr>
            <w:tcW w:w="6639" w:type="dxa"/>
            <w:tcBorders>
              <w:top w:val="single" w:sz="6" w:space="0" w:color="auto"/>
              <w:bottom w:val="single" w:sz="6" w:space="0" w:color="auto"/>
            </w:tcBorders>
            <w:shd w:val="clear" w:color="auto" w:fill="auto"/>
          </w:tcPr>
          <w:p w14:paraId="4E4892DB" w14:textId="6C93FA62"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WRP (Water Reclamation Plant)</w:t>
            </w:r>
          </w:p>
        </w:tc>
      </w:tr>
      <w:tr w:rsidR="005B283C" w:rsidRPr="008A0812" w14:paraId="2D8DB3A1" w14:textId="77777777" w:rsidTr="005B283C">
        <w:tc>
          <w:tcPr>
            <w:tcW w:w="2692" w:type="dxa"/>
            <w:tcBorders>
              <w:top w:val="single" w:sz="6" w:space="0" w:color="auto"/>
              <w:bottom w:val="single" w:sz="6" w:space="0" w:color="auto"/>
            </w:tcBorders>
            <w:shd w:val="clear" w:color="auto" w:fill="auto"/>
          </w:tcPr>
          <w:p w14:paraId="394A4DB4" w14:textId="32D43688"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Location</w:t>
            </w:r>
          </w:p>
        </w:tc>
        <w:tc>
          <w:tcPr>
            <w:tcW w:w="6639" w:type="dxa"/>
            <w:tcBorders>
              <w:top w:val="single" w:sz="6" w:space="0" w:color="auto"/>
              <w:bottom w:val="single" w:sz="6" w:space="0" w:color="auto"/>
            </w:tcBorders>
            <w:shd w:val="clear" w:color="auto" w:fill="auto"/>
          </w:tcPr>
          <w:p w14:paraId="1C095850" w14:textId="5F34B416"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B223 (Grid B2, Influent Area 23)</w:t>
            </w:r>
          </w:p>
        </w:tc>
      </w:tr>
      <w:tr w:rsidR="005B283C" w:rsidRPr="008A0812" w14:paraId="6749B4BB" w14:textId="77777777" w:rsidTr="005B283C">
        <w:tc>
          <w:tcPr>
            <w:tcW w:w="2692" w:type="dxa"/>
            <w:tcBorders>
              <w:top w:val="single" w:sz="6" w:space="0" w:color="auto"/>
              <w:bottom w:val="single" w:sz="6" w:space="0" w:color="auto"/>
            </w:tcBorders>
            <w:shd w:val="clear" w:color="auto" w:fill="auto"/>
          </w:tcPr>
          <w:p w14:paraId="3030F4AA" w14:textId="271769D7"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Process</w:t>
            </w:r>
          </w:p>
        </w:tc>
        <w:tc>
          <w:tcPr>
            <w:tcW w:w="6639" w:type="dxa"/>
            <w:tcBorders>
              <w:top w:val="single" w:sz="6" w:space="0" w:color="auto"/>
              <w:bottom w:val="single" w:sz="6" w:space="0" w:color="auto"/>
            </w:tcBorders>
            <w:shd w:val="clear" w:color="auto" w:fill="auto"/>
          </w:tcPr>
          <w:p w14:paraId="043102EB" w14:textId="1DA93883"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81 (Process Instrument)</w:t>
            </w:r>
          </w:p>
        </w:tc>
      </w:tr>
      <w:tr w:rsidR="005B283C" w:rsidRPr="008A0812" w14:paraId="15E09256" w14:textId="77777777" w:rsidTr="005B283C">
        <w:tc>
          <w:tcPr>
            <w:tcW w:w="2692" w:type="dxa"/>
            <w:tcBorders>
              <w:top w:val="single" w:sz="6" w:space="0" w:color="auto"/>
              <w:bottom w:val="single" w:sz="6" w:space="0" w:color="auto"/>
            </w:tcBorders>
            <w:shd w:val="clear" w:color="auto" w:fill="auto"/>
          </w:tcPr>
          <w:p w14:paraId="11A74F17" w14:textId="1CFEAE9C"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Type</w:t>
            </w:r>
          </w:p>
        </w:tc>
        <w:tc>
          <w:tcPr>
            <w:tcW w:w="6639" w:type="dxa"/>
            <w:tcBorders>
              <w:top w:val="single" w:sz="6" w:space="0" w:color="auto"/>
              <w:bottom w:val="single" w:sz="6" w:space="0" w:color="auto"/>
            </w:tcBorders>
            <w:shd w:val="clear" w:color="auto" w:fill="auto"/>
          </w:tcPr>
          <w:p w14:paraId="2AC65611" w14:textId="39A9D0D2"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FE (Flow Element)</w:t>
            </w:r>
          </w:p>
        </w:tc>
      </w:tr>
      <w:tr w:rsidR="005B283C" w:rsidRPr="008A0812" w14:paraId="42F9282F" w14:textId="77777777" w:rsidTr="005B283C">
        <w:tc>
          <w:tcPr>
            <w:tcW w:w="2692" w:type="dxa"/>
            <w:tcBorders>
              <w:top w:val="single" w:sz="6" w:space="0" w:color="auto"/>
              <w:bottom w:val="single" w:sz="6" w:space="0" w:color="auto"/>
            </w:tcBorders>
            <w:shd w:val="clear" w:color="auto" w:fill="auto"/>
          </w:tcPr>
          <w:p w14:paraId="635A9DA5" w14:textId="7FED0C98"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Number</w:t>
            </w:r>
          </w:p>
        </w:tc>
        <w:tc>
          <w:tcPr>
            <w:tcW w:w="6639" w:type="dxa"/>
            <w:tcBorders>
              <w:top w:val="single" w:sz="6" w:space="0" w:color="auto"/>
              <w:bottom w:val="single" w:sz="6" w:space="0" w:color="auto"/>
            </w:tcBorders>
            <w:shd w:val="clear" w:color="auto" w:fill="auto"/>
          </w:tcPr>
          <w:p w14:paraId="57390EC9" w14:textId="4A195D94" w:rsidR="005B283C" w:rsidRPr="008A0812" w:rsidRDefault="005B283C" w:rsidP="005B283C">
            <w:pPr>
              <w:overflowPunct/>
              <w:autoSpaceDE/>
              <w:autoSpaceDN/>
              <w:adjustRightInd/>
              <w:rPr>
                <w:rFonts w:asciiTheme="minorHAnsi" w:hAnsiTheme="minorHAnsi"/>
              </w:rPr>
            </w:pPr>
            <w:r w:rsidRPr="008A0812">
              <w:rPr>
                <w:rFonts w:asciiTheme="minorHAnsi" w:hAnsiTheme="minorHAnsi"/>
              </w:rPr>
              <w:t>010 (Number assigned to flow element. There are three flow elements with the flow metering structure and numbers would be assigned accordingly: 010, 020, 030)</w:t>
            </w:r>
          </w:p>
        </w:tc>
      </w:tr>
    </w:tbl>
    <w:p w14:paraId="3D9598F2" w14:textId="47F697CF" w:rsidR="005B283C" w:rsidRPr="008A0812" w:rsidRDefault="005B283C" w:rsidP="005B283C">
      <w:pPr>
        <w:pStyle w:val="BodyText"/>
      </w:pPr>
      <w:r w:rsidRPr="008A0812">
        <w:t>A Tag ID was assigned to each asset and incorporated into the asset register.</w:t>
      </w:r>
    </w:p>
    <w:p w14:paraId="5A2AC26E" w14:textId="3C00BE12" w:rsidR="005B283C" w:rsidRPr="008A0812" w:rsidRDefault="005B283C" w:rsidP="005B283C">
      <w:pPr>
        <w:pStyle w:val="Heading2"/>
      </w:pPr>
      <w:bookmarkStart w:id="149" w:name="_Toc41680828"/>
      <w:r w:rsidRPr="008A0812">
        <w:t>Summary</w:t>
      </w:r>
      <w:bookmarkEnd w:id="149"/>
    </w:p>
    <w:p w14:paraId="45B6163C" w14:textId="77777777" w:rsidR="005B283C" w:rsidRPr="008A0812" w:rsidRDefault="005B283C" w:rsidP="005B283C">
      <w:pPr>
        <w:pStyle w:val="BodyText"/>
      </w:pPr>
      <w:r w:rsidRPr="008A0812">
        <w:t>Once populated, the asset register is used to identify the assets for the risk assessment that identified the assets for the focused condition assessment. During the field condition assessment, data in the SBWRP asset register was verified and information, such as asset photos, asset performance, nameplate data, manufacturer, model, and asset condition for assets ranked high risk were added to the asset register.</w:t>
      </w:r>
    </w:p>
    <w:p w14:paraId="0DD5DA2E" w14:textId="6CD8EFCD" w:rsidR="005B283C" w:rsidRPr="008A0812" w:rsidRDefault="005B283C" w:rsidP="005B283C">
      <w:pPr>
        <w:pStyle w:val="BodyText"/>
      </w:pPr>
      <w:r w:rsidRPr="008A0812">
        <w:t>The asset register serves as the foundation of a future asset management program for SBMWD and as a data source for a new computerized maintenance management system.</w:t>
      </w:r>
    </w:p>
    <w:p w14:paraId="79AC924D" w14:textId="77777777" w:rsidR="005B283C" w:rsidRPr="008A0812" w:rsidRDefault="005B283C" w:rsidP="005B283C">
      <w:pPr>
        <w:pStyle w:val="BodyText"/>
      </w:pPr>
    </w:p>
    <w:p w14:paraId="13FC32FC" w14:textId="033ED045" w:rsidR="00F16DF5" w:rsidRPr="008A0812" w:rsidRDefault="00F16DF5" w:rsidP="00F16DF5">
      <w:pPr>
        <w:pStyle w:val="Heading2"/>
        <w:sectPr w:rsidR="00F16DF5" w:rsidRPr="008A0812" w:rsidSect="004D40F6">
          <w:headerReference w:type="default" r:id="rId36"/>
          <w:footerReference w:type="default" r:id="rId37"/>
          <w:footnotePr>
            <w:numRestart w:val="eachPage"/>
          </w:footnotePr>
          <w:endnotePr>
            <w:numFmt w:val="decimal"/>
          </w:endnotePr>
          <w:pgSz w:w="12240" w:h="15840" w:code="1"/>
          <w:pgMar w:top="1800" w:right="1440" w:bottom="1440" w:left="1440" w:header="720" w:footer="360" w:gutter="0"/>
          <w:pgNumType w:chapStyle="1"/>
          <w:cols w:space="720"/>
          <w:noEndnote/>
          <w:docGrid w:linePitch="299"/>
        </w:sectPr>
      </w:pPr>
    </w:p>
    <w:p w14:paraId="501B8895" w14:textId="318304BA" w:rsidR="00335AAE" w:rsidRPr="008A0812" w:rsidRDefault="00335AAE" w:rsidP="00335AAE">
      <w:pPr>
        <w:pStyle w:val="Heading1"/>
      </w:pPr>
      <w:bookmarkStart w:id="150" w:name="_Toc41680829"/>
      <w:r w:rsidRPr="008A0812">
        <w:t>Condition Assessment</w:t>
      </w:r>
      <w:bookmarkEnd w:id="150"/>
    </w:p>
    <w:p w14:paraId="2B474DB6" w14:textId="64B4DF14" w:rsidR="00EF17E2" w:rsidRPr="008A0812" w:rsidRDefault="00EF17E2" w:rsidP="00EF17E2">
      <w:pPr>
        <w:pStyle w:val="Heading2"/>
      </w:pPr>
      <w:bookmarkStart w:id="151" w:name="_Toc41680830"/>
      <w:bookmarkStart w:id="152" w:name="_Hlk20128872"/>
      <w:r w:rsidRPr="008A0812">
        <w:t>Condition Assessment</w:t>
      </w:r>
      <w:bookmarkEnd w:id="151"/>
    </w:p>
    <w:p w14:paraId="4FB8B385" w14:textId="35816E1A" w:rsidR="00EF17E2" w:rsidRPr="008A0812" w:rsidRDefault="00EF17E2" w:rsidP="00EF17E2">
      <w:pPr>
        <w:pStyle w:val="Heading3"/>
      </w:pPr>
      <w:bookmarkStart w:id="153" w:name="_Toc41680831"/>
      <w:r w:rsidRPr="008A0812">
        <w:t>Introduction</w:t>
      </w:r>
      <w:bookmarkEnd w:id="153"/>
    </w:p>
    <w:bookmarkEnd w:id="152"/>
    <w:p w14:paraId="76CA6FCF" w14:textId="77777777" w:rsidR="00EF17E2" w:rsidRPr="008A0812" w:rsidRDefault="00EF17E2" w:rsidP="00EF17E2">
      <w:pPr>
        <w:pStyle w:val="BodyText"/>
      </w:pPr>
      <w:r w:rsidRPr="008A0812">
        <w:t>Each organization is unique, and no condition assessment framework will work universally. However, each organization’s condition assessment framework should be built on the same basic framework or foundation and should incorporate the same fundamental concepts. This section describes the basics of a focused condition assessment that was developed for SBMWD’s SBWRP to meet the short-term needs of SBMWD and provide a framework for continuing with the facility condition assessment over the next several years.</w:t>
      </w:r>
    </w:p>
    <w:p w14:paraId="4F305ACC" w14:textId="77777777" w:rsidR="00EF17E2" w:rsidRPr="008A0812" w:rsidRDefault="00EF17E2" w:rsidP="00EF17E2">
      <w:pPr>
        <w:pStyle w:val="BodyText"/>
      </w:pPr>
      <w:r w:rsidRPr="008A0812">
        <w:t>The objective of condition assessment is to estimate asset failure or the rate of deterioration of an asset and adjust asset management plans accordingly. This includes adjusting remaining useful life, revising maintenance schedules, and updating total asset management costs and funding needs. The probability of an asset failing is most dependent upon the condition of the asset. As the condition of an asset deteriorates, the probability of failure increases. Ultimately, the goal of any condition assessment protocol is to acquire a more accurate knowledge of the timing to asset failure. Having more confidence in asset failures and renewal needs will lead to more efficient and effective use of SBMWD’s staff, resources, and funds.</w:t>
      </w:r>
    </w:p>
    <w:p w14:paraId="32083E98" w14:textId="7529E142" w:rsidR="00EF17E2" w:rsidRPr="008A0812" w:rsidRDefault="00EF17E2" w:rsidP="00EF17E2">
      <w:pPr>
        <w:pStyle w:val="BodyText"/>
      </w:pPr>
      <w:r w:rsidRPr="008A0812">
        <w:t>The condition assessment for this project included three components: 1) desktop evaluation of each asset; 2) desktop evaluation of underground assets; and 3) a focused field condition assessment of assets identified as high risk.</w:t>
      </w:r>
    </w:p>
    <w:p w14:paraId="62B389A6" w14:textId="73EE1CB3" w:rsidR="00EF17E2" w:rsidRPr="008A0812" w:rsidRDefault="00EF17E2" w:rsidP="00BE7C57">
      <w:pPr>
        <w:pStyle w:val="Heading2"/>
      </w:pPr>
      <w:bookmarkStart w:id="154" w:name="_Toc41680832"/>
      <w:r w:rsidRPr="008A0812">
        <w:t>Focused Condition Assessment</w:t>
      </w:r>
      <w:bookmarkEnd w:id="154"/>
    </w:p>
    <w:p w14:paraId="10CFEC0D" w14:textId="4D294FFB" w:rsidR="00EF17E2" w:rsidRPr="008A0812" w:rsidRDefault="00EF17E2" w:rsidP="00EF17E2">
      <w:pPr>
        <w:pStyle w:val="BodyText"/>
      </w:pPr>
      <w:r w:rsidRPr="008A0812">
        <w:t xml:space="preserve">A desktop assessment of the 3,184 above-ground assets in the preliminary asset register and a ranking of the criticality of processes was determined in workshops with SBMWD staff to identify assets for the Level 1 visual condition assessment. </w:t>
      </w:r>
      <w:r w:rsidR="003B6AE1" w:rsidRPr="008A0812">
        <w:fldChar w:fldCharType="begin"/>
      </w:r>
      <w:r w:rsidR="003B6AE1" w:rsidRPr="008A0812">
        <w:instrText xml:space="preserve"> REF _Ref36215359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1</w:t>
      </w:r>
      <w:r w:rsidR="003B6AE1" w:rsidRPr="008A0812">
        <w:fldChar w:fldCharType="end"/>
      </w:r>
      <w:r w:rsidRPr="008A0812">
        <w:t xml:space="preserve"> shows a breakdown of assets by process.</w:t>
      </w:r>
    </w:p>
    <w:p w14:paraId="7065FBFC" w14:textId="75ADB6B5" w:rsidR="003B6AE1" w:rsidRPr="008A0812" w:rsidRDefault="003B6AE1" w:rsidP="00AF40CB">
      <w:pPr>
        <w:pStyle w:val="FigureHeading"/>
      </w:pPr>
      <w:bookmarkStart w:id="155" w:name="_Ref36215359"/>
      <w:bookmarkStart w:id="156" w:name="_Toc41684665"/>
      <w:r w:rsidRPr="008A0812">
        <w:t xml:space="preserve">Figure </w:t>
      </w:r>
      <w:fldSimple w:instr=" STYLEREF 1 \s ">
        <w:r w:rsidR="00AA68F8">
          <w:rPr>
            <w:noProof/>
          </w:rPr>
          <w:t>3</w:t>
        </w:r>
      </w:fldSimple>
      <w:r w:rsidR="00B233D1">
        <w:noBreakHyphen/>
      </w:r>
      <w:fldSimple w:instr=" SEQ Figure \* ARABIC \s 1 ">
        <w:r w:rsidR="00AA68F8">
          <w:rPr>
            <w:noProof/>
          </w:rPr>
          <w:t>1</w:t>
        </w:r>
      </w:fldSimple>
      <w:bookmarkEnd w:id="155"/>
      <w:r w:rsidRPr="008A0812">
        <w:t>: Assets in the Preliminary Register by Process</w:t>
      </w:r>
      <w:bookmarkEnd w:id="156"/>
    </w:p>
    <w:p w14:paraId="7B062D24" w14:textId="53D6598F" w:rsidR="00BE7C57" w:rsidRPr="008A0812" w:rsidRDefault="003A30C9" w:rsidP="00BE7C57">
      <w:r>
        <w:rPr>
          <w:noProof/>
        </w:rPr>
        <w:drawing>
          <wp:inline distT="0" distB="0" distL="0" distR="0" wp14:anchorId="61369DE9" wp14:editId="3C1C4152">
            <wp:extent cx="5943600" cy="3479800"/>
            <wp:effectExtent l="0" t="0" r="0" b="6350"/>
            <wp:docPr id="136419818"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38">
                      <a:extLst>
                        <a:ext uri="{28A0092B-C50C-407E-A947-70E740481C1C}">
                          <a14:useLocalDpi xmlns:a14="http://schemas.microsoft.com/office/drawing/2010/main" val="0"/>
                        </a:ext>
                      </a:extLst>
                    </a:blip>
                    <a:stretch>
                      <a:fillRect/>
                    </a:stretch>
                  </pic:blipFill>
                  <pic:spPr>
                    <a:xfrm>
                      <a:off x="0" y="0"/>
                      <a:ext cx="5943600" cy="3479800"/>
                    </a:xfrm>
                    <a:prstGeom prst="rect">
                      <a:avLst/>
                    </a:prstGeom>
                  </pic:spPr>
                </pic:pic>
              </a:graphicData>
            </a:graphic>
          </wp:inline>
        </w:drawing>
      </w:r>
    </w:p>
    <w:p w14:paraId="15E37A76" w14:textId="77777777" w:rsidR="00BE7C57" w:rsidRPr="008A0812" w:rsidRDefault="00BE7C57" w:rsidP="00BE7C57">
      <w:pPr>
        <w:pStyle w:val="BodyText"/>
      </w:pPr>
      <w:r w:rsidRPr="008A0812">
        <w:t>Hazen developed a risk-based approach for the level 1 focused field condition assessment by prioritizing the assets with the highest risk based on determining the remaining useful life (RUL) and consequence of failure (CoF).</w:t>
      </w:r>
    </w:p>
    <w:p w14:paraId="52DDB11F" w14:textId="2C258809" w:rsidR="00BE7C57" w:rsidRPr="008A0812" w:rsidRDefault="00BE7C57" w:rsidP="00BE7C57">
      <w:pPr>
        <w:pStyle w:val="BodyText"/>
      </w:pPr>
      <w:r w:rsidRPr="008A0812">
        <w:t>RUL was used as an indicator of likelihood of failure within the next 5 years or less or the next 6 to 10 years.</w:t>
      </w:r>
      <w:r w:rsidR="003A30C9" w:rsidRPr="008A0812">
        <w:t xml:space="preserve"> </w:t>
      </w:r>
      <w:r w:rsidRPr="008A0812">
        <w:t xml:space="preserve">Assets in the preliminary asset register were assessed to determine the RUL based on the age of each asset and the expected useful life for each asset class. </w:t>
      </w:r>
    </w:p>
    <w:p w14:paraId="5A02BF42" w14:textId="53E054AB" w:rsidR="00BE7C57" w:rsidRPr="008A0812" w:rsidRDefault="00BE7C57" w:rsidP="00BE7C57">
      <w:pPr>
        <w:pStyle w:val="BodyText"/>
      </w:pPr>
      <w:r w:rsidRPr="008A0812">
        <w:t>The CoF evaluates the direct and indirect impacts of a failure. The CoF was determined for each process within the SBWRP through collaborative workshops with SBMWD staff.</w:t>
      </w:r>
    </w:p>
    <w:p w14:paraId="601D0899" w14:textId="69F76AC7" w:rsidR="00BE7C57" w:rsidRPr="008A0812" w:rsidRDefault="00BE7C57" w:rsidP="00BE7C57">
      <w:pPr>
        <w:pStyle w:val="BodyText"/>
      </w:pPr>
      <w:r w:rsidRPr="008A0812">
        <w:t xml:space="preserve">Using the methodology shown in </w:t>
      </w:r>
      <w:r w:rsidR="003B6AE1" w:rsidRPr="008A0812">
        <w:fldChar w:fldCharType="begin"/>
      </w:r>
      <w:r w:rsidR="003B6AE1" w:rsidRPr="008A0812">
        <w:instrText xml:space="preserve"> REF _Ref36215388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2</w:t>
      </w:r>
      <w:r w:rsidR="003B6AE1" w:rsidRPr="008A0812">
        <w:fldChar w:fldCharType="end"/>
      </w:r>
      <w:r w:rsidRPr="008A0812">
        <w:t>, a combination of remaining useful life and CoF scores were used to determine the assets on which to conduct the Focused Condition Assessment and the assets on which to conduct Complete Condition Assessment later. Assets that had been identified by SBMWD to be abandoned or planned to be rehabilitated or replaced within the next 5 years were not considered for the field condition assessment.</w:t>
      </w:r>
      <w:r w:rsidR="003A30C9" w:rsidRPr="008A0812">
        <w:t xml:space="preserve"> </w:t>
      </w:r>
    </w:p>
    <w:p w14:paraId="7B3DD0D9" w14:textId="5AACA9BE" w:rsidR="00251323" w:rsidRDefault="003B6AE1" w:rsidP="00AF40CB">
      <w:pPr>
        <w:pStyle w:val="FigureHeading"/>
      </w:pPr>
      <w:bookmarkStart w:id="157" w:name="_Ref36215388"/>
      <w:bookmarkStart w:id="158" w:name="_Toc41684666"/>
      <w:r w:rsidRPr="008A0812">
        <w:t xml:space="preserve">Figure </w:t>
      </w:r>
      <w:fldSimple w:instr=" STYLEREF 1 \s ">
        <w:r w:rsidR="00AA68F8">
          <w:rPr>
            <w:noProof/>
          </w:rPr>
          <w:t>3</w:t>
        </w:r>
      </w:fldSimple>
      <w:r w:rsidR="00B233D1">
        <w:noBreakHyphen/>
      </w:r>
      <w:fldSimple w:instr=" SEQ Figure \* ARABIC \s 1 ">
        <w:r w:rsidR="00AA68F8">
          <w:rPr>
            <w:noProof/>
          </w:rPr>
          <w:t>2</w:t>
        </w:r>
      </w:fldSimple>
      <w:bookmarkEnd w:id="157"/>
      <w:r w:rsidRPr="008A0812">
        <w:t>: Focused Condition Assessment Methodology</w:t>
      </w:r>
      <w:bookmarkEnd w:id="158"/>
    </w:p>
    <w:p w14:paraId="692F46A4" w14:textId="66BCFCDE" w:rsidR="003B6AE1" w:rsidRPr="008A0812" w:rsidRDefault="00251323" w:rsidP="3C8A962A">
      <w:pPr>
        <w:pStyle w:val="FigureHeading"/>
        <w:ind w:left="0" w:firstLine="0"/>
      </w:pPr>
      <w:r>
        <w:rPr>
          <w:noProof/>
        </w:rPr>
        <w:drawing>
          <wp:inline distT="0" distB="0" distL="0" distR="0" wp14:anchorId="1779F66D" wp14:editId="349E32F1">
            <wp:extent cx="5952488" cy="4495165"/>
            <wp:effectExtent l="0" t="0" r="0" b="635"/>
            <wp:docPr id="47280048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39">
                      <a:extLst>
                        <a:ext uri="{28A0092B-C50C-407E-A947-70E740481C1C}">
                          <a14:useLocalDpi xmlns:a14="http://schemas.microsoft.com/office/drawing/2010/main" val="0"/>
                        </a:ext>
                      </a:extLst>
                    </a:blip>
                    <a:stretch>
                      <a:fillRect/>
                    </a:stretch>
                  </pic:blipFill>
                  <pic:spPr>
                    <a:xfrm>
                      <a:off x="0" y="0"/>
                      <a:ext cx="5952488" cy="4495165"/>
                    </a:xfrm>
                    <a:prstGeom prst="rect">
                      <a:avLst/>
                    </a:prstGeom>
                  </pic:spPr>
                </pic:pic>
              </a:graphicData>
            </a:graphic>
          </wp:inline>
        </w:drawing>
      </w:r>
    </w:p>
    <w:p w14:paraId="569804F5" w14:textId="2E8F10B8" w:rsidR="00BE7C57" w:rsidRPr="008A0812" w:rsidRDefault="00BE7C57" w:rsidP="00BE7C57">
      <w:pPr>
        <w:pStyle w:val="Heading3"/>
      </w:pPr>
      <w:bookmarkStart w:id="159" w:name="_Toc41680833"/>
      <w:r w:rsidRPr="008A0812">
        <w:t>Remaining Useful Life</w:t>
      </w:r>
      <w:bookmarkEnd w:id="159"/>
    </w:p>
    <w:p w14:paraId="418126E1" w14:textId="3A1527E6" w:rsidR="00BE7C57" w:rsidRPr="008A0812" w:rsidRDefault="00BE7C57" w:rsidP="00BE7C57">
      <w:pPr>
        <w:pStyle w:val="BodyText"/>
      </w:pPr>
      <w:r w:rsidRPr="008A0812">
        <w:t>The expected useful life of an asset is a key factor in assessing a replacement timeframe. A predetermined useful life for each type of asset class was assigned and the year of installation of each asset was used to determine the current age of the asset.</w:t>
      </w:r>
      <w:r w:rsidR="003A30C9" w:rsidRPr="008A0812">
        <w:t xml:space="preserve"> </w:t>
      </w:r>
      <w:r w:rsidRPr="008A0812">
        <w:t>The expected useful lives are based on industry best practices and knowledge from local and similar projects.</w:t>
      </w:r>
      <w:r w:rsidR="003A30C9" w:rsidRPr="008A0812">
        <w:t xml:space="preserve"> </w:t>
      </w:r>
      <w:r w:rsidRPr="008A0812">
        <w:t xml:space="preserve">The estimated useful life table developed for SBMWD can be found in Appendix </w:t>
      </w:r>
      <w:r w:rsidR="007A6DB8" w:rsidRPr="008A0812">
        <w:t>B</w:t>
      </w:r>
      <w:r w:rsidRPr="008A0812">
        <w:t>.</w:t>
      </w:r>
      <w:r w:rsidR="003A30C9" w:rsidRPr="008A0812">
        <w:t xml:space="preserve"> </w:t>
      </w:r>
    </w:p>
    <w:p w14:paraId="0D8E2CE9" w14:textId="4A84145D" w:rsidR="00BE7C57" w:rsidRPr="008A0812" w:rsidRDefault="00BE7C57" w:rsidP="00BE7C57">
      <w:pPr>
        <w:pStyle w:val="BodyText"/>
      </w:pPr>
      <w:r w:rsidRPr="008A0812">
        <w:t>The expected useful life for each asset along with the determined age were used to assess remaining useful life (RUL) of each of SBMWD’s assets in the preliminary asset register using the equation as follows:</w:t>
      </w:r>
    </w:p>
    <w:p w14:paraId="4F7AC7F5" w14:textId="77777777" w:rsidR="00BE7C57" w:rsidRPr="008A0812" w:rsidRDefault="00BE7C57" w:rsidP="00BE7C57">
      <w:pPr>
        <w:pStyle w:val="BodyText"/>
        <w:jc w:val="center"/>
      </w:pPr>
      <w:r w:rsidRPr="008A0812">
        <w:t>RUL=Expected Useful Life (years)-Age (years)</w:t>
      </w:r>
    </w:p>
    <w:p w14:paraId="3455DE2B" w14:textId="77777777" w:rsidR="00BE7C57" w:rsidRPr="008A0812" w:rsidRDefault="00BE7C57" w:rsidP="00BE7C57">
      <w:pPr>
        <w:pStyle w:val="BodyText"/>
        <w:jc w:val="center"/>
      </w:pPr>
      <w:r w:rsidRPr="008A0812">
        <w:t>Where: RUL = Remaining Useful Life (years)</w:t>
      </w:r>
    </w:p>
    <w:p w14:paraId="480E23CE" w14:textId="693B7413" w:rsidR="00BE7C57" w:rsidRPr="008A0812" w:rsidRDefault="00BE7C57" w:rsidP="00BE7C57">
      <w:pPr>
        <w:pStyle w:val="BodyText"/>
        <w:jc w:val="center"/>
      </w:pPr>
      <w:r w:rsidRPr="008A0812">
        <w:t>Age (years) = Current Year – Year Installed</w:t>
      </w:r>
    </w:p>
    <w:p w14:paraId="28E0FD1B" w14:textId="7B3CCC1D" w:rsidR="00BE7C57" w:rsidRPr="008A0812" w:rsidRDefault="00BE7C57" w:rsidP="00BE7C57">
      <w:pPr>
        <w:pStyle w:val="BodyText"/>
        <w:jc w:val="left"/>
      </w:pPr>
      <w:r w:rsidRPr="008A0812">
        <w:t xml:space="preserve">As shown in </w:t>
      </w:r>
      <w:r w:rsidR="003B6AE1" w:rsidRPr="008A0812">
        <w:fldChar w:fldCharType="begin"/>
      </w:r>
      <w:r w:rsidR="003B6AE1" w:rsidRPr="008A0812">
        <w:instrText xml:space="preserve"> REF _Ref36215418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3</w:t>
      </w:r>
      <w:r w:rsidR="003B6AE1" w:rsidRPr="008A0812">
        <w:fldChar w:fldCharType="end"/>
      </w:r>
      <w:r w:rsidRPr="008A0812">
        <w:t>, 1,956 (approximately 60%) of assets in the preliminary asset register were determined to be reaching the end of their useful life within the next 10 years.</w:t>
      </w:r>
    </w:p>
    <w:p w14:paraId="449D8542" w14:textId="624319A2" w:rsidR="003B6AE1" w:rsidRPr="008A0812" w:rsidRDefault="003B6AE1" w:rsidP="00AF40CB">
      <w:pPr>
        <w:pStyle w:val="FigureHeading"/>
      </w:pPr>
      <w:bookmarkStart w:id="160" w:name="_Ref36215418"/>
      <w:bookmarkStart w:id="161" w:name="_Toc41684667"/>
      <w:r w:rsidRPr="008A0812">
        <w:t xml:space="preserve">Figure </w:t>
      </w:r>
      <w:fldSimple w:instr=" STYLEREF 1 \s ">
        <w:r w:rsidR="00AA68F8">
          <w:rPr>
            <w:noProof/>
          </w:rPr>
          <w:t>3</w:t>
        </w:r>
      </w:fldSimple>
      <w:r w:rsidR="00B233D1">
        <w:noBreakHyphen/>
      </w:r>
      <w:fldSimple w:instr=" SEQ Figure \* ARABIC \s 1 ">
        <w:r w:rsidR="00AA68F8">
          <w:rPr>
            <w:noProof/>
          </w:rPr>
          <w:t>3</w:t>
        </w:r>
      </w:fldSimple>
      <w:bookmarkEnd w:id="160"/>
      <w:r w:rsidRPr="008A0812">
        <w:t>: RUL – Asset Count by Year (Age-Based)</w:t>
      </w:r>
      <w:bookmarkEnd w:id="161"/>
    </w:p>
    <w:p w14:paraId="0406A0D1" w14:textId="601C7923" w:rsidR="00BE7C57" w:rsidRPr="008A0812" w:rsidRDefault="003A30C9" w:rsidP="00BE7C57">
      <w:r w:rsidRPr="008A0812">
        <w:rPr>
          <w:noProof/>
        </w:rPr>
        <w:drawing>
          <wp:inline distT="0" distB="0" distL="0" distR="0" wp14:anchorId="3F600B75" wp14:editId="31429C32">
            <wp:extent cx="5943600" cy="2735580"/>
            <wp:effectExtent l="0" t="0" r="0" b="7620"/>
            <wp:docPr id="226" name="Chart 226">
              <a:extLst xmlns:a="http://schemas.openxmlformats.org/drawingml/2006/main">
                <a:ext uri="{FF2B5EF4-FFF2-40B4-BE49-F238E27FC236}">
                  <a16:creationId xmlns:a16="http://schemas.microsoft.com/office/drawing/2014/main" id="{4056882B-0670-40E0-9BF6-0AED5F8A80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0B60D11" w14:textId="6893F87D" w:rsidR="00BE7C57" w:rsidRPr="008A0812" w:rsidRDefault="00BE7C57" w:rsidP="00BE7C57">
      <w:pPr>
        <w:pStyle w:val="Heading3"/>
      </w:pPr>
      <w:bookmarkStart w:id="162" w:name="_Toc41680834"/>
      <w:r w:rsidRPr="008A0812">
        <w:t>Consequence of Failure</w:t>
      </w:r>
      <w:bookmarkEnd w:id="162"/>
    </w:p>
    <w:p w14:paraId="0FB0C23B" w14:textId="562CB9F0" w:rsidR="00BE7C57" w:rsidRPr="008A0812" w:rsidRDefault="00BE7C57" w:rsidP="00BE7C57">
      <w:pPr>
        <w:pStyle w:val="BodyText"/>
      </w:pPr>
      <w:r w:rsidRPr="008A0812">
        <w:t xml:space="preserve">To determine the CoF of each asset, a multi-parameter weighted consequence of failure (CoF) score (ranging from 1 to 5) was determined for each asset at the process level as presented in </w:t>
      </w:r>
      <w:r w:rsidR="00FF5B28" w:rsidRPr="008A0812">
        <w:fldChar w:fldCharType="begin"/>
      </w:r>
      <w:r w:rsidR="00FF5B28" w:rsidRPr="008A0812">
        <w:instrText xml:space="preserve"> REF _Ref36216024 \h </w:instrText>
      </w:r>
      <w:r w:rsidR="008A0812">
        <w:instrText xml:space="preserve"> \* MERGEFORMAT </w:instrText>
      </w:r>
      <w:r w:rsidR="00FF5B28" w:rsidRPr="008A0812">
        <w:fldChar w:fldCharType="separate"/>
      </w:r>
      <w:r w:rsidR="00AA68F8" w:rsidRPr="008A0812">
        <w:t xml:space="preserve">Table </w:t>
      </w:r>
      <w:r w:rsidR="00AA68F8">
        <w:rPr>
          <w:noProof/>
        </w:rPr>
        <w:t>3</w:t>
      </w:r>
      <w:r w:rsidR="00AA68F8" w:rsidRPr="008A0812">
        <w:rPr>
          <w:noProof/>
        </w:rPr>
        <w:noBreakHyphen/>
      </w:r>
      <w:r w:rsidR="00AA68F8">
        <w:rPr>
          <w:noProof/>
        </w:rPr>
        <w:t>1</w:t>
      </w:r>
      <w:r w:rsidR="00FF5B28" w:rsidRPr="008A0812">
        <w:fldChar w:fldCharType="end"/>
      </w:r>
      <w:r w:rsidRPr="008A0812">
        <w:t>.</w:t>
      </w:r>
      <w:r w:rsidR="003A30C9" w:rsidRPr="008A0812">
        <w:t xml:space="preserve"> </w:t>
      </w:r>
      <w:r w:rsidRPr="008A0812">
        <w:t>The Hazen team utilized SBMWD operations staff’s knowledge of processes in critical condition and workshops were conducted with a broader range of SBMWD staff to gain further input. The results of the preliminary CoF analysis are shown in</w:t>
      </w:r>
      <w:r w:rsidR="00FF5B28" w:rsidRPr="008A0812">
        <w:t xml:space="preserve"> </w:t>
      </w:r>
      <w:r w:rsidR="00FF5B28" w:rsidRPr="008A0812">
        <w:fldChar w:fldCharType="begin"/>
      </w:r>
      <w:r w:rsidR="00FF5B28" w:rsidRPr="008A0812">
        <w:instrText xml:space="preserve"> REF _Ref36216010 \h </w:instrText>
      </w:r>
      <w:r w:rsidR="008A0812">
        <w:instrText xml:space="preserve"> \* MERGEFORMAT </w:instrText>
      </w:r>
      <w:r w:rsidR="00FF5B28" w:rsidRPr="008A0812">
        <w:fldChar w:fldCharType="separate"/>
      </w:r>
      <w:r w:rsidR="00AA68F8" w:rsidRPr="008A0812">
        <w:t xml:space="preserve">Figure </w:t>
      </w:r>
      <w:r w:rsidR="00AA68F8">
        <w:rPr>
          <w:noProof/>
        </w:rPr>
        <w:t>3</w:t>
      </w:r>
      <w:r w:rsidR="00AA68F8">
        <w:rPr>
          <w:noProof/>
        </w:rPr>
        <w:noBreakHyphen/>
        <w:t>4</w:t>
      </w:r>
      <w:r w:rsidR="00FF5B28" w:rsidRPr="008A0812">
        <w:fldChar w:fldCharType="end"/>
      </w:r>
      <w:r w:rsidRPr="008A0812">
        <w:t>.</w:t>
      </w:r>
    </w:p>
    <w:p w14:paraId="65148E74" w14:textId="3D0127D9" w:rsidR="00FF5B28" w:rsidRPr="008A0812" w:rsidRDefault="00FF5B28" w:rsidP="00FF5B28">
      <w:pPr>
        <w:pStyle w:val="TableHeading"/>
      </w:pPr>
      <w:bookmarkStart w:id="163" w:name="_Ref36216024"/>
      <w:bookmarkStart w:id="164" w:name="_Toc36414040"/>
      <w:bookmarkStart w:id="165" w:name="_Toc41684741"/>
      <w:r w:rsidRPr="008A0812">
        <w:t xml:space="preserve">Table </w:t>
      </w:r>
      <w:r>
        <w:fldChar w:fldCharType="begin"/>
      </w:r>
      <w:r>
        <w:instrText>STYLEREF 1 \s</w:instrText>
      </w:r>
      <w:r>
        <w:fldChar w:fldCharType="separate"/>
      </w:r>
      <w:r w:rsidR="00AA68F8">
        <w:rPr>
          <w:noProof/>
        </w:rPr>
        <w:t>3</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163"/>
      <w:r w:rsidRPr="008A0812">
        <w:t>: CoF Description and Related Score</w:t>
      </w:r>
      <w:bookmarkEnd w:id="164"/>
      <w:bookmarkEnd w:id="165"/>
    </w:p>
    <w:tbl>
      <w:tblPr>
        <w:tblW w:w="9344" w:type="dxa"/>
        <w:tblBorders>
          <w:top w:val="single" w:sz="6" w:space="0" w:color="auto"/>
          <w:left w:val="single" w:sz="6" w:space="0" w:color="auto"/>
          <w:bottom w:val="single" w:sz="6" w:space="0" w:color="auto"/>
          <w:right w:val="single" w:sz="6" w:space="0" w:color="auto"/>
          <w:insideV w:val="single" w:sz="6" w:space="0" w:color="auto"/>
        </w:tblBorders>
        <w:tblCellMar>
          <w:left w:w="0" w:type="dxa"/>
          <w:right w:w="0" w:type="dxa"/>
        </w:tblCellMar>
        <w:tblLook w:val="04A0" w:firstRow="1" w:lastRow="0" w:firstColumn="1" w:lastColumn="0" w:noHBand="0" w:noVBand="1"/>
      </w:tblPr>
      <w:tblGrid>
        <w:gridCol w:w="1702"/>
        <w:gridCol w:w="6030"/>
        <w:gridCol w:w="1612"/>
      </w:tblGrid>
      <w:tr w:rsidR="00566E5B" w:rsidRPr="008A0812" w14:paraId="30FACBCC" w14:textId="4C7FED4F" w:rsidTr="00566E5B">
        <w:trPr>
          <w:trHeight w:val="288"/>
        </w:trPr>
        <w:tc>
          <w:tcPr>
            <w:tcW w:w="1702" w:type="dxa"/>
            <w:tcBorders>
              <w:top w:val="single" w:sz="6" w:space="0" w:color="auto"/>
              <w:bottom w:val="single" w:sz="6" w:space="0" w:color="auto"/>
            </w:tcBorders>
            <w:shd w:val="clear" w:color="auto" w:fill="BFBFBF"/>
            <w:vAlign w:val="bottom"/>
            <w:hideMark/>
          </w:tcPr>
          <w:p w14:paraId="4F53BD63" w14:textId="661E3986" w:rsidR="00566E5B" w:rsidRPr="008A0812" w:rsidRDefault="00566E5B" w:rsidP="00566E5B">
            <w:pPr>
              <w:overflowPunct/>
              <w:autoSpaceDE/>
              <w:autoSpaceDN/>
              <w:adjustRightInd/>
              <w:jc w:val="center"/>
              <w:rPr>
                <w:rFonts w:ascii="Times New Roman" w:hAnsi="Times New Roman"/>
                <w:sz w:val="24"/>
                <w:szCs w:val="24"/>
              </w:rPr>
            </w:pPr>
            <w:r w:rsidRPr="008A0812">
              <w:rPr>
                <w:b/>
                <w:bCs/>
              </w:rPr>
              <w:t>CoF Range</w:t>
            </w:r>
          </w:p>
        </w:tc>
        <w:tc>
          <w:tcPr>
            <w:tcW w:w="6030" w:type="dxa"/>
            <w:tcBorders>
              <w:top w:val="single" w:sz="6" w:space="0" w:color="auto"/>
              <w:bottom w:val="single" w:sz="6" w:space="0" w:color="auto"/>
            </w:tcBorders>
            <w:shd w:val="clear" w:color="auto" w:fill="BFBFBF"/>
            <w:vAlign w:val="bottom"/>
            <w:hideMark/>
          </w:tcPr>
          <w:p w14:paraId="5A956970" w14:textId="4F904989" w:rsidR="00566E5B" w:rsidRPr="008A0812" w:rsidRDefault="00566E5B" w:rsidP="00566E5B">
            <w:pPr>
              <w:overflowPunct/>
              <w:autoSpaceDE/>
              <w:autoSpaceDN/>
              <w:adjustRightInd/>
              <w:jc w:val="center"/>
              <w:rPr>
                <w:rFonts w:ascii="Times New Roman" w:hAnsi="Times New Roman"/>
                <w:sz w:val="24"/>
                <w:szCs w:val="24"/>
              </w:rPr>
            </w:pPr>
            <w:r w:rsidRPr="008A0812">
              <w:rPr>
                <w:b/>
                <w:bCs/>
              </w:rPr>
              <w:t>Description</w:t>
            </w:r>
          </w:p>
        </w:tc>
        <w:tc>
          <w:tcPr>
            <w:tcW w:w="1612" w:type="dxa"/>
            <w:tcBorders>
              <w:top w:val="single" w:sz="6" w:space="0" w:color="auto"/>
              <w:bottom w:val="single" w:sz="6" w:space="0" w:color="auto"/>
            </w:tcBorders>
            <w:shd w:val="clear" w:color="auto" w:fill="BFBFBF"/>
          </w:tcPr>
          <w:p w14:paraId="62BFBE72" w14:textId="33ED5278" w:rsidR="00566E5B" w:rsidRPr="008A0812" w:rsidRDefault="00566E5B" w:rsidP="00566E5B">
            <w:pPr>
              <w:overflowPunct/>
              <w:autoSpaceDE/>
              <w:autoSpaceDN/>
              <w:adjustRightInd/>
              <w:jc w:val="center"/>
              <w:rPr>
                <w:b/>
                <w:bCs/>
              </w:rPr>
            </w:pPr>
            <w:r w:rsidRPr="008A0812">
              <w:rPr>
                <w:b/>
                <w:bCs/>
              </w:rPr>
              <w:t>CoF Score</w:t>
            </w:r>
          </w:p>
        </w:tc>
      </w:tr>
      <w:tr w:rsidR="00566E5B" w:rsidRPr="008A0812" w14:paraId="3B3774CC" w14:textId="70FA17F1" w:rsidTr="00566E5B">
        <w:trPr>
          <w:trHeight w:val="288"/>
        </w:trPr>
        <w:tc>
          <w:tcPr>
            <w:tcW w:w="1702" w:type="dxa"/>
            <w:tcBorders>
              <w:top w:val="single" w:sz="6" w:space="0" w:color="auto"/>
              <w:bottom w:val="single" w:sz="6" w:space="0" w:color="auto"/>
            </w:tcBorders>
            <w:shd w:val="clear" w:color="auto" w:fill="auto"/>
          </w:tcPr>
          <w:p w14:paraId="20693058" w14:textId="5E5822AC" w:rsidR="00566E5B" w:rsidRPr="008A0812" w:rsidRDefault="00566E5B" w:rsidP="00566E5B">
            <w:pPr>
              <w:overflowPunct/>
              <w:autoSpaceDE/>
              <w:autoSpaceDN/>
              <w:adjustRightInd/>
              <w:jc w:val="center"/>
              <w:rPr>
                <w:rFonts w:asciiTheme="minorHAnsi" w:hAnsiTheme="minorHAnsi"/>
              </w:rPr>
            </w:pPr>
            <w:r w:rsidRPr="008A0812">
              <w:t>Lowest</w:t>
            </w:r>
          </w:p>
        </w:tc>
        <w:tc>
          <w:tcPr>
            <w:tcW w:w="6030" w:type="dxa"/>
            <w:tcBorders>
              <w:top w:val="single" w:sz="6" w:space="0" w:color="auto"/>
              <w:bottom w:val="single" w:sz="6" w:space="0" w:color="auto"/>
            </w:tcBorders>
            <w:shd w:val="clear" w:color="auto" w:fill="auto"/>
          </w:tcPr>
          <w:p w14:paraId="7E7074A2" w14:textId="01B4CD27" w:rsidR="00566E5B" w:rsidRPr="008A0812" w:rsidRDefault="00566E5B" w:rsidP="00566E5B">
            <w:pPr>
              <w:overflowPunct/>
              <w:autoSpaceDE/>
              <w:autoSpaceDN/>
              <w:adjustRightInd/>
              <w:jc w:val="center"/>
              <w:rPr>
                <w:rFonts w:asciiTheme="minorHAnsi" w:hAnsiTheme="minorHAnsi"/>
              </w:rPr>
            </w:pPr>
            <w:r w:rsidRPr="008A0812">
              <w:t>Lowest impact on the main functionality of the process/facility</w:t>
            </w:r>
          </w:p>
        </w:tc>
        <w:tc>
          <w:tcPr>
            <w:tcW w:w="1612" w:type="dxa"/>
            <w:tcBorders>
              <w:top w:val="single" w:sz="6" w:space="0" w:color="auto"/>
              <w:bottom w:val="single" w:sz="6" w:space="0" w:color="auto"/>
            </w:tcBorders>
          </w:tcPr>
          <w:p w14:paraId="45757468" w14:textId="32818D4D" w:rsidR="00566E5B" w:rsidRPr="008A0812" w:rsidRDefault="00566E5B" w:rsidP="00566E5B">
            <w:pPr>
              <w:overflowPunct/>
              <w:autoSpaceDE/>
              <w:autoSpaceDN/>
              <w:adjustRightInd/>
              <w:jc w:val="center"/>
              <w:rPr>
                <w:rFonts w:asciiTheme="minorHAnsi" w:hAnsiTheme="minorHAnsi"/>
              </w:rPr>
            </w:pPr>
            <w:r w:rsidRPr="008A0812">
              <w:rPr>
                <w:rFonts w:asciiTheme="minorHAnsi" w:hAnsiTheme="minorHAnsi"/>
              </w:rPr>
              <w:t>1</w:t>
            </w:r>
          </w:p>
        </w:tc>
      </w:tr>
      <w:tr w:rsidR="00566E5B" w:rsidRPr="008A0812" w14:paraId="49766720" w14:textId="45FF9D5C" w:rsidTr="00566E5B">
        <w:trPr>
          <w:trHeight w:val="288"/>
        </w:trPr>
        <w:tc>
          <w:tcPr>
            <w:tcW w:w="1702" w:type="dxa"/>
            <w:tcBorders>
              <w:top w:val="single" w:sz="6" w:space="0" w:color="auto"/>
              <w:bottom w:val="single" w:sz="6" w:space="0" w:color="auto"/>
            </w:tcBorders>
            <w:shd w:val="clear" w:color="auto" w:fill="auto"/>
          </w:tcPr>
          <w:p w14:paraId="59887905" w14:textId="38B1F6DB" w:rsidR="00566E5B" w:rsidRPr="008A0812" w:rsidRDefault="00566E5B" w:rsidP="00566E5B">
            <w:pPr>
              <w:overflowPunct/>
              <w:autoSpaceDE/>
              <w:autoSpaceDN/>
              <w:adjustRightInd/>
              <w:jc w:val="center"/>
              <w:rPr>
                <w:rFonts w:asciiTheme="minorHAnsi" w:hAnsiTheme="minorHAnsi"/>
              </w:rPr>
            </w:pPr>
            <w:r w:rsidRPr="008A0812">
              <w:t>Lower</w:t>
            </w:r>
          </w:p>
        </w:tc>
        <w:tc>
          <w:tcPr>
            <w:tcW w:w="6030" w:type="dxa"/>
            <w:tcBorders>
              <w:top w:val="single" w:sz="6" w:space="0" w:color="auto"/>
              <w:bottom w:val="single" w:sz="6" w:space="0" w:color="auto"/>
            </w:tcBorders>
            <w:shd w:val="clear" w:color="auto" w:fill="auto"/>
          </w:tcPr>
          <w:p w14:paraId="63979685" w14:textId="785EADC4" w:rsidR="00566E5B" w:rsidRPr="008A0812" w:rsidRDefault="00566E5B" w:rsidP="00566E5B">
            <w:pPr>
              <w:overflowPunct/>
              <w:autoSpaceDE/>
              <w:autoSpaceDN/>
              <w:adjustRightInd/>
              <w:jc w:val="center"/>
              <w:rPr>
                <w:rFonts w:asciiTheme="minorHAnsi" w:hAnsiTheme="minorHAnsi"/>
              </w:rPr>
            </w:pPr>
            <w:r w:rsidRPr="008A0812">
              <w:t>Lower impact on the main functionality of the process/facility</w:t>
            </w:r>
          </w:p>
        </w:tc>
        <w:tc>
          <w:tcPr>
            <w:tcW w:w="1612" w:type="dxa"/>
            <w:tcBorders>
              <w:top w:val="single" w:sz="6" w:space="0" w:color="auto"/>
              <w:bottom w:val="single" w:sz="6" w:space="0" w:color="auto"/>
            </w:tcBorders>
          </w:tcPr>
          <w:p w14:paraId="7A44BB9E" w14:textId="2F16964B" w:rsidR="00566E5B" w:rsidRPr="008A0812" w:rsidRDefault="00566E5B" w:rsidP="00566E5B">
            <w:pPr>
              <w:overflowPunct/>
              <w:autoSpaceDE/>
              <w:autoSpaceDN/>
              <w:adjustRightInd/>
              <w:jc w:val="center"/>
              <w:rPr>
                <w:rFonts w:asciiTheme="minorHAnsi" w:hAnsiTheme="minorHAnsi"/>
              </w:rPr>
            </w:pPr>
            <w:r w:rsidRPr="008A0812">
              <w:rPr>
                <w:rFonts w:asciiTheme="minorHAnsi" w:hAnsiTheme="minorHAnsi"/>
              </w:rPr>
              <w:t>2</w:t>
            </w:r>
          </w:p>
        </w:tc>
      </w:tr>
      <w:tr w:rsidR="00566E5B" w:rsidRPr="008A0812" w14:paraId="0A6DB39A" w14:textId="39DE9D80" w:rsidTr="00566E5B">
        <w:trPr>
          <w:trHeight w:val="288"/>
        </w:trPr>
        <w:tc>
          <w:tcPr>
            <w:tcW w:w="1702" w:type="dxa"/>
            <w:tcBorders>
              <w:top w:val="single" w:sz="6" w:space="0" w:color="auto"/>
              <w:bottom w:val="single" w:sz="6" w:space="0" w:color="auto"/>
            </w:tcBorders>
            <w:shd w:val="clear" w:color="auto" w:fill="auto"/>
          </w:tcPr>
          <w:p w14:paraId="5E5F054C" w14:textId="3205E462" w:rsidR="00566E5B" w:rsidRPr="008A0812" w:rsidRDefault="00566E5B" w:rsidP="00566E5B">
            <w:pPr>
              <w:overflowPunct/>
              <w:autoSpaceDE/>
              <w:autoSpaceDN/>
              <w:adjustRightInd/>
              <w:jc w:val="center"/>
              <w:rPr>
                <w:rFonts w:asciiTheme="minorHAnsi" w:hAnsiTheme="minorHAnsi"/>
              </w:rPr>
            </w:pPr>
            <w:r w:rsidRPr="008A0812">
              <w:t>High</w:t>
            </w:r>
          </w:p>
        </w:tc>
        <w:tc>
          <w:tcPr>
            <w:tcW w:w="6030" w:type="dxa"/>
            <w:tcBorders>
              <w:top w:val="single" w:sz="6" w:space="0" w:color="auto"/>
              <w:bottom w:val="single" w:sz="6" w:space="0" w:color="auto"/>
            </w:tcBorders>
            <w:shd w:val="clear" w:color="auto" w:fill="auto"/>
          </w:tcPr>
          <w:p w14:paraId="7E5B2A2B" w14:textId="3D4DEF40" w:rsidR="00566E5B" w:rsidRPr="008A0812" w:rsidRDefault="00566E5B" w:rsidP="00566E5B">
            <w:pPr>
              <w:overflowPunct/>
              <w:autoSpaceDE/>
              <w:autoSpaceDN/>
              <w:adjustRightInd/>
              <w:jc w:val="center"/>
              <w:rPr>
                <w:rFonts w:asciiTheme="minorHAnsi" w:hAnsiTheme="minorHAnsi"/>
              </w:rPr>
            </w:pPr>
            <w:r w:rsidRPr="008A0812">
              <w:t>High impact on the main functionality of the process/facility</w:t>
            </w:r>
          </w:p>
        </w:tc>
        <w:tc>
          <w:tcPr>
            <w:tcW w:w="1612" w:type="dxa"/>
            <w:tcBorders>
              <w:top w:val="single" w:sz="6" w:space="0" w:color="auto"/>
              <w:bottom w:val="single" w:sz="6" w:space="0" w:color="auto"/>
            </w:tcBorders>
          </w:tcPr>
          <w:p w14:paraId="2C4D1024" w14:textId="1090947D" w:rsidR="00566E5B" w:rsidRPr="008A0812" w:rsidRDefault="00566E5B" w:rsidP="00566E5B">
            <w:pPr>
              <w:overflowPunct/>
              <w:autoSpaceDE/>
              <w:autoSpaceDN/>
              <w:adjustRightInd/>
              <w:jc w:val="center"/>
              <w:rPr>
                <w:rFonts w:asciiTheme="minorHAnsi" w:hAnsiTheme="minorHAnsi"/>
              </w:rPr>
            </w:pPr>
            <w:r w:rsidRPr="008A0812">
              <w:rPr>
                <w:rFonts w:asciiTheme="minorHAnsi" w:hAnsiTheme="minorHAnsi"/>
              </w:rPr>
              <w:t>3</w:t>
            </w:r>
          </w:p>
        </w:tc>
      </w:tr>
      <w:tr w:rsidR="00566E5B" w:rsidRPr="008A0812" w14:paraId="4FD2A61D" w14:textId="23710A59" w:rsidTr="00566E5B">
        <w:trPr>
          <w:trHeight w:val="288"/>
        </w:trPr>
        <w:tc>
          <w:tcPr>
            <w:tcW w:w="1702" w:type="dxa"/>
            <w:tcBorders>
              <w:top w:val="single" w:sz="6" w:space="0" w:color="auto"/>
              <w:bottom w:val="single" w:sz="6" w:space="0" w:color="auto"/>
            </w:tcBorders>
            <w:shd w:val="clear" w:color="auto" w:fill="auto"/>
          </w:tcPr>
          <w:p w14:paraId="2D8FD7B7" w14:textId="4593D34B" w:rsidR="00566E5B" w:rsidRPr="008A0812" w:rsidRDefault="00566E5B" w:rsidP="00566E5B">
            <w:pPr>
              <w:overflowPunct/>
              <w:autoSpaceDE/>
              <w:autoSpaceDN/>
              <w:adjustRightInd/>
              <w:jc w:val="center"/>
              <w:rPr>
                <w:rFonts w:asciiTheme="minorHAnsi" w:hAnsiTheme="minorHAnsi"/>
              </w:rPr>
            </w:pPr>
            <w:r w:rsidRPr="008A0812">
              <w:t>Higher</w:t>
            </w:r>
          </w:p>
        </w:tc>
        <w:tc>
          <w:tcPr>
            <w:tcW w:w="6030" w:type="dxa"/>
            <w:tcBorders>
              <w:top w:val="single" w:sz="6" w:space="0" w:color="auto"/>
              <w:bottom w:val="single" w:sz="6" w:space="0" w:color="auto"/>
            </w:tcBorders>
            <w:shd w:val="clear" w:color="auto" w:fill="auto"/>
          </w:tcPr>
          <w:p w14:paraId="025346E0" w14:textId="45A380E1" w:rsidR="00566E5B" w:rsidRPr="008A0812" w:rsidRDefault="00566E5B" w:rsidP="00566E5B">
            <w:pPr>
              <w:overflowPunct/>
              <w:autoSpaceDE/>
              <w:autoSpaceDN/>
              <w:adjustRightInd/>
              <w:jc w:val="center"/>
              <w:rPr>
                <w:rFonts w:asciiTheme="minorHAnsi" w:hAnsiTheme="minorHAnsi"/>
              </w:rPr>
            </w:pPr>
            <w:r w:rsidRPr="008A0812">
              <w:t>Higher impact on the main functionality of the process/facility</w:t>
            </w:r>
          </w:p>
        </w:tc>
        <w:tc>
          <w:tcPr>
            <w:tcW w:w="1612" w:type="dxa"/>
            <w:tcBorders>
              <w:top w:val="single" w:sz="6" w:space="0" w:color="auto"/>
              <w:bottom w:val="single" w:sz="6" w:space="0" w:color="auto"/>
            </w:tcBorders>
          </w:tcPr>
          <w:p w14:paraId="42A6C6EF" w14:textId="159D3FB4" w:rsidR="00566E5B" w:rsidRPr="008A0812" w:rsidRDefault="00566E5B" w:rsidP="00566E5B">
            <w:pPr>
              <w:overflowPunct/>
              <w:autoSpaceDE/>
              <w:autoSpaceDN/>
              <w:adjustRightInd/>
              <w:jc w:val="center"/>
              <w:rPr>
                <w:rFonts w:asciiTheme="minorHAnsi" w:hAnsiTheme="minorHAnsi"/>
              </w:rPr>
            </w:pPr>
            <w:r w:rsidRPr="008A0812">
              <w:rPr>
                <w:rFonts w:asciiTheme="minorHAnsi" w:hAnsiTheme="minorHAnsi"/>
              </w:rPr>
              <w:t>4</w:t>
            </w:r>
          </w:p>
        </w:tc>
      </w:tr>
      <w:tr w:rsidR="00566E5B" w:rsidRPr="008A0812" w14:paraId="75783FAF" w14:textId="132A870F" w:rsidTr="00566E5B">
        <w:trPr>
          <w:trHeight w:val="288"/>
        </w:trPr>
        <w:tc>
          <w:tcPr>
            <w:tcW w:w="1702" w:type="dxa"/>
            <w:tcBorders>
              <w:top w:val="single" w:sz="6" w:space="0" w:color="auto"/>
              <w:bottom w:val="single" w:sz="6" w:space="0" w:color="auto"/>
            </w:tcBorders>
            <w:shd w:val="clear" w:color="auto" w:fill="auto"/>
          </w:tcPr>
          <w:p w14:paraId="5F3B7CDA" w14:textId="36B627CE" w:rsidR="00566E5B" w:rsidRPr="008A0812" w:rsidRDefault="00566E5B" w:rsidP="00566E5B">
            <w:pPr>
              <w:overflowPunct/>
              <w:autoSpaceDE/>
              <w:autoSpaceDN/>
              <w:adjustRightInd/>
              <w:jc w:val="center"/>
              <w:rPr>
                <w:rFonts w:asciiTheme="minorHAnsi" w:hAnsiTheme="minorHAnsi"/>
              </w:rPr>
            </w:pPr>
            <w:r w:rsidRPr="008A0812">
              <w:t>Highest</w:t>
            </w:r>
          </w:p>
        </w:tc>
        <w:tc>
          <w:tcPr>
            <w:tcW w:w="6030" w:type="dxa"/>
            <w:tcBorders>
              <w:top w:val="single" w:sz="6" w:space="0" w:color="auto"/>
              <w:bottom w:val="single" w:sz="6" w:space="0" w:color="auto"/>
            </w:tcBorders>
            <w:shd w:val="clear" w:color="auto" w:fill="auto"/>
          </w:tcPr>
          <w:p w14:paraId="0831B1A2" w14:textId="46147C37" w:rsidR="00566E5B" w:rsidRPr="008A0812" w:rsidRDefault="00566E5B" w:rsidP="00566E5B">
            <w:pPr>
              <w:overflowPunct/>
              <w:autoSpaceDE/>
              <w:autoSpaceDN/>
              <w:adjustRightInd/>
              <w:jc w:val="center"/>
              <w:rPr>
                <w:rFonts w:asciiTheme="minorHAnsi" w:hAnsiTheme="minorHAnsi"/>
              </w:rPr>
            </w:pPr>
            <w:r w:rsidRPr="008A0812">
              <w:t>Highest impact on the main functionality of the process/facility</w:t>
            </w:r>
          </w:p>
        </w:tc>
        <w:tc>
          <w:tcPr>
            <w:tcW w:w="1612" w:type="dxa"/>
            <w:tcBorders>
              <w:top w:val="single" w:sz="6" w:space="0" w:color="auto"/>
              <w:bottom w:val="single" w:sz="6" w:space="0" w:color="auto"/>
            </w:tcBorders>
          </w:tcPr>
          <w:p w14:paraId="618C01D2" w14:textId="4CA18A06" w:rsidR="00566E5B" w:rsidRPr="008A0812" w:rsidRDefault="00566E5B" w:rsidP="00566E5B">
            <w:pPr>
              <w:overflowPunct/>
              <w:autoSpaceDE/>
              <w:autoSpaceDN/>
              <w:adjustRightInd/>
              <w:jc w:val="center"/>
              <w:rPr>
                <w:rFonts w:asciiTheme="minorHAnsi" w:hAnsiTheme="minorHAnsi"/>
              </w:rPr>
            </w:pPr>
            <w:r w:rsidRPr="008A0812">
              <w:rPr>
                <w:rFonts w:asciiTheme="minorHAnsi" w:hAnsiTheme="minorHAnsi"/>
              </w:rPr>
              <w:t>5</w:t>
            </w:r>
          </w:p>
        </w:tc>
      </w:tr>
    </w:tbl>
    <w:p w14:paraId="41AA6C8F" w14:textId="10B353BE" w:rsidR="003B6AE1" w:rsidRPr="008A0812" w:rsidRDefault="003B6AE1" w:rsidP="00AF40CB">
      <w:pPr>
        <w:pStyle w:val="FigureHeading"/>
      </w:pPr>
      <w:bookmarkStart w:id="166" w:name="_Ref36216010"/>
      <w:bookmarkStart w:id="167" w:name="_Ref36215995"/>
      <w:bookmarkStart w:id="168" w:name="_Toc41684668"/>
      <w:r w:rsidRPr="008A0812">
        <w:t xml:space="preserve">Figure </w:t>
      </w:r>
      <w:fldSimple w:instr=" STYLEREF 1 \s ">
        <w:r w:rsidR="00AA68F8">
          <w:rPr>
            <w:noProof/>
          </w:rPr>
          <w:t>3</w:t>
        </w:r>
      </w:fldSimple>
      <w:r w:rsidR="00B233D1">
        <w:noBreakHyphen/>
      </w:r>
      <w:fldSimple w:instr=" SEQ Figure \* ARABIC \s 1 ">
        <w:r w:rsidR="00AA68F8">
          <w:rPr>
            <w:noProof/>
          </w:rPr>
          <w:t>4</w:t>
        </w:r>
      </w:fldSimple>
      <w:bookmarkEnd w:id="166"/>
      <w:r w:rsidRPr="008A0812">
        <w:t>: Preliminary CoF Results</w:t>
      </w:r>
      <w:bookmarkEnd w:id="167"/>
      <w:bookmarkEnd w:id="168"/>
    </w:p>
    <w:p w14:paraId="3F390E1E" w14:textId="73326FD9" w:rsidR="00566E5B" w:rsidRPr="008A0812" w:rsidRDefault="003A30C9" w:rsidP="00566E5B">
      <w:pPr>
        <w:jc w:val="center"/>
      </w:pPr>
      <w:r>
        <w:rPr>
          <w:noProof/>
        </w:rPr>
        <w:drawing>
          <wp:inline distT="0" distB="0" distL="0" distR="0" wp14:anchorId="70F9C90C" wp14:editId="4BA356AA">
            <wp:extent cx="4725034" cy="2755900"/>
            <wp:effectExtent l="0" t="0" r="0" b="6350"/>
            <wp:docPr id="207551447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1">
                      <a:extLst>
                        <a:ext uri="{28A0092B-C50C-407E-A947-70E740481C1C}">
                          <a14:useLocalDpi xmlns:a14="http://schemas.microsoft.com/office/drawing/2010/main" val="0"/>
                        </a:ext>
                      </a:extLst>
                    </a:blip>
                    <a:stretch>
                      <a:fillRect/>
                    </a:stretch>
                  </pic:blipFill>
                  <pic:spPr>
                    <a:xfrm>
                      <a:off x="0" y="0"/>
                      <a:ext cx="4725034" cy="2755900"/>
                    </a:xfrm>
                    <a:prstGeom prst="rect">
                      <a:avLst/>
                    </a:prstGeom>
                  </pic:spPr>
                </pic:pic>
              </a:graphicData>
            </a:graphic>
          </wp:inline>
        </w:drawing>
      </w:r>
    </w:p>
    <w:p w14:paraId="2CDD1B6B" w14:textId="272EC2A3" w:rsidR="00BE7C57" w:rsidRPr="008A0812" w:rsidRDefault="00566E5B" w:rsidP="00566E5B">
      <w:pPr>
        <w:pStyle w:val="Heading3"/>
      </w:pPr>
      <w:bookmarkStart w:id="169" w:name="_Toc41680835"/>
      <w:r w:rsidRPr="008A0812">
        <w:t>Assets Identified for Field Condition Assessment</w:t>
      </w:r>
      <w:bookmarkEnd w:id="169"/>
    </w:p>
    <w:p w14:paraId="47EDB2AB" w14:textId="48E50135" w:rsidR="00566E5B" w:rsidRPr="008A0812" w:rsidRDefault="00566E5B" w:rsidP="00566E5B">
      <w:pPr>
        <w:pStyle w:val="BodyText"/>
      </w:pPr>
      <w:r w:rsidRPr="008A0812">
        <w:t>The results of remaining useful life analysis and consequence of failure were combined to identify the critical assets that are reaching the end of their useful life (</w:t>
      </w:r>
      <w:r w:rsidR="003B6AE1" w:rsidRPr="008A0812">
        <w:fldChar w:fldCharType="begin"/>
      </w:r>
      <w:r w:rsidR="003B6AE1" w:rsidRPr="008A0812">
        <w:instrText xml:space="preserve"> REF _Ref36215454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5</w:t>
      </w:r>
      <w:r w:rsidR="003B6AE1" w:rsidRPr="008A0812">
        <w:fldChar w:fldCharType="end"/>
      </w:r>
      <w:r w:rsidRPr="008A0812">
        <w:t xml:space="preserve">). Following the decision tree presented in </w:t>
      </w:r>
      <w:r w:rsidR="003B6AE1" w:rsidRPr="008A0812">
        <w:fldChar w:fldCharType="begin"/>
      </w:r>
      <w:r w:rsidR="003B6AE1" w:rsidRPr="008A0812">
        <w:instrText xml:space="preserve"> REF _Ref36215388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2</w:t>
      </w:r>
      <w:r w:rsidR="003B6AE1" w:rsidRPr="008A0812">
        <w:fldChar w:fldCharType="end"/>
      </w:r>
      <w:r w:rsidRPr="008A0812">
        <w:t xml:space="preserve">, 850 assets (approximately 30%) were identified for the focused condition assessment. </w:t>
      </w:r>
      <w:r w:rsidR="003B6AE1" w:rsidRPr="008A0812">
        <w:fldChar w:fldCharType="begin"/>
      </w:r>
      <w:r w:rsidR="003B6AE1" w:rsidRPr="008A0812">
        <w:instrText xml:space="preserve"> REF _Ref36215478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6</w:t>
      </w:r>
      <w:r w:rsidR="003B6AE1" w:rsidRPr="008A0812">
        <w:fldChar w:fldCharType="end"/>
      </w:r>
      <w:r w:rsidR="003B6AE1" w:rsidRPr="008A0812">
        <w:t xml:space="preserve"> </w:t>
      </w:r>
      <w:r w:rsidRPr="008A0812">
        <w:t>presents the count of those assets at each process.</w:t>
      </w:r>
    </w:p>
    <w:p w14:paraId="772CAFB2" w14:textId="0E0FE201" w:rsidR="003B6AE1" w:rsidRPr="008A0812" w:rsidRDefault="003B6AE1" w:rsidP="00AF40CB">
      <w:pPr>
        <w:pStyle w:val="FigureHeading"/>
      </w:pPr>
      <w:bookmarkStart w:id="170" w:name="_Ref36215454"/>
      <w:bookmarkStart w:id="171" w:name="_Toc41684669"/>
      <w:r w:rsidRPr="008A0812">
        <w:t xml:space="preserve">Figure </w:t>
      </w:r>
      <w:fldSimple w:instr=" STYLEREF 1 \s ">
        <w:r w:rsidR="00AA68F8">
          <w:rPr>
            <w:noProof/>
          </w:rPr>
          <w:t>3</w:t>
        </w:r>
      </w:fldSimple>
      <w:r w:rsidR="00B233D1">
        <w:noBreakHyphen/>
      </w:r>
      <w:fldSimple w:instr=" SEQ Figure \* ARABIC \s 1 ">
        <w:r w:rsidR="00AA68F8">
          <w:rPr>
            <w:noProof/>
          </w:rPr>
          <w:t>5</w:t>
        </w:r>
      </w:fldSimple>
      <w:bookmarkEnd w:id="170"/>
      <w:r w:rsidRPr="008A0812">
        <w:t>: Remaining Useful Life Combined with CoF Results</w:t>
      </w:r>
      <w:bookmarkEnd w:id="171"/>
    </w:p>
    <w:p w14:paraId="18AD08C1" w14:textId="51DD78EE" w:rsidR="00A27152" w:rsidRPr="008A0812" w:rsidRDefault="003A30C9" w:rsidP="00A27152">
      <w:pPr>
        <w:jc w:val="center"/>
      </w:pPr>
      <w:r>
        <w:rPr>
          <w:noProof/>
        </w:rPr>
        <w:drawing>
          <wp:inline distT="0" distB="0" distL="0" distR="0" wp14:anchorId="38752B24" wp14:editId="68C6DCC5">
            <wp:extent cx="5767070" cy="2920365"/>
            <wp:effectExtent l="0" t="0" r="5080" b="0"/>
            <wp:docPr id="185084728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2">
                      <a:extLst>
                        <a:ext uri="{28A0092B-C50C-407E-A947-70E740481C1C}">
                          <a14:useLocalDpi xmlns:a14="http://schemas.microsoft.com/office/drawing/2010/main" val="0"/>
                        </a:ext>
                      </a:extLst>
                    </a:blip>
                    <a:stretch>
                      <a:fillRect/>
                    </a:stretch>
                  </pic:blipFill>
                  <pic:spPr>
                    <a:xfrm>
                      <a:off x="0" y="0"/>
                      <a:ext cx="5767070" cy="2920365"/>
                    </a:xfrm>
                    <a:prstGeom prst="rect">
                      <a:avLst/>
                    </a:prstGeom>
                  </pic:spPr>
                </pic:pic>
              </a:graphicData>
            </a:graphic>
          </wp:inline>
        </w:drawing>
      </w:r>
    </w:p>
    <w:p w14:paraId="3A0CEDCB" w14:textId="5603FDD9" w:rsidR="003B6AE1" w:rsidRPr="008A0812" w:rsidRDefault="003B6AE1" w:rsidP="00AF40CB">
      <w:pPr>
        <w:pStyle w:val="FigureHeading"/>
      </w:pPr>
      <w:bookmarkStart w:id="172" w:name="_Ref36215478"/>
      <w:bookmarkStart w:id="173" w:name="_Toc41684670"/>
      <w:r w:rsidRPr="008A0812">
        <w:t xml:space="preserve">Figure </w:t>
      </w:r>
      <w:fldSimple w:instr=" STYLEREF 1 \s ">
        <w:r w:rsidR="00AA68F8">
          <w:rPr>
            <w:noProof/>
          </w:rPr>
          <w:t>3</w:t>
        </w:r>
      </w:fldSimple>
      <w:r w:rsidR="00B233D1">
        <w:noBreakHyphen/>
      </w:r>
      <w:fldSimple w:instr=" SEQ Figure \* ARABIC \s 1 ">
        <w:r w:rsidR="00AA68F8">
          <w:rPr>
            <w:noProof/>
          </w:rPr>
          <w:t>6</w:t>
        </w:r>
      </w:fldSimple>
      <w:bookmarkEnd w:id="172"/>
      <w:r w:rsidRPr="008A0812">
        <w:t>: Assets Selected for the Focused Condition Assessment</w:t>
      </w:r>
      <w:bookmarkEnd w:id="173"/>
    </w:p>
    <w:p w14:paraId="05303277" w14:textId="7623594B" w:rsidR="00A27152" w:rsidRPr="008A0812" w:rsidRDefault="003A30C9" w:rsidP="00A27152">
      <w:pPr>
        <w:jc w:val="center"/>
      </w:pPr>
      <w:r w:rsidRPr="008A0812">
        <w:rPr>
          <w:noProof/>
        </w:rPr>
        <w:drawing>
          <wp:inline distT="0" distB="0" distL="0" distR="0" wp14:anchorId="45257D78" wp14:editId="636EE5F4">
            <wp:extent cx="5705475" cy="3476625"/>
            <wp:effectExtent l="0" t="0" r="9525" b="9525"/>
            <wp:docPr id="227" name="Chart 227">
              <a:extLst xmlns:a="http://schemas.openxmlformats.org/drawingml/2006/main">
                <a:ext uri="{FF2B5EF4-FFF2-40B4-BE49-F238E27FC236}">
                  <a16:creationId xmlns:a16="http://schemas.microsoft.com/office/drawing/2014/main" id="{AAE4E8CF-0602-4F17-9610-F66515FDC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D608E46" w14:textId="79A06BA2" w:rsidR="00A27152" w:rsidRPr="008A0812" w:rsidRDefault="004B35C1" w:rsidP="004B35C1">
      <w:pPr>
        <w:pStyle w:val="Heading2"/>
      </w:pPr>
      <w:bookmarkStart w:id="174" w:name="_Toc41680836"/>
      <w:r w:rsidRPr="008A0812">
        <w:t>Field Condition Assessment Approach</w:t>
      </w:r>
      <w:bookmarkEnd w:id="174"/>
    </w:p>
    <w:p w14:paraId="0B827685" w14:textId="4247A39E" w:rsidR="004B35C1" w:rsidRPr="008A0812" w:rsidRDefault="004B35C1" w:rsidP="004B35C1">
      <w:pPr>
        <w:pStyle w:val="BodyText"/>
      </w:pPr>
      <w:r w:rsidRPr="008A0812">
        <w:t>A field inventory to close data gaps in the preliminary asset register and a Level 1 visual condition assessment of approximately 30% of the WRP assets was conducted.</w:t>
      </w:r>
      <w:r w:rsidR="003A30C9" w:rsidRPr="008A0812">
        <w:t xml:space="preserve"> </w:t>
      </w:r>
      <w:r w:rsidRPr="008A0812">
        <w:t xml:space="preserve">Condition assessment is a combination of field performance and design assessments of assets followed by implementation of the condition scoring process to assign a condition grade to each asset. </w:t>
      </w:r>
    </w:p>
    <w:p w14:paraId="27097F0B" w14:textId="4099157A" w:rsidR="004B35C1" w:rsidRPr="008A0812" w:rsidRDefault="004B35C1" w:rsidP="004B35C1">
      <w:pPr>
        <w:pStyle w:val="BodyText"/>
      </w:pPr>
      <w:r w:rsidRPr="008A0812">
        <w:t>Hazen performed an inventory of all assets and a focused condition assessment of about 30% of the assets within the SBWRP</w:t>
      </w:r>
      <w:r w:rsidR="006825ED">
        <w:t>.</w:t>
      </w:r>
      <w:r w:rsidRPr="008A0812">
        <w:t xml:space="preserve"> A Level 1 (visual) condition assessment was conducted to assess the mechanical, electrical and structural conditions of assets at WRP. The condition of assets, system redundancies, installation years, quantities, and O&amp;M assessment/needs were identified during the on-site focused facility condition assessment. Additionally, inputs from SBMWD staff as to when the asset was last serviced were used to complete the focused condition assessment.</w:t>
      </w:r>
    </w:p>
    <w:p w14:paraId="1A4E2CCD" w14:textId="6D4B767B" w:rsidR="004B35C1" w:rsidRPr="008A0812" w:rsidRDefault="004B35C1" w:rsidP="004B35C1">
      <w:pPr>
        <w:pStyle w:val="BodyText"/>
      </w:pPr>
      <w:r w:rsidRPr="008A0812">
        <w:t>Asset condition was determined via visual inspection.</w:t>
      </w:r>
      <w:r w:rsidR="003A30C9" w:rsidRPr="008A0812">
        <w:t xml:space="preserve"> </w:t>
      </w:r>
      <w:r w:rsidRPr="008A0812">
        <w:t xml:space="preserve">Field observations were recorded by analysts on mobile devices utilizing customized condition assessment forms. The condition scoring system and mobile devices with electronic forms are presented in </w:t>
      </w:r>
      <w:r w:rsidR="003B6AE1" w:rsidRPr="008A0812">
        <w:fldChar w:fldCharType="begin"/>
      </w:r>
      <w:r w:rsidR="003B6AE1" w:rsidRPr="008A0812">
        <w:instrText xml:space="preserve"> REF _Ref36215567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7</w:t>
      </w:r>
      <w:r w:rsidR="003B6AE1" w:rsidRPr="008A0812">
        <w:fldChar w:fldCharType="end"/>
      </w:r>
      <w:r w:rsidRPr="008A0812">
        <w:t>. This system uses a rating range from 1 (Excellent condition) to 5 (Poor condition). Descriptions for each rating enable analysts to assign ratings consistently to assets.</w:t>
      </w:r>
      <w:r w:rsidR="003A30C9" w:rsidRPr="008A0812">
        <w:t xml:space="preserve"> </w:t>
      </w:r>
      <w:r w:rsidRPr="008A0812">
        <w:t xml:space="preserve">The data collected for each asset, including photographs of the assets, notes taken during the condition assessment, condition scores for specific attributes, inspection checklists, etc., were stored digitally. </w:t>
      </w:r>
      <w:r w:rsidR="003B6AE1" w:rsidRPr="008A0812">
        <w:fldChar w:fldCharType="begin"/>
      </w:r>
      <w:r w:rsidR="003B6AE1" w:rsidRPr="008A0812">
        <w:instrText xml:space="preserve"> REF _Ref36215576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8</w:t>
      </w:r>
      <w:r w:rsidR="003B6AE1" w:rsidRPr="008A0812">
        <w:fldChar w:fldCharType="end"/>
      </w:r>
      <w:r w:rsidR="006825ED">
        <w:t xml:space="preserve"> </w:t>
      </w:r>
      <w:r w:rsidRPr="008A0812">
        <w:t xml:space="preserve">shows a portion of the inspection checklists for Mechanical, Electrical, Instrumentation and Structural assets. The complete checklist for each discipline can be found in Appendix </w:t>
      </w:r>
      <w:r w:rsidR="007A6DB8" w:rsidRPr="008A0812">
        <w:t>B</w:t>
      </w:r>
      <w:r w:rsidRPr="008A0812">
        <w:t>.</w:t>
      </w:r>
    </w:p>
    <w:p w14:paraId="675B062C" w14:textId="77777777" w:rsidR="004B35C1" w:rsidRPr="008A0812" w:rsidRDefault="004B35C1">
      <w:pPr>
        <w:overflowPunct/>
        <w:autoSpaceDE/>
        <w:autoSpaceDN/>
        <w:adjustRightInd/>
        <w:textAlignment w:val="auto"/>
        <w:rPr>
          <w:b/>
          <w:sz w:val="24"/>
        </w:rPr>
      </w:pPr>
      <w:r w:rsidRPr="008A0812">
        <w:br w:type="page"/>
      </w:r>
    </w:p>
    <w:p w14:paraId="4A2C6388" w14:textId="4D7A7978" w:rsidR="003B6AE1" w:rsidRPr="008A0812" w:rsidRDefault="003B6AE1" w:rsidP="00AF40CB">
      <w:pPr>
        <w:pStyle w:val="FigureHeading"/>
      </w:pPr>
      <w:bookmarkStart w:id="175" w:name="_Ref36215567"/>
      <w:bookmarkStart w:id="176" w:name="_Toc41684671"/>
      <w:r w:rsidRPr="008A0812">
        <w:t xml:space="preserve">Figure </w:t>
      </w:r>
      <w:fldSimple w:instr=" STYLEREF 1 \s ">
        <w:r w:rsidR="00AA68F8">
          <w:rPr>
            <w:noProof/>
          </w:rPr>
          <w:t>3</w:t>
        </w:r>
      </w:fldSimple>
      <w:r w:rsidR="00B233D1">
        <w:noBreakHyphen/>
      </w:r>
      <w:fldSimple w:instr=" SEQ Figure \* ARABIC \s 1 ">
        <w:r w:rsidR="00AA68F8">
          <w:rPr>
            <w:noProof/>
          </w:rPr>
          <w:t>7</w:t>
        </w:r>
      </w:fldSimple>
      <w:bookmarkEnd w:id="175"/>
      <w:r w:rsidRPr="008A0812">
        <w:t>: Mobile Data Collection Tools and Scoring Guide</w:t>
      </w:r>
      <w:bookmarkEnd w:id="176"/>
    </w:p>
    <w:p w14:paraId="47E96513" w14:textId="6ABC7D40" w:rsidR="004B35C1" w:rsidRPr="008A0812" w:rsidRDefault="00566E93" w:rsidP="004B35C1">
      <w:pPr>
        <w:overflowPunct/>
        <w:spacing w:before="240" w:line="280" w:lineRule="atLeast"/>
        <w:textAlignment w:val="auto"/>
        <w:rPr>
          <w:rFonts w:ascii="Times New Roman" w:hAnsi="Times New Roman" w:cs="TimesNewRomanPSMT"/>
          <w:color w:val="000000"/>
          <w:szCs w:val="21"/>
        </w:rPr>
      </w:pPr>
      <w:r>
        <w:rPr>
          <w:noProof/>
        </w:rPr>
        <w:drawing>
          <wp:anchor distT="0" distB="0" distL="114300" distR="114300" simplePos="0" relativeHeight="251658246" behindDoc="0" locked="0" layoutInCell="1" allowOverlap="1" wp14:anchorId="5856A3F6" wp14:editId="656061F0">
            <wp:simplePos x="0" y="0"/>
            <wp:positionH relativeFrom="margin">
              <wp:posOffset>-17253</wp:posOffset>
            </wp:positionH>
            <wp:positionV relativeFrom="margin">
              <wp:posOffset>500332</wp:posOffset>
            </wp:positionV>
            <wp:extent cx="2330450" cy="223393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30450" cy="2233930"/>
                    </a:xfrm>
                    <a:prstGeom prst="rect">
                      <a:avLst/>
                    </a:prstGeom>
                  </pic:spPr>
                </pic:pic>
              </a:graphicData>
            </a:graphic>
            <wp14:sizeRelH relativeFrom="margin">
              <wp14:pctWidth>0</wp14:pctWidth>
            </wp14:sizeRelH>
            <wp14:sizeRelV relativeFrom="margin">
              <wp14:pctHeight>0</wp14:pctHeight>
            </wp14:sizeRelV>
          </wp:anchor>
        </w:drawing>
      </w:r>
      <w:r w:rsidR="003A30C9" w:rsidRPr="3C8A962A">
        <w:rPr>
          <w:rFonts w:ascii="Times New Roman" w:hAnsi="Times New Roman" w:cs="TimesNewRomanPSMT"/>
          <w:color w:val="000000" w:themeColor="text1"/>
        </w:rPr>
        <w:t xml:space="preserve">    </w:t>
      </w:r>
      <w:r w:rsidR="004B35C1">
        <w:rPr>
          <w:noProof/>
        </w:rPr>
        <w:drawing>
          <wp:inline distT="0" distB="0" distL="0" distR="0" wp14:anchorId="5A9F2FD3" wp14:editId="7DA17A5D">
            <wp:extent cx="3390900" cy="2686050"/>
            <wp:effectExtent l="0" t="0" r="0" b="0"/>
            <wp:docPr id="134653059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45">
                      <a:extLst>
                        <a:ext uri="{28A0092B-C50C-407E-A947-70E740481C1C}">
                          <a14:useLocalDpi xmlns:a14="http://schemas.microsoft.com/office/drawing/2010/main" val="0"/>
                        </a:ext>
                      </a:extLst>
                    </a:blip>
                    <a:stretch>
                      <a:fillRect/>
                    </a:stretch>
                  </pic:blipFill>
                  <pic:spPr>
                    <a:xfrm>
                      <a:off x="0" y="0"/>
                      <a:ext cx="3390900" cy="2686050"/>
                    </a:xfrm>
                    <a:prstGeom prst="rect">
                      <a:avLst/>
                    </a:prstGeom>
                  </pic:spPr>
                </pic:pic>
              </a:graphicData>
            </a:graphic>
          </wp:inline>
        </w:drawing>
      </w:r>
    </w:p>
    <w:p w14:paraId="15B5B4BB" w14:textId="54ECA7BA" w:rsidR="003B6AE1" w:rsidRPr="008A0812" w:rsidRDefault="003B6AE1" w:rsidP="00AF40CB">
      <w:pPr>
        <w:pStyle w:val="FigureHeading"/>
      </w:pPr>
      <w:bookmarkStart w:id="177" w:name="_Ref36215576"/>
      <w:bookmarkStart w:id="178" w:name="_Toc41684672"/>
      <w:r w:rsidRPr="008A0812">
        <w:t xml:space="preserve">Figure </w:t>
      </w:r>
      <w:fldSimple w:instr=" STYLEREF 1 \s ">
        <w:r w:rsidR="00AA68F8">
          <w:rPr>
            <w:noProof/>
          </w:rPr>
          <w:t>3</w:t>
        </w:r>
      </w:fldSimple>
      <w:r w:rsidR="00B233D1">
        <w:noBreakHyphen/>
      </w:r>
      <w:fldSimple w:instr=" SEQ Figure \* ARABIC \s 1 ">
        <w:r w:rsidR="00AA68F8">
          <w:rPr>
            <w:noProof/>
          </w:rPr>
          <w:t>8</w:t>
        </w:r>
      </w:fldSimple>
      <w:bookmarkEnd w:id="177"/>
      <w:r w:rsidRPr="008A0812">
        <w:t>: Inspection Checklists for Mechanical, Electrical, Instrumentation and Structural Assets</w:t>
      </w:r>
      <w:bookmarkEnd w:id="178"/>
    </w:p>
    <w:p w14:paraId="5FF4661C" w14:textId="3D9A215C" w:rsidR="004B35C1" w:rsidRPr="008A0812" w:rsidRDefault="003A30C9" w:rsidP="00461BF5">
      <w:pPr>
        <w:overflowPunct/>
        <w:autoSpaceDE/>
        <w:autoSpaceDN/>
        <w:adjustRightInd/>
        <w:jc w:val="center"/>
        <w:textAlignment w:val="auto"/>
        <w:rPr>
          <w:rFonts w:ascii="Cambria" w:eastAsia="MS Mincho" w:hAnsi="Cambria" w:cs="Arial"/>
          <w:noProof/>
          <w:sz w:val="24"/>
          <w:szCs w:val="24"/>
        </w:rPr>
      </w:pPr>
      <w:r w:rsidRPr="3C8A962A">
        <w:rPr>
          <w:rFonts w:ascii="Cambria" w:eastAsia="MS Mincho" w:hAnsi="Cambria" w:cs="Arial"/>
          <w:noProof/>
          <w:sz w:val="24"/>
          <w:szCs w:val="24"/>
        </w:rPr>
        <w:t xml:space="preserve"> </w:t>
      </w:r>
      <w:r w:rsidR="007E5FA3">
        <w:rPr>
          <w:noProof/>
        </w:rPr>
        <w:drawing>
          <wp:inline distT="0" distB="0" distL="0" distR="0" wp14:anchorId="08FD1489" wp14:editId="6E7AB8C4">
            <wp:extent cx="2565443" cy="335661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78251" cy="3373368"/>
                    </a:xfrm>
                    <a:prstGeom prst="rect">
                      <a:avLst/>
                    </a:prstGeom>
                  </pic:spPr>
                </pic:pic>
              </a:graphicData>
            </a:graphic>
          </wp:inline>
        </w:drawing>
      </w:r>
      <w:r w:rsidRPr="3C8A962A">
        <w:rPr>
          <w:rFonts w:ascii="Cambria" w:eastAsia="MS Mincho" w:hAnsi="Cambria" w:cs="Arial"/>
          <w:noProof/>
          <w:sz w:val="24"/>
          <w:szCs w:val="24"/>
        </w:rPr>
        <w:t xml:space="preserve">  </w:t>
      </w:r>
      <w:r w:rsidR="004B35C1">
        <w:rPr>
          <w:noProof/>
        </w:rPr>
        <w:drawing>
          <wp:inline distT="0" distB="0" distL="0" distR="0" wp14:anchorId="79BFA0B7" wp14:editId="541F57F1">
            <wp:extent cx="2447925" cy="3333750"/>
            <wp:effectExtent l="0" t="0" r="9525" b="0"/>
            <wp:docPr id="14122711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47925" cy="3333750"/>
                    </a:xfrm>
                    <a:prstGeom prst="rect">
                      <a:avLst/>
                    </a:prstGeom>
                  </pic:spPr>
                </pic:pic>
              </a:graphicData>
            </a:graphic>
          </wp:inline>
        </w:drawing>
      </w:r>
    </w:p>
    <w:p w14:paraId="3DFE1943" w14:textId="77777777" w:rsidR="004B35C1" w:rsidRPr="008A0812" w:rsidRDefault="004B35C1" w:rsidP="004B35C1">
      <w:pPr>
        <w:overflowPunct/>
        <w:autoSpaceDE/>
        <w:autoSpaceDN/>
        <w:adjustRightInd/>
        <w:textAlignment w:val="auto"/>
        <w:rPr>
          <w:rFonts w:ascii="Cambria" w:eastAsia="MS Mincho" w:hAnsi="Cambria" w:cs="Arial"/>
          <w:noProof/>
          <w:sz w:val="24"/>
          <w:szCs w:val="24"/>
        </w:rPr>
      </w:pPr>
    </w:p>
    <w:p w14:paraId="581BF80E" w14:textId="72252DA2" w:rsidR="004B35C1" w:rsidRPr="008A0812" w:rsidRDefault="004B35C1" w:rsidP="004B35C1">
      <w:pPr>
        <w:overflowPunct/>
        <w:autoSpaceDE/>
        <w:autoSpaceDN/>
        <w:adjustRightInd/>
        <w:jc w:val="center"/>
        <w:textAlignment w:val="auto"/>
        <w:rPr>
          <w:rFonts w:ascii="Cambria" w:eastAsia="MS Mincho" w:hAnsi="Cambria" w:cs="Arial"/>
          <w:noProof/>
          <w:sz w:val="24"/>
          <w:szCs w:val="24"/>
        </w:rPr>
      </w:pPr>
      <w:r w:rsidRPr="008A0812">
        <w:rPr>
          <w:rFonts w:ascii="Cambria" w:eastAsia="MS Mincho" w:hAnsi="Cambria" w:cs="Arial"/>
          <w:noProof/>
          <w:sz w:val="24"/>
          <w:szCs w:val="24"/>
        </w:rPr>
        <w:drawing>
          <wp:inline distT="0" distB="0" distL="0" distR="0" wp14:anchorId="67B27B7E" wp14:editId="45388E34">
            <wp:extent cx="2533650" cy="2971800"/>
            <wp:effectExtent l="0" t="0" r="0" b="0"/>
            <wp:docPr id="2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t="16064"/>
                    <a:stretch>
                      <a:fillRect/>
                    </a:stretch>
                  </pic:blipFill>
                  <pic:spPr bwMode="auto">
                    <a:xfrm>
                      <a:off x="0" y="0"/>
                      <a:ext cx="2533650" cy="2971800"/>
                    </a:xfrm>
                    <a:prstGeom prst="rect">
                      <a:avLst/>
                    </a:prstGeom>
                    <a:noFill/>
                    <a:ln>
                      <a:noFill/>
                    </a:ln>
                  </pic:spPr>
                </pic:pic>
              </a:graphicData>
            </a:graphic>
          </wp:inline>
        </w:drawing>
      </w:r>
      <w:r w:rsidR="003A30C9" w:rsidRPr="008A0812">
        <w:rPr>
          <w:rFonts w:ascii="Cambria" w:eastAsia="MS Mincho" w:hAnsi="Cambria" w:cs="Arial"/>
          <w:noProof/>
          <w:sz w:val="24"/>
          <w:szCs w:val="24"/>
        </w:rPr>
        <w:t xml:space="preserve">  </w:t>
      </w:r>
      <w:r w:rsidRPr="008A0812">
        <w:rPr>
          <w:rFonts w:ascii="Cambria" w:eastAsia="MS Mincho" w:hAnsi="Cambria" w:cs="Arial"/>
          <w:noProof/>
          <w:sz w:val="24"/>
          <w:szCs w:val="24"/>
        </w:rPr>
        <w:t xml:space="preserve"> </w:t>
      </w:r>
      <w:r w:rsidRPr="008A0812">
        <w:rPr>
          <w:rFonts w:ascii="Cambria" w:eastAsia="MS Mincho" w:hAnsi="Cambria" w:cs="Arial"/>
          <w:noProof/>
          <w:sz w:val="24"/>
          <w:szCs w:val="24"/>
        </w:rPr>
        <w:drawing>
          <wp:inline distT="0" distB="0" distL="0" distR="0" wp14:anchorId="25B43D47" wp14:editId="0E9FA536">
            <wp:extent cx="2400300" cy="2990850"/>
            <wp:effectExtent l="0" t="0" r="0" b="0"/>
            <wp:docPr id="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0300" cy="2990850"/>
                    </a:xfrm>
                    <a:prstGeom prst="rect">
                      <a:avLst/>
                    </a:prstGeom>
                    <a:noFill/>
                    <a:ln>
                      <a:noFill/>
                    </a:ln>
                  </pic:spPr>
                </pic:pic>
              </a:graphicData>
            </a:graphic>
          </wp:inline>
        </w:drawing>
      </w:r>
    </w:p>
    <w:p w14:paraId="4A2B9341" w14:textId="59E5051F" w:rsidR="004B35C1" w:rsidRPr="008A0812" w:rsidRDefault="004B35C1" w:rsidP="004B35C1">
      <w:pPr>
        <w:pStyle w:val="BodyText"/>
      </w:pPr>
      <w:r w:rsidRPr="008A0812">
        <w:t>All data collected for each asset, including photographs of facility assets, the inspectors’ notes, condition scores, inspection checklists, etc., were stored digitally and can be exported in a variety of formats. The Hazen Facilities Inspection forms were provided as a deliverable to SBMWD enabling staff to easily continue to periodically collect condition information and update the asset inventory.</w:t>
      </w:r>
    </w:p>
    <w:p w14:paraId="420268E7" w14:textId="38D52F53" w:rsidR="004B35C1" w:rsidRPr="008A0812" w:rsidRDefault="004B35C1" w:rsidP="004B35C1">
      <w:pPr>
        <w:pStyle w:val="Heading2"/>
      </w:pPr>
      <w:bookmarkStart w:id="179" w:name="_Toc41680837"/>
      <w:r w:rsidRPr="008A0812">
        <w:t>Field Condition Assessment Results</w:t>
      </w:r>
      <w:bookmarkEnd w:id="179"/>
    </w:p>
    <w:p w14:paraId="658547DC" w14:textId="2F533335" w:rsidR="004B35C1" w:rsidRPr="008A0812" w:rsidRDefault="004B35C1" w:rsidP="004B35C1">
      <w:pPr>
        <w:pStyle w:val="BodyText"/>
      </w:pPr>
      <w:r w:rsidRPr="008A0812">
        <w:t>A total of 2,995 assets were inspected and assigned a condition score.</w:t>
      </w:r>
      <w:r w:rsidR="003A30C9" w:rsidRPr="008A0812">
        <w:t xml:space="preserve"> </w:t>
      </w:r>
      <w:r w:rsidRPr="008A0812">
        <w:t xml:space="preserve">This included 850 assets identified during the desktop and workshop analysis and another 2,145 identified in the field for inspection based on the criteria described in </w:t>
      </w:r>
      <w:r w:rsidR="003B6AE1" w:rsidRPr="008A0812">
        <w:fldChar w:fldCharType="begin"/>
      </w:r>
      <w:r w:rsidR="003B6AE1" w:rsidRPr="008A0812">
        <w:instrText xml:space="preserve"> REF _Ref36215388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2</w:t>
      </w:r>
      <w:r w:rsidR="003B6AE1" w:rsidRPr="008A0812">
        <w:fldChar w:fldCharType="end"/>
      </w:r>
      <w:r w:rsidRPr="008A0812">
        <w:t xml:space="preserve">. </w:t>
      </w:r>
      <w:r w:rsidR="003B6AE1" w:rsidRPr="008A0812">
        <w:fldChar w:fldCharType="begin"/>
      </w:r>
      <w:r w:rsidR="003B6AE1" w:rsidRPr="008A0812">
        <w:instrText xml:space="preserve"> REF _Ref36215624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9</w:t>
      </w:r>
      <w:r w:rsidR="003B6AE1" w:rsidRPr="008A0812">
        <w:fldChar w:fldCharType="end"/>
      </w:r>
      <w:r w:rsidR="003B6AE1" w:rsidRPr="008A0812">
        <w:t xml:space="preserve"> </w:t>
      </w:r>
      <w:r w:rsidRPr="008A0812">
        <w:t>provides a summary of the condition assessment results.</w:t>
      </w:r>
    </w:p>
    <w:p w14:paraId="2D72047C" w14:textId="4D6A7486" w:rsidR="003B6AE1" w:rsidRPr="008A0812" w:rsidRDefault="003B6AE1" w:rsidP="003B6AE1">
      <w:pPr>
        <w:pStyle w:val="FigureHeading"/>
      </w:pPr>
      <w:bookmarkStart w:id="180" w:name="_Ref36215624"/>
      <w:bookmarkStart w:id="181" w:name="_Toc36413932"/>
      <w:bookmarkStart w:id="182" w:name="_Toc41684673"/>
      <w:r w:rsidRPr="008A0812">
        <w:t xml:space="preserve">Figure </w:t>
      </w:r>
      <w:fldSimple w:instr=" STYLEREF 1 \s ">
        <w:r w:rsidR="00AA68F8">
          <w:rPr>
            <w:noProof/>
          </w:rPr>
          <w:t>3</w:t>
        </w:r>
      </w:fldSimple>
      <w:r w:rsidR="00B233D1">
        <w:noBreakHyphen/>
      </w:r>
      <w:fldSimple w:instr=" SEQ Figure \* ARABIC \s 1 ">
        <w:r w:rsidR="00AA68F8">
          <w:rPr>
            <w:noProof/>
          </w:rPr>
          <w:t>9</w:t>
        </w:r>
      </w:fldSimple>
      <w:bookmarkEnd w:id="180"/>
      <w:r w:rsidRPr="008A0812">
        <w:t>: Summary of Condition Assessment Results</w:t>
      </w:r>
      <w:bookmarkEnd w:id="181"/>
      <w:bookmarkEnd w:id="182"/>
    </w:p>
    <w:p w14:paraId="42D3AA28" w14:textId="017EEDCC" w:rsidR="004B35C1" w:rsidRPr="008A0812" w:rsidRDefault="003A30C9" w:rsidP="004B35C1">
      <w:pPr>
        <w:jc w:val="center"/>
      </w:pPr>
      <w:r w:rsidRPr="008A0812">
        <w:rPr>
          <w:noProof/>
        </w:rPr>
        <w:drawing>
          <wp:inline distT="0" distB="0" distL="0" distR="0" wp14:anchorId="7D7557FD" wp14:editId="19BD7D8C">
            <wp:extent cx="4535805" cy="2743200"/>
            <wp:effectExtent l="0" t="0" r="17145" b="0"/>
            <wp:docPr id="228" name="Chart 228">
              <a:extLst xmlns:a="http://schemas.openxmlformats.org/drawingml/2006/main">
                <a:ext uri="{FF2B5EF4-FFF2-40B4-BE49-F238E27FC236}">
                  <a16:creationId xmlns:a16="http://schemas.microsoft.com/office/drawing/2014/main" id="{FE731EEE-4620-4556-8E8F-A7A5F36997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62DDCF1" w14:textId="0D78FC77" w:rsidR="00F94153" w:rsidRPr="008A0812" w:rsidRDefault="00F94153" w:rsidP="00F94153">
      <w:pPr>
        <w:pStyle w:val="BodyText"/>
      </w:pPr>
      <w:r w:rsidRPr="008A0812">
        <w:t xml:space="preserve">As shown in </w:t>
      </w:r>
      <w:r w:rsidR="003B6AE1" w:rsidRPr="008A0812">
        <w:fldChar w:fldCharType="begin"/>
      </w:r>
      <w:r w:rsidR="003B6AE1" w:rsidRPr="008A0812">
        <w:instrText xml:space="preserve"> REF _Ref36215624 \h </w:instrText>
      </w:r>
      <w:r w:rsidR="008A0812">
        <w:instrText xml:space="preserve"> \* MERGEFORMAT </w:instrText>
      </w:r>
      <w:r w:rsidR="003B6AE1" w:rsidRPr="008A0812">
        <w:fldChar w:fldCharType="separate"/>
      </w:r>
      <w:r w:rsidR="00AA68F8" w:rsidRPr="008A0812">
        <w:t xml:space="preserve">Figure </w:t>
      </w:r>
      <w:r w:rsidR="00AA68F8">
        <w:rPr>
          <w:noProof/>
        </w:rPr>
        <w:t>3</w:t>
      </w:r>
      <w:r w:rsidR="00AA68F8">
        <w:rPr>
          <w:noProof/>
        </w:rPr>
        <w:noBreakHyphen/>
        <w:t>9</w:t>
      </w:r>
      <w:r w:rsidR="003B6AE1" w:rsidRPr="008A0812">
        <w:fldChar w:fldCharType="end"/>
      </w:r>
      <w:r w:rsidRPr="008A0812">
        <w:t>, the majority of assets inspected were found to be in “Average”, “Good” or “Excellent” condition.</w:t>
      </w:r>
    </w:p>
    <w:p w14:paraId="5882051B" w14:textId="18EF1D47" w:rsidR="00F94153" w:rsidRPr="008A0812" w:rsidRDefault="00F94153" w:rsidP="00F94153">
      <w:pPr>
        <w:pStyle w:val="BodyText"/>
      </w:pPr>
      <w:r w:rsidRPr="008A0812">
        <w:t xml:space="preserve">A total of 204 assets were found to be in “Fair” condition. </w:t>
      </w:r>
      <w:r w:rsidR="00FF5B28" w:rsidRPr="008A0812">
        <w:fldChar w:fldCharType="begin"/>
      </w:r>
      <w:r w:rsidR="00FF5B28" w:rsidRPr="008A0812">
        <w:instrText xml:space="preserve"> REF _Ref36216070 \h </w:instrText>
      </w:r>
      <w:r w:rsidR="008A0812">
        <w:instrText xml:space="preserve"> \* MERGEFORMAT </w:instrText>
      </w:r>
      <w:r w:rsidR="00FF5B28" w:rsidRPr="008A0812">
        <w:fldChar w:fldCharType="separate"/>
      </w:r>
      <w:r w:rsidR="00AA68F8" w:rsidRPr="008A0812">
        <w:t xml:space="preserve">Table </w:t>
      </w:r>
      <w:r w:rsidR="00AA68F8">
        <w:rPr>
          <w:noProof/>
        </w:rPr>
        <w:t>3</w:t>
      </w:r>
      <w:r w:rsidR="00AA68F8" w:rsidRPr="008A0812">
        <w:rPr>
          <w:noProof/>
        </w:rPr>
        <w:noBreakHyphen/>
      </w:r>
      <w:r w:rsidR="00AA68F8">
        <w:rPr>
          <w:noProof/>
        </w:rPr>
        <w:t>2</w:t>
      </w:r>
      <w:r w:rsidR="00FF5B28" w:rsidRPr="008A0812">
        <w:fldChar w:fldCharType="end"/>
      </w:r>
      <w:r w:rsidRPr="008A0812">
        <w:t xml:space="preserve"> and </w:t>
      </w:r>
      <w:r w:rsidR="00FF5B28" w:rsidRPr="008A0812">
        <w:fldChar w:fldCharType="begin"/>
      </w:r>
      <w:r w:rsidR="00FF5B28" w:rsidRPr="008A0812">
        <w:instrText xml:space="preserve"> REF _Ref36215706 \h </w:instrText>
      </w:r>
      <w:r w:rsidR="008A0812">
        <w:instrText xml:space="preserve"> \* MERGEFORMAT </w:instrText>
      </w:r>
      <w:r w:rsidR="00FF5B28" w:rsidRPr="008A0812">
        <w:fldChar w:fldCharType="separate"/>
      </w:r>
      <w:r w:rsidR="00AA68F8" w:rsidRPr="008A0812">
        <w:t xml:space="preserve">Figure </w:t>
      </w:r>
      <w:r w:rsidR="00AA68F8">
        <w:rPr>
          <w:noProof/>
        </w:rPr>
        <w:t>3</w:t>
      </w:r>
      <w:r w:rsidR="00AA68F8">
        <w:rPr>
          <w:noProof/>
        </w:rPr>
        <w:noBreakHyphen/>
        <w:t>10</w:t>
      </w:r>
      <w:r w:rsidR="00FF5B28" w:rsidRPr="008A0812">
        <w:fldChar w:fldCharType="end"/>
      </w:r>
      <w:r w:rsidRPr="008A0812">
        <w:t xml:space="preserve"> and </w:t>
      </w:r>
      <w:r w:rsidR="00FF5B28" w:rsidRPr="008A0812">
        <w:fldChar w:fldCharType="begin"/>
      </w:r>
      <w:r w:rsidR="00FF5B28" w:rsidRPr="008A0812">
        <w:instrText xml:space="preserve"> REF _Ref36216118 \h </w:instrText>
      </w:r>
      <w:r w:rsidR="008A0812">
        <w:instrText xml:space="preserve"> \* MERGEFORMAT </w:instrText>
      </w:r>
      <w:r w:rsidR="00FF5B28" w:rsidRPr="008A0812">
        <w:fldChar w:fldCharType="separate"/>
      </w:r>
      <w:r w:rsidR="00AA68F8" w:rsidRPr="008A0812">
        <w:t xml:space="preserve">Table </w:t>
      </w:r>
      <w:r w:rsidR="00AA68F8">
        <w:rPr>
          <w:noProof/>
        </w:rPr>
        <w:t>3</w:t>
      </w:r>
      <w:r w:rsidR="00AA68F8" w:rsidRPr="008A0812">
        <w:rPr>
          <w:noProof/>
        </w:rPr>
        <w:noBreakHyphen/>
      </w:r>
      <w:r w:rsidR="00AA68F8">
        <w:rPr>
          <w:noProof/>
        </w:rPr>
        <w:t>3</w:t>
      </w:r>
      <w:r w:rsidR="00FF5B28" w:rsidRPr="008A0812">
        <w:fldChar w:fldCharType="end"/>
      </w:r>
      <w:r w:rsidR="000B2279">
        <w:t>4</w:t>
      </w:r>
      <w:r w:rsidRPr="008A0812">
        <w:t xml:space="preserve"> provide the count of assets in Fair condition by location.</w:t>
      </w:r>
    </w:p>
    <w:p w14:paraId="762EFA9E" w14:textId="42A3C833" w:rsidR="004B35C1" w:rsidRPr="008A0812" w:rsidRDefault="00F94153" w:rsidP="00F94153">
      <w:pPr>
        <w:pStyle w:val="BodyText"/>
      </w:pPr>
      <w:r w:rsidRPr="008A0812">
        <w:t xml:space="preserve">As shown in </w:t>
      </w:r>
      <w:r w:rsidR="00FF5B28" w:rsidRPr="008A0812">
        <w:fldChar w:fldCharType="begin"/>
      </w:r>
      <w:r w:rsidR="00FF5B28" w:rsidRPr="008A0812">
        <w:instrText xml:space="preserve"> REF _Ref36216070 \h </w:instrText>
      </w:r>
      <w:r w:rsidR="008A0812">
        <w:instrText xml:space="preserve"> \* MERGEFORMAT </w:instrText>
      </w:r>
      <w:r w:rsidR="00FF5B28" w:rsidRPr="008A0812">
        <w:fldChar w:fldCharType="separate"/>
      </w:r>
      <w:r w:rsidR="00AA68F8" w:rsidRPr="008A0812">
        <w:t xml:space="preserve">Table </w:t>
      </w:r>
      <w:r w:rsidR="00AA68F8">
        <w:rPr>
          <w:noProof/>
        </w:rPr>
        <w:t>3</w:t>
      </w:r>
      <w:r w:rsidR="00AA68F8" w:rsidRPr="008A0812">
        <w:rPr>
          <w:noProof/>
        </w:rPr>
        <w:noBreakHyphen/>
      </w:r>
      <w:r w:rsidR="00AA68F8">
        <w:rPr>
          <w:noProof/>
        </w:rPr>
        <w:t>2</w:t>
      </w:r>
      <w:r w:rsidR="00FF5B28" w:rsidRPr="008A0812">
        <w:fldChar w:fldCharType="end"/>
      </w:r>
      <w:r w:rsidR="00D313E5">
        <w:t>3</w:t>
      </w:r>
      <w:r w:rsidRPr="008A0812">
        <w:t xml:space="preserve"> and </w:t>
      </w:r>
      <w:r w:rsidR="00FF5B28" w:rsidRPr="008A0812">
        <w:fldChar w:fldCharType="begin"/>
      </w:r>
      <w:r w:rsidR="00FF5B28" w:rsidRPr="008A0812">
        <w:instrText xml:space="preserve"> REF _Ref36215776 \h </w:instrText>
      </w:r>
      <w:r w:rsidR="008A0812">
        <w:instrText xml:space="preserve"> \* MERGEFORMAT </w:instrText>
      </w:r>
      <w:r w:rsidR="00FF5B28" w:rsidRPr="008A0812">
        <w:fldChar w:fldCharType="separate"/>
      </w:r>
      <w:r w:rsidR="00AA68F8" w:rsidRPr="008A0812">
        <w:t xml:space="preserve">Figure </w:t>
      </w:r>
      <w:r w:rsidR="00AA68F8">
        <w:rPr>
          <w:noProof/>
        </w:rPr>
        <w:t>3</w:t>
      </w:r>
      <w:r w:rsidR="00AA68F8">
        <w:rPr>
          <w:noProof/>
        </w:rPr>
        <w:noBreakHyphen/>
        <w:t>11</w:t>
      </w:r>
      <w:r w:rsidR="00FF5B28" w:rsidRPr="008A0812">
        <w:fldChar w:fldCharType="end"/>
      </w:r>
      <w:r w:rsidRPr="008A0812">
        <w:t>, a total of 97 assets were found to be in need of rehabilitation or replacement (condition score 5).</w:t>
      </w:r>
    </w:p>
    <w:p w14:paraId="1FBAF026" w14:textId="6EC566FC" w:rsidR="00FF5B28" w:rsidRPr="008A0812" w:rsidRDefault="00FF5B28" w:rsidP="00FF5B28">
      <w:pPr>
        <w:pStyle w:val="TableHeading"/>
      </w:pPr>
      <w:bookmarkStart w:id="183" w:name="_Ref36216070"/>
      <w:bookmarkStart w:id="184" w:name="_Toc36414041"/>
      <w:bookmarkStart w:id="185" w:name="_Toc41684742"/>
      <w:r w:rsidRPr="008A0812">
        <w:t xml:space="preserve">Table </w:t>
      </w:r>
      <w:r>
        <w:fldChar w:fldCharType="begin"/>
      </w:r>
      <w:r>
        <w:instrText>STYLEREF 1 \s</w:instrText>
      </w:r>
      <w:r>
        <w:fldChar w:fldCharType="separate"/>
      </w:r>
      <w:r w:rsidR="00AA68F8">
        <w:rPr>
          <w:noProof/>
        </w:rPr>
        <w:t>3</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183"/>
      <w:r w:rsidRPr="008A0812">
        <w:t>: Location of Assets with Condition Score 4</w:t>
      </w:r>
      <w:bookmarkEnd w:id="184"/>
      <w:bookmarkEnd w:id="185"/>
    </w:p>
    <w:tbl>
      <w:tblPr>
        <w:tblW w:w="93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832"/>
        <w:gridCol w:w="2499"/>
      </w:tblGrid>
      <w:tr w:rsidR="00BA65D6" w:rsidRPr="008A0812" w14:paraId="45FE8B62" w14:textId="77777777" w:rsidTr="00FF5B28">
        <w:trPr>
          <w:cantSplit/>
          <w:trHeight w:val="288"/>
          <w:tblHeader/>
        </w:trPr>
        <w:tc>
          <w:tcPr>
            <w:tcW w:w="6832" w:type="dxa"/>
            <w:shd w:val="clear" w:color="auto" w:fill="BFBFBF"/>
            <w:vAlign w:val="center"/>
            <w:hideMark/>
          </w:tcPr>
          <w:p w14:paraId="5EC28848" w14:textId="006A85B6" w:rsidR="00BA65D6" w:rsidRPr="008A0812" w:rsidRDefault="00BA65D6" w:rsidP="003A30C9">
            <w:pPr>
              <w:overflowPunct/>
              <w:autoSpaceDE/>
              <w:autoSpaceDN/>
              <w:adjustRightInd/>
              <w:jc w:val="center"/>
              <w:rPr>
                <w:b/>
                <w:bCs/>
              </w:rPr>
            </w:pPr>
            <w:r w:rsidRPr="008A0812">
              <w:rPr>
                <w:b/>
                <w:bCs/>
              </w:rPr>
              <w:t>Location of Assets with Condition Score 4</w:t>
            </w:r>
          </w:p>
        </w:tc>
        <w:tc>
          <w:tcPr>
            <w:tcW w:w="2499" w:type="dxa"/>
            <w:shd w:val="clear" w:color="auto" w:fill="BFBFBF"/>
            <w:vAlign w:val="center"/>
            <w:hideMark/>
          </w:tcPr>
          <w:p w14:paraId="67F30A6B" w14:textId="57047120" w:rsidR="00BA65D6" w:rsidRPr="008A0812" w:rsidRDefault="00BA65D6" w:rsidP="003A30C9">
            <w:pPr>
              <w:overflowPunct/>
              <w:autoSpaceDE/>
              <w:autoSpaceDN/>
              <w:adjustRightInd/>
              <w:jc w:val="center"/>
              <w:rPr>
                <w:rFonts w:ascii="Times New Roman" w:hAnsi="Times New Roman"/>
                <w:sz w:val="24"/>
                <w:szCs w:val="24"/>
              </w:rPr>
            </w:pPr>
            <w:r w:rsidRPr="008A0812">
              <w:rPr>
                <w:b/>
                <w:bCs/>
              </w:rPr>
              <w:t>Count of Assets</w:t>
            </w:r>
          </w:p>
        </w:tc>
      </w:tr>
      <w:tr w:rsidR="00BA65D6" w:rsidRPr="008A0812" w14:paraId="2315A0E8" w14:textId="77777777" w:rsidTr="00BA65D6">
        <w:trPr>
          <w:trHeight w:val="288"/>
        </w:trPr>
        <w:tc>
          <w:tcPr>
            <w:tcW w:w="6832" w:type="dxa"/>
            <w:vAlign w:val="center"/>
          </w:tcPr>
          <w:p w14:paraId="51361B52" w14:textId="09671F6E"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Dewatering &amp; Thickening (D&amp;T) Building</w:t>
            </w:r>
          </w:p>
        </w:tc>
        <w:tc>
          <w:tcPr>
            <w:tcW w:w="2499" w:type="dxa"/>
            <w:vAlign w:val="center"/>
          </w:tcPr>
          <w:p w14:paraId="23C30822" w14:textId="0CB41C17"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30</w:t>
            </w:r>
          </w:p>
        </w:tc>
      </w:tr>
      <w:tr w:rsidR="00BA65D6" w:rsidRPr="008A0812" w14:paraId="64E7F65F" w14:textId="77777777" w:rsidTr="00BA65D6">
        <w:trPr>
          <w:trHeight w:val="288"/>
        </w:trPr>
        <w:tc>
          <w:tcPr>
            <w:tcW w:w="6832" w:type="dxa"/>
            <w:vAlign w:val="center"/>
          </w:tcPr>
          <w:p w14:paraId="0FCAAAF1" w14:textId="6F695A66"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Unit 3 Primary Clarifiers</w:t>
            </w:r>
          </w:p>
        </w:tc>
        <w:tc>
          <w:tcPr>
            <w:tcW w:w="2499" w:type="dxa"/>
            <w:vAlign w:val="center"/>
          </w:tcPr>
          <w:p w14:paraId="6D0C9E0A" w14:textId="74A646D0"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25</w:t>
            </w:r>
          </w:p>
        </w:tc>
      </w:tr>
      <w:tr w:rsidR="00BA65D6" w:rsidRPr="008A0812" w14:paraId="33B14227" w14:textId="77777777" w:rsidTr="00BA65D6">
        <w:trPr>
          <w:trHeight w:val="288"/>
        </w:trPr>
        <w:tc>
          <w:tcPr>
            <w:tcW w:w="6832" w:type="dxa"/>
            <w:vAlign w:val="center"/>
          </w:tcPr>
          <w:p w14:paraId="31E3806A" w14:textId="0CBC178E"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Unit 2 Pump Station</w:t>
            </w:r>
          </w:p>
        </w:tc>
        <w:tc>
          <w:tcPr>
            <w:tcW w:w="2499" w:type="dxa"/>
            <w:vAlign w:val="center"/>
          </w:tcPr>
          <w:p w14:paraId="7FC23D8B" w14:textId="29F79D10"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23</w:t>
            </w:r>
          </w:p>
        </w:tc>
      </w:tr>
      <w:tr w:rsidR="00BA65D6" w:rsidRPr="008A0812" w14:paraId="7B9DEE25" w14:textId="77777777" w:rsidTr="00BA65D6">
        <w:trPr>
          <w:trHeight w:val="288"/>
        </w:trPr>
        <w:tc>
          <w:tcPr>
            <w:tcW w:w="6832" w:type="dxa"/>
            <w:vAlign w:val="center"/>
          </w:tcPr>
          <w:p w14:paraId="3243B453" w14:textId="06E81A46"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Arrowhead Lift Station</w:t>
            </w:r>
          </w:p>
        </w:tc>
        <w:tc>
          <w:tcPr>
            <w:tcW w:w="2499" w:type="dxa"/>
            <w:vAlign w:val="center"/>
          </w:tcPr>
          <w:p w14:paraId="6A69AC0A" w14:textId="1B514043"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19</w:t>
            </w:r>
          </w:p>
        </w:tc>
      </w:tr>
      <w:tr w:rsidR="00BA65D6" w:rsidRPr="008A0812" w14:paraId="380C8E62" w14:textId="77777777" w:rsidTr="00BA65D6">
        <w:trPr>
          <w:trHeight w:val="288"/>
        </w:trPr>
        <w:tc>
          <w:tcPr>
            <w:tcW w:w="6832" w:type="dxa"/>
            <w:vAlign w:val="center"/>
          </w:tcPr>
          <w:p w14:paraId="36B89BEB" w14:textId="10F3D26A"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Boiler Building</w:t>
            </w:r>
          </w:p>
        </w:tc>
        <w:tc>
          <w:tcPr>
            <w:tcW w:w="2499" w:type="dxa"/>
            <w:vAlign w:val="center"/>
          </w:tcPr>
          <w:p w14:paraId="63424DDA" w14:textId="171B0ED4"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12</w:t>
            </w:r>
          </w:p>
        </w:tc>
      </w:tr>
      <w:tr w:rsidR="00BA65D6" w:rsidRPr="008A0812" w14:paraId="7AA199FA" w14:textId="77777777" w:rsidTr="00BA65D6">
        <w:trPr>
          <w:trHeight w:val="288"/>
        </w:trPr>
        <w:tc>
          <w:tcPr>
            <w:tcW w:w="6832" w:type="dxa"/>
            <w:vAlign w:val="center"/>
          </w:tcPr>
          <w:p w14:paraId="42B6AA03" w14:textId="3257B648"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Dewatering Building &amp; Conveyors 1 &amp; 2</w:t>
            </w:r>
          </w:p>
        </w:tc>
        <w:tc>
          <w:tcPr>
            <w:tcW w:w="2499" w:type="dxa"/>
            <w:vAlign w:val="center"/>
          </w:tcPr>
          <w:p w14:paraId="74A4FB12" w14:textId="04148F3F"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11</w:t>
            </w:r>
          </w:p>
        </w:tc>
      </w:tr>
      <w:tr w:rsidR="00BA65D6" w:rsidRPr="008A0812" w14:paraId="4AE94751" w14:textId="77777777" w:rsidTr="00BA65D6">
        <w:trPr>
          <w:trHeight w:val="288"/>
        </w:trPr>
        <w:tc>
          <w:tcPr>
            <w:tcW w:w="6832" w:type="dxa"/>
            <w:vAlign w:val="center"/>
          </w:tcPr>
          <w:p w14:paraId="5DE9C8F1" w14:textId="03A50E70"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Unit 1 Aeration Basins</w:t>
            </w:r>
          </w:p>
        </w:tc>
        <w:tc>
          <w:tcPr>
            <w:tcW w:w="2499" w:type="dxa"/>
            <w:vAlign w:val="center"/>
          </w:tcPr>
          <w:p w14:paraId="6CCEB8CA" w14:textId="23C80827"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8</w:t>
            </w:r>
          </w:p>
        </w:tc>
      </w:tr>
      <w:tr w:rsidR="00BA65D6" w:rsidRPr="008A0812" w14:paraId="535D63BE" w14:textId="77777777" w:rsidTr="00BA65D6">
        <w:trPr>
          <w:trHeight w:val="288"/>
        </w:trPr>
        <w:tc>
          <w:tcPr>
            <w:tcW w:w="6832" w:type="dxa"/>
            <w:vAlign w:val="center"/>
          </w:tcPr>
          <w:p w14:paraId="4DE263D8" w14:textId="7FF99D19"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NRC Anoxic Basins</w:t>
            </w:r>
          </w:p>
        </w:tc>
        <w:tc>
          <w:tcPr>
            <w:tcW w:w="2499" w:type="dxa"/>
            <w:vAlign w:val="center"/>
          </w:tcPr>
          <w:p w14:paraId="011D3F6C" w14:textId="4BED96B6"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6</w:t>
            </w:r>
          </w:p>
        </w:tc>
      </w:tr>
      <w:tr w:rsidR="00BA65D6" w:rsidRPr="008A0812" w14:paraId="731A81CB" w14:textId="77777777" w:rsidTr="00BA65D6">
        <w:trPr>
          <w:trHeight w:val="288"/>
        </w:trPr>
        <w:tc>
          <w:tcPr>
            <w:tcW w:w="6832" w:type="dxa"/>
            <w:vAlign w:val="center"/>
          </w:tcPr>
          <w:p w14:paraId="1D87D5BA" w14:textId="526F75A5"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RS-1 Pump Station</w:t>
            </w:r>
          </w:p>
        </w:tc>
        <w:tc>
          <w:tcPr>
            <w:tcW w:w="2499" w:type="dxa"/>
            <w:vAlign w:val="center"/>
          </w:tcPr>
          <w:p w14:paraId="7F1EFA09" w14:textId="74BB9616"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5</w:t>
            </w:r>
          </w:p>
        </w:tc>
      </w:tr>
      <w:tr w:rsidR="00BA65D6" w:rsidRPr="008A0812" w14:paraId="43CC4764" w14:textId="77777777" w:rsidTr="00BA65D6">
        <w:trPr>
          <w:trHeight w:val="288"/>
        </w:trPr>
        <w:tc>
          <w:tcPr>
            <w:tcW w:w="6832" w:type="dxa"/>
            <w:vAlign w:val="center"/>
          </w:tcPr>
          <w:p w14:paraId="1FE09103" w14:textId="0E0B844A"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Nitrogen Removal Carousel</w:t>
            </w:r>
          </w:p>
        </w:tc>
        <w:tc>
          <w:tcPr>
            <w:tcW w:w="2499" w:type="dxa"/>
            <w:vAlign w:val="center"/>
          </w:tcPr>
          <w:p w14:paraId="0527E0D5" w14:textId="5B79BF41"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5</w:t>
            </w:r>
          </w:p>
        </w:tc>
      </w:tr>
      <w:tr w:rsidR="00BA65D6" w:rsidRPr="008A0812" w14:paraId="0DCC149F" w14:textId="77777777" w:rsidTr="00BA65D6">
        <w:trPr>
          <w:trHeight w:val="288"/>
        </w:trPr>
        <w:tc>
          <w:tcPr>
            <w:tcW w:w="6832" w:type="dxa"/>
            <w:vAlign w:val="center"/>
          </w:tcPr>
          <w:p w14:paraId="433470F4" w14:textId="485ED430"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North Outfall Structure</w:t>
            </w:r>
          </w:p>
        </w:tc>
        <w:tc>
          <w:tcPr>
            <w:tcW w:w="2499" w:type="dxa"/>
            <w:vAlign w:val="center"/>
          </w:tcPr>
          <w:p w14:paraId="4DDE1755" w14:textId="68AB04CA"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4</w:t>
            </w:r>
          </w:p>
        </w:tc>
      </w:tr>
      <w:tr w:rsidR="00BA65D6" w:rsidRPr="008A0812" w14:paraId="1DB7F2EE" w14:textId="77777777" w:rsidTr="00BA65D6">
        <w:trPr>
          <w:trHeight w:val="288"/>
        </w:trPr>
        <w:tc>
          <w:tcPr>
            <w:tcW w:w="6832" w:type="dxa"/>
            <w:vAlign w:val="center"/>
          </w:tcPr>
          <w:p w14:paraId="2D23D50B" w14:textId="6DFC7150"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Headworks Splitter Box</w:t>
            </w:r>
          </w:p>
        </w:tc>
        <w:tc>
          <w:tcPr>
            <w:tcW w:w="2499" w:type="dxa"/>
            <w:vAlign w:val="center"/>
          </w:tcPr>
          <w:p w14:paraId="52B0D8D1" w14:textId="03E3B3F8"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4</w:t>
            </w:r>
          </w:p>
        </w:tc>
      </w:tr>
      <w:tr w:rsidR="00BA65D6" w:rsidRPr="008A0812" w14:paraId="13EB4AD2" w14:textId="77777777" w:rsidTr="00BA65D6">
        <w:trPr>
          <w:trHeight w:val="288"/>
        </w:trPr>
        <w:tc>
          <w:tcPr>
            <w:tcW w:w="6832" w:type="dxa"/>
            <w:vAlign w:val="center"/>
          </w:tcPr>
          <w:p w14:paraId="01287217" w14:textId="30FBF43B"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Digester D</w:t>
            </w:r>
          </w:p>
        </w:tc>
        <w:tc>
          <w:tcPr>
            <w:tcW w:w="2499" w:type="dxa"/>
            <w:vAlign w:val="center"/>
          </w:tcPr>
          <w:p w14:paraId="07AD9993" w14:textId="517BEADD"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04CECE30" w14:textId="77777777" w:rsidTr="00BA65D6">
        <w:trPr>
          <w:trHeight w:val="288"/>
        </w:trPr>
        <w:tc>
          <w:tcPr>
            <w:tcW w:w="6832" w:type="dxa"/>
            <w:vAlign w:val="center"/>
          </w:tcPr>
          <w:p w14:paraId="346058D9" w14:textId="2B0AC015"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Dissolved Air Flotation Thickener (DAFT) 1</w:t>
            </w:r>
          </w:p>
        </w:tc>
        <w:tc>
          <w:tcPr>
            <w:tcW w:w="2499" w:type="dxa"/>
            <w:vAlign w:val="center"/>
          </w:tcPr>
          <w:p w14:paraId="6F3D3D1E" w14:textId="19EDFBDA"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4585F040" w14:textId="77777777" w:rsidTr="00BA65D6">
        <w:trPr>
          <w:trHeight w:val="288"/>
        </w:trPr>
        <w:tc>
          <w:tcPr>
            <w:tcW w:w="6832" w:type="dxa"/>
            <w:vAlign w:val="center"/>
          </w:tcPr>
          <w:p w14:paraId="7E5F9440" w14:textId="4A105ABE"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Secondary Administration Building</w:t>
            </w:r>
          </w:p>
        </w:tc>
        <w:tc>
          <w:tcPr>
            <w:tcW w:w="2499" w:type="dxa"/>
            <w:vAlign w:val="center"/>
          </w:tcPr>
          <w:p w14:paraId="33C75BD4" w14:textId="59E38C52"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2BF37C00" w14:textId="77777777" w:rsidTr="00BA65D6">
        <w:trPr>
          <w:trHeight w:val="288"/>
        </w:trPr>
        <w:tc>
          <w:tcPr>
            <w:tcW w:w="6832" w:type="dxa"/>
            <w:vAlign w:val="center"/>
          </w:tcPr>
          <w:p w14:paraId="74C5EC5C" w14:textId="78DC5884" w:rsidR="00BA65D6" w:rsidRPr="008A0812" w:rsidRDefault="00BA65D6" w:rsidP="00BA65D6">
            <w:pPr>
              <w:overflowPunct/>
              <w:autoSpaceDE/>
              <w:autoSpaceDN/>
              <w:adjustRightInd/>
              <w:jc w:val="center"/>
              <w:rPr>
                <w:rFonts w:asciiTheme="minorHAnsi" w:hAnsiTheme="minorHAnsi"/>
              </w:rPr>
            </w:pPr>
            <w:r w:rsidRPr="008A0812">
              <w:rPr>
                <w:rFonts w:asciiTheme="minorHAnsi" w:hAnsiTheme="minorHAnsi" w:cs="Arial"/>
                <w:color w:val="000000"/>
              </w:rPr>
              <w:t>Sludge Storage Odor Scrubber</w:t>
            </w:r>
          </w:p>
        </w:tc>
        <w:tc>
          <w:tcPr>
            <w:tcW w:w="2499" w:type="dxa"/>
            <w:vAlign w:val="center"/>
          </w:tcPr>
          <w:p w14:paraId="68098D6A" w14:textId="098B137D"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230A9D5E" w14:textId="77777777" w:rsidTr="00BA65D6">
        <w:trPr>
          <w:trHeight w:val="288"/>
        </w:trPr>
        <w:tc>
          <w:tcPr>
            <w:tcW w:w="6832" w:type="dxa"/>
            <w:vAlign w:val="center"/>
          </w:tcPr>
          <w:p w14:paraId="1CDCEF4D" w14:textId="383CC2DB" w:rsidR="00BA65D6" w:rsidRPr="008A0812" w:rsidRDefault="00BA65D6" w:rsidP="00BA65D6">
            <w:pPr>
              <w:overflowPunct/>
              <w:autoSpaceDE/>
              <w:autoSpaceDN/>
              <w:adjustRightInd/>
              <w:jc w:val="center"/>
              <w:rPr>
                <w:rFonts w:asciiTheme="minorHAnsi" w:hAnsiTheme="minorHAnsi" w:cs="Arial"/>
                <w:color w:val="000000"/>
              </w:rPr>
            </w:pPr>
            <w:r w:rsidRPr="008A0812">
              <w:rPr>
                <w:rFonts w:asciiTheme="minorHAnsi" w:hAnsiTheme="minorHAnsi" w:cs="Arial"/>
                <w:color w:val="000000"/>
              </w:rPr>
              <w:t>Burner Building</w:t>
            </w:r>
          </w:p>
        </w:tc>
        <w:tc>
          <w:tcPr>
            <w:tcW w:w="2499" w:type="dxa"/>
            <w:vAlign w:val="center"/>
          </w:tcPr>
          <w:p w14:paraId="62D52A99" w14:textId="377752E4"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0645980F" w14:textId="77777777" w:rsidTr="00BA65D6">
        <w:trPr>
          <w:trHeight w:val="288"/>
        </w:trPr>
        <w:tc>
          <w:tcPr>
            <w:tcW w:w="6832" w:type="dxa"/>
            <w:vAlign w:val="center"/>
          </w:tcPr>
          <w:p w14:paraId="599DF157" w14:textId="0E0C0BA0" w:rsidR="00BA65D6" w:rsidRPr="008A0812" w:rsidRDefault="00BA65D6" w:rsidP="00BA65D6">
            <w:pPr>
              <w:overflowPunct/>
              <w:autoSpaceDE/>
              <w:autoSpaceDN/>
              <w:adjustRightInd/>
              <w:jc w:val="center"/>
              <w:rPr>
                <w:rFonts w:asciiTheme="minorHAnsi" w:hAnsiTheme="minorHAnsi" w:cs="Arial"/>
                <w:color w:val="000000"/>
              </w:rPr>
            </w:pPr>
            <w:r w:rsidRPr="008A0812">
              <w:rPr>
                <w:rFonts w:asciiTheme="minorHAnsi" w:hAnsiTheme="minorHAnsi" w:cs="Arial"/>
                <w:color w:val="000000"/>
              </w:rPr>
              <w:t>Grit Chambers</w:t>
            </w:r>
          </w:p>
        </w:tc>
        <w:tc>
          <w:tcPr>
            <w:tcW w:w="2499" w:type="dxa"/>
            <w:vAlign w:val="center"/>
          </w:tcPr>
          <w:p w14:paraId="1B406CDA" w14:textId="77B3BC4F"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438EA54C" w14:textId="77777777" w:rsidTr="00BA65D6">
        <w:trPr>
          <w:trHeight w:val="288"/>
        </w:trPr>
        <w:tc>
          <w:tcPr>
            <w:tcW w:w="6832" w:type="dxa"/>
            <w:vAlign w:val="center"/>
          </w:tcPr>
          <w:p w14:paraId="15DDFA03" w14:textId="7F26B836" w:rsidR="00BA65D6" w:rsidRPr="008A0812" w:rsidRDefault="00BA65D6" w:rsidP="00BA65D6">
            <w:pPr>
              <w:overflowPunct/>
              <w:autoSpaceDE/>
              <w:autoSpaceDN/>
              <w:adjustRightInd/>
              <w:jc w:val="center"/>
              <w:rPr>
                <w:rFonts w:asciiTheme="minorHAnsi" w:hAnsiTheme="minorHAnsi" w:cs="Arial"/>
                <w:color w:val="000000"/>
              </w:rPr>
            </w:pPr>
            <w:r w:rsidRPr="008A0812">
              <w:rPr>
                <w:rFonts w:asciiTheme="minorHAnsi" w:hAnsiTheme="minorHAnsi" w:cs="Arial"/>
                <w:color w:val="000000"/>
              </w:rPr>
              <w:t>Bar Screen Building</w:t>
            </w:r>
          </w:p>
        </w:tc>
        <w:tc>
          <w:tcPr>
            <w:tcW w:w="2499" w:type="dxa"/>
            <w:vAlign w:val="center"/>
          </w:tcPr>
          <w:p w14:paraId="7FCD03CD" w14:textId="454C077A"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3</w:t>
            </w:r>
          </w:p>
        </w:tc>
      </w:tr>
      <w:tr w:rsidR="00BA65D6" w:rsidRPr="008A0812" w14:paraId="411042BB" w14:textId="77777777" w:rsidTr="00BA65D6">
        <w:trPr>
          <w:trHeight w:val="288"/>
        </w:trPr>
        <w:tc>
          <w:tcPr>
            <w:tcW w:w="6832" w:type="dxa"/>
            <w:vAlign w:val="center"/>
          </w:tcPr>
          <w:p w14:paraId="6F8035E3" w14:textId="0B75ED93" w:rsidR="00BA65D6" w:rsidRPr="008A0812" w:rsidRDefault="00BA65D6" w:rsidP="00BA65D6">
            <w:pPr>
              <w:overflowPunct/>
              <w:autoSpaceDE/>
              <w:autoSpaceDN/>
              <w:adjustRightInd/>
              <w:jc w:val="center"/>
              <w:rPr>
                <w:rFonts w:asciiTheme="minorHAnsi" w:hAnsiTheme="minorHAnsi" w:cs="Arial"/>
                <w:color w:val="000000"/>
              </w:rPr>
            </w:pPr>
            <w:r w:rsidRPr="008A0812">
              <w:rPr>
                <w:rFonts w:asciiTheme="minorHAnsi" w:hAnsiTheme="minorHAnsi" w:cs="Arial"/>
                <w:color w:val="000000"/>
              </w:rPr>
              <w:t>Digester A</w:t>
            </w:r>
          </w:p>
        </w:tc>
        <w:tc>
          <w:tcPr>
            <w:tcW w:w="2499" w:type="dxa"/>
            <w:vAlign w:val="center"/>
          </w:tcPr>
          <w:p w14:paraId="24A03A81" w14:textId="10C7B900"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2</w:t>
            </w:r>
          </w:p>
        </w:tc>
      </w:tr>
      <w:tr w:rsidR="00BA65D6" w:rsidRPr="008A0812" w14:paraId="241E3A13" w14:textId="77777777" w:rsidTr="00BA65D6">
        <w:trPr>
          <w:trHeight w:val="288"/>
        </w:trPr>
        <w:tc>
          <w:tcPr>
            <w:tcW w:w="6832" w:type="dxa"/>
            <w:tcBorders>
              <w:bottom w:val="single" w:sz="6" w:space="0" w:color="auto"/>
            </w:tcBorders>
            <w:vAlign w:val="center"/>
          </w:tcPr>
          <w:p w14:paraId="19312A07" w14:textId="029BC411" w:rsidR="00BA65D6" w:rsidRPr="008A0812" w:rsidRDefault="00BA65D6" w:rsidP="00BA65D6">
            <w:pPr>
              <w:overflowPunct/>
              <w:autoSpaceDE/>
              <w:autoSpaceDN/>
              <w:adjustRightInd/>
              <w:jc w:val="center"/>
              <w:rPr>
                <w:rFonts w:asciiTheme="minorHAnsi" w:hAnsiTheme="minorHAnsi" w:cs="Arial"/>
                <w:color w:val="000000"/>
              </w:rPr>
            </w:pPr>
            <w:r w:rsidRPr="008A0812">
              <w:rPr>
                <w:rFonts w:asciiTheme="minorHAnsi" w:hAnsiTheme="minorHAnsi" w:cs="Arial"/>
                <w:color w:val="000000"/>
              </w:rPr>
              <w:t xml:space="preserve">East </w:t>
            </w:r>
            <w:r w:rsidR="00CC2A20">
              <w:rPr>
                <w:rFonts w:asciiTheme="minorHAnsi" w:hAnsiTheme="minorHAnsi" w:cs="Arial"/>
                <w:color w:val="000000"/>
              </w:rPr>
              <w:t xml:space="preserve">Influent </w:t>
            </w:r>
            <w:r w:rsidRPr="008A0812">
              <w:rPr>
                <w:rFonts w:asciiTheme="minorHAnsi" w:hAnsiTheme="minorHAnsi" w:cs="Arial"/>
                <w:color w:val="000000"/>
              </w:rPr>
              <w:t>Lift Station</w:t>
            </w:r>
          </w:p>
        </w:tc>
        <w:tc>
          <w:tcPr>
            <w:tcW w:w="2499" w:type="dxa"/>
            <w:tcBorders>
              <w:bottom w:val="single" w:sz="6" w:space="0" w:color="auto"/>
            </w:tcBorders>
            <w:vAlign w:val="center"/>
          </w:tcPr>
          <w:p w14:paraId="0E261A73" w14:textId="5910FB22" w:rsidR="00BA65D6" w:rsidRPr="008A0812" w:rsidRDefault="00BA65D6" w:rsidP="00BA65D6">
            <w:pPr>
              <w:overflowPunct/>
              <w:autoSpaceDE/>
              <w:autoSpaceDN/>
              <w:adjustRightInd/>
              <w:jc w:val="center"/>
              <w:rPr>
                <w:rFonts w:asciiTheme="majorHAnsi" w:hAnsiTheme="majorHAnsi"/>
              </w:rPr>
            </w:pPr>
            <w:r w:rsidRPr="008A0812">
              <w:rPr>
                <w:rFonts w:asciiTheme="majorHAnsi" w:hAnsiTheme="majorHAnsi" w:cs="Arial"/>
                <w:color w:val="000000"/>
              </w:rPr>
              <w:t>2</w:t>
            </w:r>
          </w:p>
        </w:tc>
      </w:tr>
      <w:tr w:rsidR="00BA65D6" w:rsidRPr="008A0812" w14:paraId="22123377" w14:textId="77777777" w:rsidTr="00BA65D6">
        <w:trPr>
          <w:trHeight w:val="288"/>
        </w:trPr>
        <w:tc>
          <w:tcPr>
            <w:tcW w:w="6832" w:type="dxa"/>
            <w:tcBorders>
              <w:top w:val="single" w:sz="6" w:space="0" w:color="auto"/>
              <w:left w:val="single" w:sz="6" w:space="0" w:color="auto"/>
              <w:right w:val="single" w:sz="6" w:space="0" w:color="auto"/>
            </w:tcBorders>
            <w:vAlign w:val="center"/>
          </w:tcPr>
          <w:p w14:paraId="4F0D281E" w14:textId="7A181288"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Headworks Tunnel</w:t>
            </w:r>
          </w:p>
        </w:tc>
        <w:tc>
          <w:tcPr>
            <w:tcW w:w="2499" w:type="dxa"/>
            <w:tcBorders>
              <w:top w:val="single" w:sz="6" w:space="0" w:color="auto"/>
              <w:left w:val="single" w:sz="6" w:space="0" w:color="auto"/>
              <w:right w:val="single" w:sz="6" w:space="0" w:color="auto"/>
            </w:tcBorders>
            <w:vAlign w:val="center"/>
          </w:tcPr>
          <w:p w14:paraId="46C8D7F9" w14:textId="50990EC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26F4947F"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3642B113" w14:textId="088BEE29"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NRC Building</w:t>
            </w:r>
          </w:p>
        </w:tc>
        <w:tc>
          <w:tcPr>
            <w:tcW w:w="2499" w:type="dxa"/>
            <w:tcBorders>
              <w:top w:val="single" w:sz="6" w:space="0" w:color="auto"/>
              <w:left w:val="single" w:sz="6" w:space="0" w:color="auto"/>
              <w:bottom w:val="single" w:sz="6" w:space="0" w:color="auto"/>
              <w:right w:val="single" w:sz="6" w:space="0" w:color="auto"/>
            </w:tcBorders>
            <w:vAlign w:val="center"/>
          </w:tcPr>
          <w:p w14:paraId="378FE944" w14:textId="1AD9AA6A"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738061E8"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1DCCB188" w14:textId="7B3C4D05"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South Outfall Structure</w:t>
            </w:r>
          </w:p>
        </w:tc>
        <w:tc>
          <w:tcPr>
            <w:tcW w:w="2499" w:type="dxa"/>
            <w:tcBorders>
              <w:top w:val="single" w:sz="6" w:space="0" w:color="auto"/>
              <w:left w:val="single" w:sz="6" w:space="0" w:color="auto"/>
              <w:bottom w:val="single" w:sz="6" w:space="0" w:color="auto"/>
              <w:right w:val="single" w:sz="6" w:space="0" w:color="auto"/>
            </w:tcBorders>
            <w:vAlign w:val="center"/>
          </w:tcPr>
          <w:p w14:paraId="50C3682D" w14:textId="2B6B531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17D92C07"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155D9416" w14:textId="5363A683"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Old Blue Generator Building</w:t>
            </w:r>
          </w:p>
        </w:tc>
        <w:tc>
          <w:tcPr>
            <w:tcW w:w="2499" w:type="dxa"/>
            <w:tcBorders>
              <w:top w:val="single" w:sz="6" w:space="0" w:color="auto"/>
              <w:left w:val="single" w:sz="6" w:space="0" w:color="auto"/>
              <w:bottom w:val="single" w:sz="6" w:space="0" w:color="auto"/>
              <w:right w:val="single" w:sz="6" w:space="0" w:color="auto"/>
            </w:tcBorders>
            <w:vAlign w:val="center"/>
          </w:tcPr>
          <w:p w14:paraId="4206BEF9" w14:textId="4F6058A0"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278D0050"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0226053C" w14:textId="30F7C66F"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Digester C</w:t>
            </w:r>
          </w:p>
        </w:tc>
        <w:tc>
          <w:tcPr>
            <w:tcW w:w="2499" w:type="dxa"/>
            <w:tcBorders>
              <w:top w:val="single" w:sz="6" w:space="0" w:color="auto"/>
              <w:left w:val="single" w:sz="6" w:space="0" w:color="auto"/>
              <w:bottom w:val="single" w:sz="6" w:space="0" w:color="auto"/>
              <w:right w:val="single" w:sz="6" w:space="0" w:color="auto"/>
            </w:tcBorders>
            <w:vAlign w:val="center"/>
          </w:tcPr>
          <w:p w14:paraId="07A3875F" w14:textId="3E34CAD7"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30BE5A8F"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24E5DDD6" w14:textId="2C8457CF"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Dissolved Air Flotation Thickener (DAFT) 2</w:t>
            </w:r>
          </w:p>
        </w:tc>
        <w:tc>
          <w:tcPr>
            <w:tcW w:w="2499" w:type="dxa"/>
            <w:tcBorders>
              <w:top w:val="single" w:sz="6" w:space="0" w:color="auto"/>
              <w:left w:val="single" w:sz="6" w:space="0" w:color="auto"/>
              <w:bottom w:val="single" w:sz="6" w:space="0" w:color="auto"/>
              <w:right w:val="single" w:sz="6" w:space="0" w:color="auto"/>
            </w:tcBorders>
            <w:vAlign w:val="center"/>
          </w:tcPr>
          <w:p w14:paraId="217C1856" w14:textId="0A567659"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22512DEA"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72D45809" w14:textId="6C295E9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Admin Bldg</w:t>
            </w:r>
          </w:p>
        </w:tc>
        <w:tc>
          <w:tcPr>
            <w:tcW w:w="2499" w:type="dxa"/>
            <w:tcBorders>
              <w:top w:val="single" w:sz="6" w:space="0" w:color="auto"/>
              <w:left w:val="single" w:sz="6" w:space="0" w:color="auto"/>
              <w:bottom w:val="single" w:sz="6" w:space="0" w:color="auto"/>
              <w:right w:val="single" w:sz="6" w:space="0" w:color="auto"/>
            </w:tcBorders>
            <w:vAlign w:val="center"/>
          </w:tcPr>
          <w:p w14:paraId="57423752" w14:textId="3206D873"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2</w:t>
            </w:r>
          </w:p>
        </w:tc>
      </w:tr>
      <w:tr w:rsidR="00BA65D6" w:rsidRPr="008A0812" w14:paraId="2944D74E"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53960AC6" w14:textId="0A1F92A4"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Ferric Chloride Storage Tank</w:t>
            </w:r>
          </w:p>
        </w:tc>
        <w:tc>
          <w:tcPr>
            <w:tcW w:w="2499" w:type="dxa"/>
            <w:tcBorders>
              <w:top w:val="single" w:sz="6" w:space="0" w:color="auto"/>
              <w:left w:val="single" w:sz="6" w:space="0" w:color="auto"/>
              <w:bottom w:val="single" w:sz="6" w:space="0" w:color="auto"/>
              <w:right w:val="single" w:sz="6" w:space="0" w:color="auto"/>
            </w:tcBorders>
            <w:vAlign w:val="center"/>
          </w:tcPr>
          <w:p w14:paraId="3E2840A5" w14:textId="4BAA7C62"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637C4139"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1847D223" w14:textId="78495CB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Unit 2 South Primary Clarifier</w:t>
            </w:r>
          </w:p>
        </w:tc>
        <w:tc>
          <w:tcPr>
            <w:tcW w:w="2499" w:type="dxa"/>
            <w:tcBorders>
              <w:top w:val="single" w:sz="6" w:space="0" w:color="auto"/>
              <w:left w:val="single" w:sz="6" w:space="0" w:color="auto"/>
              <w:bottom w:val="single" w:sz="6" w:space="0" w:color="auto"/>
              <w:right w:val="single" w:sz="6" w:space="0" w:color="auto"/>
            </w:tcBorders>
            <w:vAlign w:val="center"/>
          </w:tcPr>
          <w:p w14:paraId="16555A77" w14:textId="667295D0"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19BEB676"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6C41460F" w14:textId="3177C396"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Unit 2 North Aeration Basins</w:t>
            </w:r>
          </w:p>
        </w:tc>
        <w:tc>
          <w:tcPr>
            <w:tcW w:w="2499" w:type="dxa"/>
            <w:tcBorders>
              <w:top w:val="single" w:sz="6" w:space="0" w:color="auto"/>
              <w:left w:val="single" w:sz="6" w:space="0" w:color="auto"/>
              <w:bottom w:val="single" w:sz="6" w:space="0" w:color="auto"/>
              <w:right w:val="single" w:sz="6" w:space="0" w:color="auto"/>
            </w:tcBorders>
            <w:vAlign w:val="center"/>
          </w:tcPr>
          <w:p w14:paraId="1F299826" w14:textId="54EA4113"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62EE00F0"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637B4140" w14:textId="5A970DF5"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Bio-Solids Storage Beds</w:t>
            </w:r>
          </w:p>
        </w:tc>
        <w:tc>
          <w:tcPr>
            <w:tcW w:w="2499" w:type="dxa"/>
            <w:tcBorders>
              <w:top w:val="single" w:sz="6" w:space="0" w:color="auto"/>
              <w:left w:val="single" w:sz="6" w:space="0" w:color="auto"/>
              <w:bottom w:val="single" w:sz="6" w:space="0" w:color="auto"/>
              <w:right w:val="single" w:sz="6" w:space="0" w:color="auto"/>
            </w:tcBorders>
            <w:vAlign w:val="center"/>
          </w:tcPr>
          <w:p w14:paraId="0A831CA1" w14:textId="39CF610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6448AFC2"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4CE2CE87" w14:textId="6FFF603E"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Manual Biosolids Loading Bed</w:t>
            </w:r>
          </w:p>
        </w:tc>
        <w:tc>
          <w:tcPr>
            <w:tcW w:w="2499" w:type="dxa"/>
            <w:tcBorders>
              <w:top w:val="single" w:sz="6" w:space="0" w:color="auto"/>
              <w:left w:val="single" w:sz="6" w:space="0" w:color="auto"/>
              <w:bottom w:val="single" w:sz="6" w:space="0" w:color="auto"/>
              <w:right w:val="single" w:sz="6" w:space="0" w:color="auto"/>
            </w:tcBorders>
            <w:vAlign w:val="center"/>
          </w:tcPr>
          <w:p w14:paraId="3419FE97" w14:textId="63CAFFD2"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68950AA3"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2854A3AA" w14:textId="331C2E79"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Century Well</w:t>
            </w:r>
          </w:p>
        </w:tc>
        <w:tc>
          <w:tcPr>
            <w:tcW w:w="2499" w:type="dxa"/>
            <w:tcBorders>
              <w:top w:val="single" w:sz="6" w:space="0" w:color="auto"/>
              <w:left w:val="single" w:sz="6" w:space="0" w:color="auto"/>
              <w:bottom w:val="single" w:sz="6" w:space="0" w:color="auto"/>
              <w:right w:val="single" w:sz="6" w:space="0" w:color="auto"/>
            </w:tcBorders>
            <w:vAlign w:val="center"/>
          </w:tcPr>
          <w:p w14:paraId="5217729E" w14:textId="7DC4FBCB"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3281A013"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13208174" w14:textId="5B2FACD9"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Unit 2 Chlorine Contact Basins</w:t>
            </w:r>
          </w:p>
        </w:tc>
        <w:tc>
          <w:tcPr>
            <w:tcW w:w="2499" w:type="dxa"/>
            <w:tcBorders>
              <w:top w:val="single" w:sz="6" w:space="0" w:color="auto"/>
              <w:left w:val="single" w:sz="6" w:space="0" w:color="auto"/>
              <w:bottom w:val="single" w:sz="6" w:space="0" w:color="auto"/>
              <w:right w:val="single" w:sz="6" w:space="0" w:color="auto"/>
            </w:tcBorders>
            <w:vAlign w:val="center"/>
          </w:tcPr>
          <w:p w14:paraId="61130A5E" w14:textId="08FC9927"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3320F161"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523F8CF1" w14:textId="4F06F951"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Existing 0.06 Flare</w:t>
            </w:r>
          </w:p>
        </w:tc>
        <w:tc>
          <w:tcPr>
            <w:tcW w:w="2499" w:type="dxa"/>
            <w:tcBorders>
              <w:top w:val="single" w:sz="6" w:space="0" w:color="auto"/>
              <w:left w:val="single" w:sz="6" w:space="0" w:color="auto"/>
              <w:bottom w:val="single" w:sz="6" w:space="0" w:color="auto"/>
              <w:right w:val="single" w:sz="6" w:space="0" w:color="auto"/>
            </w:tcBorders>
            <w:vAlign w:val="center"/>
          </w:tcPr>
          <w:p w14:paraId="6B0ED57C" w14:textId="5D8C3120"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72F01480"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607371AB" w14:textId="59977543"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Chlorine Contact Lagoon</w:t>
            </w:r>
          </w:p>
        </w:tc>
        <w:tc>
          <w:tcPr>
            <w:tcW w:w="2499" w:type="dxa"/>
            <w:tcBorders>
              <w:top w:val="single" w:sz="6" w:space="0" w:color="auto"/>
              <w:left w:val="single" w:sz="6" w:space="0" w:color="auto"/>
              <w:bottom w:val="single" w:sz="6" w:space="0" w:color="auto"/>
              <w:right w:val="single" w:sz="6" w:space="0" w:color="auto"/>
            </w:tcBorders>
            <w:vAlign w:val="center"/>
          </w:tcPr>
          <w:p w14:paraId="47DC8BE8" w14:textId="66458F29"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4433F03F"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01F5393C" w14:textId="227A6734"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Internal Recycle Metering Structure</w:t>
            </w:r>
          </w:p>
        </w:tc>
        <w:tc>
          <w:tcPr>
            <w:tcW w:w="2499" w:type="dxa"/>
            <w:tcBorders>
              <w:top w:val="single" w:sz="6" w:space="0" w:color="auto"/>
              <w:left w:val="single" w:sz="6" w:space="0" w:color="auto"/>
              <w:bottom w:val="single" w:sz="6" w:space="0" w:color="auto"/>
              <w:right w:val="single" w:sz="6" w:space="0" w:color="auto"/>
            </w:tcBorders>
            <w:vAlign w:val="center"/>
          </w:tcPr>
          <w:p w14:paraId="37A15B2F" w14:textId="1591FF60"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2BE4B69E"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3995CF9F" w14:textId="4CD603E4"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Irrigation Control Building</w:t>
            </w:r>
          </w:p>
        </w:tc>
        <w:tc>
          <w:tcPr>
            <w:tcW w:w="2499" w:type="dxa"/>
            <w:tcBorders>
              <w:top w:val="single" w:sz="6" w:space="0" w:color="auto"/>
              <w:left w:val="single" w:sz="6" w:space="0" w:color="auto"/>
              <w:bottom w:val="single" w:sz="6" w:space="0" w:color="auto"/>
              <w:right w:val="single" w:sz="6" w:space="0" w:color="auto"/>
            </w:tcBorders>
            <w:vAlign w:val="center"/>
          </w:tcPr>
          <w:p w14:paraId="434AE94B" w14:textId="1CFEB36F"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181E68DB"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0A163661" w14:textId="49601F0A"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Headworks Electrical Building</w:t>
            </w:r>
          </w:p>
        </w:tc>
        <w:tc>
          <w:tcPr>
            <w:tcW w:w="2499" w:type="dxa"/>
            <w:tcBorders>
              <w:top w:val="single" w:sz="6" w:space="0" w:color="auto"/>
              <w:left w:val="single" w:sz="6" w:space="0" w:color="auto"/>
              <w:bottom w:val="single" w:sz="6" w:space="0" w:color="auto"/>
              <w:right w:val="single" w:sz="6" w:space="0" w:color="auto"/>
            </w:tcBorders>
            <w:vAlign w:val="center"/>
          </w:tcPr>
          <w:p w14:paraId="1130CC68" w14:textId="72366D95"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r w:rsidR="00BA65D6" w:rsidRPr="008A0812" w14:paraId="4C0C05E6" w14:textId="77777777" w:rsidTr="00BA65D6">
        <w:trPr>
          <w:trHeight w:val="288"/>
        </w:trPr>
        <w:tc>
          <w:tcPr>
            <w:tcW w:w="6832" w:type="dxa"/>
            <w:tcBorders>
              <w:top w:val="single" w:sz="6" w:space="0" w:color="auto"/>
              <w:left w:val="single" w:sz="6" w:space="0" w:color="auto"/>
              <w:bottom w:val="single" w:sz="6" w:space="0" w:color="auto"/>
              <w:right w:val="single" w:sz="6" w:space="0" w:color="auto"/>
            </w:tcBorders>
            <w:vAlign w:val="center"/>
          </w:tcPr>
          <w:p w14:paraId="515628FB" w14:textId="07939AFA"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Headworks Odor Scrubber</w:t>
            </w:r>
          </w:p>
        </w:tc>
        <w:tc>
          <w:tcPr>
            <w:tcW w:w="2499" w:type="dxa"/>
            <w:tcBorders>
              <w:top w:val="single" w:sz="6" w:space="0" w:color="auto"/>
              <w:left w:val="single" w:sz="6" w:space="0" w:color="auto"/>
              <w:bottom w:val="single" w:sz="6" w:space="0" w:color="auto"/>
              <w:right w:val="single" w:sz="6" w:space="0" w:color="auto"/>
            </w:tcBorders>
            <w:vAlign w:val="center"/>
          </w:tcPr>
          <w:p w14:paraId="716F0B29" w14:textId="2D16D92D" w:rsidR="00BA65D6" w:rsidRPr="008A0812" w:rsidRDefault="00BA65D6" w:rsidP="00BA65D6">
            <w:pPr>
              <w:overflowPunct/>
              <w:autoSpaceDE/>
              <w:autoSpaceDN/>
              <w:adjustRightInd/>
              <w:jc w:val="center"/>
              <w:rPr>
                <w:rFonts w:asciiTheme="majorHAnsi" w:hAnsiTheme="majorHAnsi" w:cs="Arial"/>
                <w:color w:val="000000"/>
              </w:rPr>
            </w:pPr>
            <w:r w:rsidRPr="008A0812">
              <w:rPr>
                <w:rFonts w:asciiTheme="majorHAnsi" w:hAnsiTheme="majorHAnsi" w:cs="Arial"/>
                <w:color w:val="000000"/>
              </w:rPr>
              <w:t>1</w:t>
            </w:r>
          </w:p>
        </w:tc>
      </w:tr>
    </w:tbl>
    <w:p w14:paraId="4E22975A" w14:textId="1A6CBACA" w:rsidR="00FF5B28" w:rsidRPr="008A0812" w:rsidRDefault="00FF5B28" w:rsidP="00AF40CB">
      <w:pPr>
        <w:pStyle w:val="FigureHeading"/>
      </w:pPr>
      <w:bookmarkStart w:id="186" w:name="_Ref36215706"/>
      <w:bookmarkStart w:id="187" w:name="_Toc41684674"/>
      <w:r w:rsidRPr="008A0812">
        <w:t xml:space="preserve">Figure </w:t>
      </w:r>
      <w:fldSimple w:instr=" STYLEREF 1 \s ">
        <w:r w:rsidR="00AA68F8">
          <w:rPr>
            <w:noProof/>
          </w:rPr>
          <w:t>3</w:t>
        </w:r>
      </w:fldSimple>
      <w:r w:rsidR="00B233D1">
        <w:noBreakHyphen/>
      </w:r>
      <w:fldSimple w:instr=" SEQ Figure \* ARABIC \s 1 ">
        <w:r w:rsidR="00AA68F8">
          <w:rPr>
            <w:noProof/>
          </w:rPr>
          <w:t>10</w:t>
        </w:r>
      </w:fldSimple>
      <w:bookmarkEnd w:id="186"/>
      <w:r w:rsidRPr="008A0812">
        <w:t>: Count of Assets with Condition Score of 4 (based on level 4 of hierarchy)</w:t>
      </w:r>
      <w:bookmarkEnd w:id="187"/>
    </w:p>
    <w:p w14:paraId="76CCF140" w14:textId="7535197D" w:rsidR="00BA65D6" w:rsidRPr="008A0812" w:rsidRDefault="00BA65D6" w:rsidP="00BA65D6">
      <w:pPr>
        <w:jc w:val="center"/>
      </w:pPr>
      <w:r>
        <w:rPr>
          <w:noProof/>
        </w:rPr>
        <w:drawing>
          <wp:inline distT="0" distB="0" distL="0" distR="0" wp14:anchorId="111FC826" wp14:editId="02DD65C7">
            <wp:extent cx="5807711" cy="3680460"/>
            <wp:effectExtent l="0" t="0" r="2540" b="0"/>
            <wp:docPr id="21990072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51">
                      <a:extLst>
                        <a:ext uri="{28A0092B-C50C-407E-A947-70E740481C1C}">
                          <a14:useLocalDpi xmlns:a14="http://schemas.microsoft.com/office/drawing/2010/main" val="0"/>
                        </a:ext>
                      </a:extLst>
                    </a:blip>
                    <a:stretch>
                      <a:fillRect/>
                    </a:stretch>
                  </pic:blipFill>
                  <pic:spPr>
                    <a:xfrm>
                      <a:off x="0" y="0"/>
                      <a:ext cx="5807711" cy="3680460"/>
                    </a:xfrm>
                    <a:prstGeom prst="rect">
                      <a:avLst/>
                    </a:prstGeom>
                  </pic:spPr>
                </pic:pic>
              </a:graphicData>
            </a:graphic>
          </wp:inline>
        </w:drawing>
      </w:r>
    </w:p>
    <w:p w14:paraId="24DB3003" w14:textId="4C0EC68F" w:rsidR="00FF5B28" w:rsidRPr="008A0812" w:rsidRDefault="00FF5B28" w:rsidP="00FF5B28">
      <w:pPr>
        <w:pStyle w:val="TableHeading"/>
      </w:pPr>
      <w:bookmarkStart w:id="188" w:name="_Ref36216118"/>
      <w:bookmarkStart w:id="189" w:name="_Toc36414042"/>
      <w:bookmarkStart w:id="190" w:name="_Toc41684743"/>
      <w:r w:rsidRPr="008A0812">
        <w:t xml:space="preserve">Table </w:t>
      </w:r>
      <w:r>
        <w:fldChar w:fldCharType="begin"/>
      </w:r>
      <w:r>
        <w:instrText>STYLEREF 1 \s</w:instrText>
      </w:r>
      <w:r>
        <w:fldChar w:fldCharType="separate"/>
      </w:r>
      <w:r w:rsidR="00AA68F8">
        <w:rPr>
          <w:noProof/>
        </w:rPr>
        <w:t>3</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188"/>
      <w:r w:rsidRPr="008A0812">
        <w:t>: Location of Assets with Condition Score 5</w:t>
      </w:r>
      <w:bookmarkEnd w:id="189"/>
      <w:bookmarkEnd w:id="190"/>
    </w:p>
    <w:tbl>
      <w:tblPr>
        <w:tblW w:w="93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832"/>
        <w:gridCol w:w="2499"/>
      </w:tblGrid>
      <w:tr w:rsidR="00BA65D6" w:rsidRPr="008A0812" w14:paraId="6D615DB8" w14:textId="77777777" w:rsidTr="00FF5B28">
        <w:trPr>
          <w:cantSplit/>
          <w:trHeight w:val="288"/>
          <w:tblHeader/>
        </w:trPr>
        <w:tc>
          <w:tcPr>
            <w:tcW w:w="6832" w:type="dxa"/>
            <w:shd w:val="clear" w:color="auto" w:fill="BFBFBF"/>
            <w:vAlign w:val="center"/>
            <w:hideMark/>
          </w:tcPr>
          <w:p w14:paraId="5D5999F4" w14:textId="1BD2CE0E" w:rsidR="00BA65D6" w:rsidRPr="008A0812" w:rsidRDefault="00BA65D6" w:rsidP="003A30C9">
            <w:pPr>
              <w:overflowPunct/>
              <w:autoSpaceDE/>
              <w:autoSpaceDN/>
              <w:adjustRightInd/>
              <w:jc w:val="center"/>
              <w:rPr>
                <w:b/>
                <w:bCs/>
              </w:rPr>
            </w:pPr>
            <w:r w:rsidRPr="008A0812">
              <w:rPr>
                <w:b/>
                <w:bCs/>
              </w:rPr>
              <w:t xml:space="preserve">Location of Assets with Condition Score </w:t>
            </w:r>
            <w:r w:rsidR="00186A8E">
              <w:rPr>
                <w:b/>
                <w:bCs/>
              </w:rPr>
              <w:t>5</w:t>
            </w:r>
          </w:p>
        </w:tc>
        <w:tc>
          <w:tcPr>
            <w:tcW w:w="2499" w:type="dxa"/>
            <w:shd w:val="clear" w:color="auto" w:fill="BFBFBF"/>
            <w:vAlign w:val="center"/>
            <w:hideMark/>
          </w:tcPr>
          <w:p w14:paraId="51741548" w14:textId="77777777" w:rsidR="00BA65D6" w:rsidRPr="008A0812" w:rsidRDefault="00BA65D6" w:rsidP="003A30C9">
            <w:pPr>
              <w:overflowPunct/>
              <w:autoSpaceDE/>
              <w:autoSpaceDN/>
              <w:adjustRightInd/>
              <w:jc w:val="center"/>
              <w:rPr>
                <w:rFonts w:ascii="Times New Roman" w:hAnsi="Times New Roman"/>
                <w:sz w:val="24"/>
                <w:szCs w:val="24"/>
              </w:rPr>
            </w:pPr>
            <w:r w:rsidRPr="008A0812">
              <w:rPr>
                <w:b/>
                <w:bCs/>
              </w:rPr>
              <w:t>Count of Assets</w:t>
            </w:r>
          </w:p>
        </w:tc>
      </w:tr>
      <w:tr w:rsidR="00BA65D6" w:rsidRPr="008A0812" w14:paraId="09872F7F" w14:textId="77777777" w:rsidTr="003A30C9">
        <w:trPr>
          <w:trHeight w:val="288"/>
        </w:trPr>
        <w:tc>
          <w:tcPr>
            <w:tcW w:w="6832" w:type="dxa"/>
          </w:tcPr>
          <w:p w14:paraId="4B5551A1" w14:textId="3529D4B9" w:rsidR="00BA65D6" w:rsidRPr="008A0812" w:rsidRDefault="00BA65D6" w:rsidP="00BA65D6">
            <w:pPr>
              <w:overflowPunct/>
              <w:autoSpaceDE/>
              <w:autoSpaceDN/>
              <w:adjustRightInd/>
              <w:jc w:val="center"/>
              <w:rPr>
                <w:rFonts w:asciiTheme="minorHAnsi" w:hAnsiTheme="minorHAnsi"/>
              </w:rPr>
            </w:pPr>
            <w:r w:rsidRPr="008A0812">
              <w:t>Boiler Building</w:t>
            </w:r>
          </w:p>
        </w:tc>
        <w:tc>
          <w:tcPr>
            <w:tcW w:w="2499" w:type="dxa"/>
          </w:tcPr>
          <w:p w14:paraId="23297C02" w14:textId="4DA9C95C" w:rsidR="00BA65D6" w:rsidRPr="008A0812" w:rsidRDefault="00BA65D6" w:rsidP="00BA65D6">
            <w:pPr>
              <w:overflowPunct/>
              <w:autoSpaceDE/>
              <w:autoSpaceDN/>
              <w:adjustRightInd/>
              <w:jc w:val="center"/>
              <w:rPr>
                <w:rFonts w:asciiTheme="majorHAnsi" w:hAnsiTheme="majorHAnsi"/>
              </w:rPr>
            </w:pPr>
            <w:r w:rsidRPr="008A0812">
              <w:t>16</w:t>
            </w:r>
          </w:p>
        </w:tc>
      </w:tr>
      <w:tr w:rsidR="00BA65D6" w:rsidRPr="008A0812" w14:paraId="179CA81F" w14:textId="77777777" w:rsidTr="003A30C9">
        <w:trPr>
          <w:trHeight w:val="288"/>
        </w:trPr>
        <w:tc>
          <w:tcPr>
            <w:tcW w:w="6832" w:type="dxa"/>
          </w:tcPr>
          <w:p w14:paraId="2235DBA7" w14:textId="478C94F7" w:rsidR="00BA65D6" w:rsidRPr="008A0812" w:rsidRDefault="00BA65D6" w:rsidP="00BA65D6">
            <w:pPr>
              <w:overflowPunct/>
              <w:autoSpaceDE/>
              <w:autoSpaceDN/>
              <w:adjustRightInd/>
              <w:jc w:val="center"/>
              <w:rPr>
                <w:rFonts w:asciiTheme="minorHAnsi" w:hAnsiTheme="minorHAnsi"/>
              </w:rPr>
            </w:pPr>
            <w:r w:rsidRPr="008A0812">
              <w:t>Unit 2 Pump Station</w:t>
            </w:r>
          </w:p>
        </w:tc>
        <w:tc>
          <w:tcPr>
            <w:tcW w:w="2499" w:type="dxa"/>
          </w:tcPr>
          <w:p w14:paraId="07385835" w14:textId="059EBDEB" w:rsidR="00BA65D6" w:rsidRPr="008A0812" w:rsidRDefault="00BA65D6" w:rsidP="00BA65D6">
            <w:pPr>
              <w:overflowPunct/>
              <w:autoSpaceDE/>
              <w:autoSpaceDN/>
              <w:adjustRightInd/>
              <w:jc w:val="center"/>
              <w:rPr>
                <w:rFonts w:asciiTheme="majorHAnsi" w:hAnsiTheme="majorHAnsi"/>
              </w:rPr>
            </w:pPr>
            <w:r w:rsidRPr="008A0812">
              <w:t>11</w:t>
            </w:r>
          </w:p>
        </w:tc>
      </w:tr>
      <w:tr w:rsidR="00BA65D6" w:rsidRPr="008A0812" w14:paraId="0E1F0227" w14:textId="77777777" w:rsidTr="003A30C9">
        <w:trPr>
          <w:trHeight w:val="288"/>
        </w:trPr>
        <w:tc>
          <w:tcPr>
            <w:tcW w:w="6832" w:type="dxa"/>
          </w:tcPr>
          <w:p w14:paraId="6FEA6FF2" w14:textId="46CBE309" w:rsidR="00BA65D6" w:rsidRPr="008A0812" w:rsidRDefault="00BA65D6" w:rsidP="00BA65D6">
            <w:pPr>
              <w:overflowPunct/>
              <w:autoSpaceDE/>
              <w:autoSpaceDN/>
              <w:adjustRightInd/>
              <w:jc w:val="center"/>
              <w:rPr>
                <w:rFonts w:asciiTheme="minorHAnsi" w:hAnsiTheme="minorHAnsi"/>
              </w:rPr>
            </w:pPr>
            <w:r w:rsidRPr="008A0812">
              <w:t>Digester C</w:t>
            </w:r>
          </w:p>
        </w:tc>
        <w:tc>
          <w:tcPr>
            <w:tcW w:w="2499" w:type="dxa"/>
          </w:tcPr>
          <w:p w14:paraId="0FD58A15" w14:textId="35E89EA3" w:rsidR="00BA65D6" w:rsidRPr="008A0812" w:rsidRDefault="00BA65D6" w:rsidP="00BA65D6">
            <w:pPr>
              <w:overflowPunct/>
              <w:autoSpaceDE/>
              <w:autoSpaceDN/>
              <w:adjustRightInd/>
              <w:jc w:val="center"/>
              <w:rPr>
                <w:rFonts w:asciiTheme="majorHAnsi" w:hAnsiTheme="majorHAnsi"/>
              </w:rPr>
            </w:pPr>
            <w:r w:rsidRPr="008A0812">
              <w:t>8</w:t>
            </w:r>
          </w:p>
        </w:tc>
      </w:tr>
      <w:tr w:rsidR="00BA65D6" w:rsidRPr="008A0812" w14:paraId="423BAE30" w14:textId="77777777" w:rsidTr="003A30C9">
        <w:trPr>
          <w:trHeight w:val="288"/>
        </w:trPr>
        <w:tc>
          <w:tcPr>
            <w:tcW w:w="6832" w:type="dxa"/>
          </w:tcPr>
          <w:p w14:paraId="56A24053" w14:textId="071E2754" w:rsidR="00BA65D6" w:rsidRPr="008A0812" w:rsidRDefault="00BA65D6" w:rsidP="00BA65D6">
            <w:pPr>
              <w:overflowPunct/>
              <w:autoSpaceDE/>
              <w:autoSpaceDN/>
              <w:adjustRightInd/>
              <w:jc w:val="center"/>
              <w:rPr>
                <w:rFonts w:asciiTheme="minorHAnsi" w:hAnsiTheme="minorHAnsi"/>
              </w:rPr>
            </w:pPr>
            <w:r w:rsidRPr="008A0812">
              <w:t>RS-1 Pump Station</w:t>
            </w:r>
          </w:p>
        </w:tc>
        <w:tc>
          <w:tcPr>
            <w:tcW w:w="2499" w:type="dxa"/>
          </w:tcPr>
          <w:p w14:paraId="298A85CC" w14:textId="381AAAE2" w:rsidR="00BA65D6" w:rsidRPr="008A0812" w:rsidRDefault="00BA65D6" w:rsidP="00BA65D6">
            <w:pPr>
              <w:overflowPunct/>
              <w:autoSpaceDE/>
              <w:autoSpaceDN/>
              <w:adjustRightInd/>
              <w:jc w:val="center"/>
              <w:rPr>
                <w:rFonts w:asciiTheme="majorHAnsi" w:hAnsiTheme="majorHAnsi"/>
              </w:rPr>
            </w:pPr>
            <w:r w:rsidRPr="008A0812">
              <w:t>7</w:t>
            </w:r>
          </w:p>
        </w:tc>
      </w:tr>
      <w:tr w:rsidR="00BA65D6" w:rsidRPr="008A0812" w14:paraId="63850C66" w14:textId="77777777" w:rsidTr="003A30C9">
        <w:trPr>
          <w:trHeight w:val="288"/>
        </w:trPr>
        <w:tc>
          <w:tcPr>
            <w:tcW w:w="6832" w:type="dxa"/>
          </w:tcPr>
          <w:p w14:paraId="0696416E" w14:textId="24995E00" w:rsidR="00BA65D6" w:rsidRPr="008A0812" w:rsidRDefault="00BA65D6" w:rsidP="00BA65D6">
            <w:pPr>
              <w:overflowPunct/>
              <w:autoSpaceDE/>
              <w:autoSpaceDN/>
              <w:adjustRightInd/>
              <w:jc w:val="center"/>
              <w:rPr>
                <w:rFonts w:asciiTheme="minorHAnsi" w:hAnsiTheme="minorHAnsi"/>
              </w:rPr>
            </w:pPr>
            <w:r w:rsidRPr="008A0812">
              <w:t>NRC Anoxic Basins</w:t>
            </w:r>
          </w:p>
        </w:tc>
        <w:tc>
          <w:tcPr>
            <w:tcW w:w="2499" w:type="dxa"/>
          </w:tcPr>
          <w:p w14:paraId="4D58D235" w14:textId="721A6781" w:rsidR="00BA65D6" w:rsidRPr="008A0812" w:rsidRDefault="00BA65D6" w:rsidP="00BA65D6">
            <w:pPr>
              <w:overflowPunct/>
              <w:autoSpaceDE/>
              <w:autoSpaceDN/>
              <w:adjustRightInd/>
              <w:jc w:val="center"/>
              <w:rPr>
                <w:rFonts w:asciiTheme="majorHAnsi" w:hAnsiTheme="majorHAnsi"/>
              </w:rPr>
            </w:pPr>
            <w:r w:rsidRPr="008A0812">
              <w:t>5</w:t>
            </w:r>
          </w:p>
        </w:tc>
      </w:tr>
      <w:tr w:rsidR="00BA65D6" w:rsidRPr="008A0812" w14:paraId="44750D8D" w14:textId="77777777" w:rsidTr="003A30C9">
        <w:trPr>
          <w:trHeight w:val="288"/>
        </w:trPr>
        <w:tc>
          <w:tcPr>
            <w:tcW w:w="6832" w:type="dxa"/>
          </w:tcPr>
          <w:p w14:paraId="02399A66" w14:textId="6FB0AED8" w:rsidR="00BA65D6" w:rsidRPr="008A0812" w:rsidRDefault="00BA65D6" w:rsidP="00BA65D6">
            <w:pPr>
              <w:overflowPunct/>
              <w:autoSpaceDE/>
              <w:autoSpaceDN/>
              <w:adjustRightInd/>
              <w:jc w:val="center"/>
              <w:rPr>
                <w:rFonts w:asciiTheme="minorHAnsi" w:hAnsiTheme="minorHAnsi"/>
              </w:rPr>
            </w:pPr>
            <w:r w:rsidRPr="008A0812">
              <w:t>Gas Compression Area</w:t>
            </w:r>
          </w:p>
        </w:tc>
        <w:tc>
          <w:tcPr>
            <w:tcW w:w="2499" w:type="dxa"/>
          </w:tcPr>
          <w:p w14:paraId="76E4D966" w14:textId="7A01C409" w:rsidR="00BA65D6" w:rsidRPr="008A0812" w:rsidRDefault="00BA65D6" w:rsidP="00BA65D6">
            <w:pPr>
              <w:overflowPunct/>
              <w:autoSpaceDE/>
              <w:autoSpaceDN/>
              <w:adjustRightInd/>
              <w:jc w:val="center"/>
              <w:rPr>
                <w:rFonts w:asciiTheme="majorHAnsi" w:hAnsiTheme="majorHAnsi"/>
              </w:rPr>
            </w:pPr>
            <w:r w:rsidRPr="008A0812">
              <w:t>5</w:t>
            </w:r>
          </w:p>
        </w:tc>
      </w:tr>
      <w:tr w:rsidR="00BA65D6" w:rsidRPr="008A0812" w14:paraId="01BDEC00" w14:textId="77777777" w:rsidTr="003A30C9">
        <w:trPr>
          <w:trHeight w:val="288"/>
        </w:trPr>
        <w:tc>
          <w:tcPr>
            <w:tcW w:w="6832" w:type="dxa"/>
          </w:tcPr>
          <w:p w14:paraId="5995AF91" w14:textId="28F15FB6" w:rsidR="00BA65D6" w:rsidRPr="008A0812" w:rsidRDefault="00BA65D6" w:rsidP="00BA65D6">
            <w:pPr>
              <w:overflowPunct/>
              <w:autoSpaceDE/>
              <w:autoSpaceDN/>
              <w:adjustRightInd/>
              <w:jc w:val="center"/>
              <w:rPr>
                <w:rFonts w:asciiTheme="minorHAnsi" w:hAnsiTheme="minorHAnsi"/>
              </w:rPr>
            </w:pPr>
            <w:r w:rsidRPr="008A0812">
              <w:t>Nitrogen Removal Carousel</w:t>
            </w:r>
          </w:p>
        </w:tc>
        <w:tc>
          <w:tcPr>
            <w:tcW w:w="2499" w:type="dxa"/>
          </w:tcPr>
          <w:p w14:paraId="5E7D233E" w14:textId="30CA76FF" w:rsidR="00BA65D6" w:rsidRPr="008A0812" w:rsidRDefault="00BA65D6" w:rsidP="00BA65D6">
            <w:pPr>
              <w:overflowPunct/>
              <w:autoSpaceDE/>
              <w:autoSpaceDN/>
              <w:adjustRightInd/>
              <w:jc w:val="center"/>
              <w:rPr>
                <w:rFonts w:asciiTheme="majorHAnsi" w:hAnsiTheme="majorHAnsi"/>
              </w:rPr>
            </w:pPr>
            <w:r w:rsidRPr="008A0812">
              <w:t>4</w:t>
            </w:r>
          </w:p>
        </w:tc>
      </w:tr>
      <w:tr w:rsidR="00BA65D6" w:rsidRPr="008A0812" w14:paraId="3817D06F" w14:textId="77777777" w:rsidTr="003A30C9">
        <w:trPr>
          <w:trHeight w:val="288"/>
        </w:trPr>
        <w:tc>
          <w:tcPr>
            <w:tcW w:w="6832" w:type="dxa"/>
          </w:tcPr>
          <w:p w14:paraId="6E1373BF" w14:textId="6C99EE6F" w:rsidR="00BA65D6" w:rsidRPr="008A0812" w:rsidRDefault="00BA65D6" w:rsidP="00BA65D6">
            <w:pPr>
              <w:overflowPunct/>
              <w:autoSpaceDE/>
              <w:autoSpaceDN/>
              <w:adjustRightInd/>
              <w:jc w:val="center"/>
              <w:rPr>
                <w:rFonts w:asciiTheme="minorHAnsi" w:hAnsiTheme="minorHAnsi"/>
              </w:rPr>
            </w:pPr>
            <w:r w:rsidRPr="008A0812">
              <w:t>Digester A</w:t>
            </w:r>
          </w:p>
        </w:tc>
        <w:tc>
          <w:tcPr>
            <w:tcW w:w="2499" w:type="dxa"/>
          </w:tcPr>
          <w:p w14:paraId="7B4C459F" w14:textId="6243D380" w:rsidR="00BA65D6" w:rsidRPr="008A0812" w:rsidRDefault="00BA65D6" w:rsidP="00BA65D6">
            <w:pPr>
              <w:overflowPunct/>
              <w:autoSpaceDE/>
              <w:autoSpaceDN/>
              <w:adjustRightInd/>
              <w:jc w:val="center"/>
              <w:rPr>
                <w:rFonts w:asciiTheme="majorHAnsi" w:hAnsiTheme="majorHAnsi"/>
              </w:rPr>
            </w:pPr>
            <w:r w:rsidRPr="008A0812">
              <w:t>3</w:t>
            </w:r>
          </w:p>
        </w:tc>
      </w:tr>
      <w:tr w:rsidR="00BA65D6" w:rsidRPr="008A0812" w14:paraId="4BB33EC2" w14:textId="77777777" w:rsidTr="003A30C9">
        <w:trPr>
          <w:trHeight w:val="288"/>
        </w:trPr>
        <w:tc>
          <w:tcPr>
            <w:tcW w:w="6832" w:type="dxa"/>
          </w:tcPr>
          <w:p w14:paraId="04A40CEB" w14:textId="53218BCA" w:rsidR="00BA65D6" w:rsidRPr="008A0812" w:rsidRDefault="00BA65D6" w:rsidP="00BA65D6">
            <w:pPr>
              <w:overflowPunct/>
              <w:autoSpaceDE/>
              <w:autoSpaceDN/>
              <w:adjustRightInd/>
              <w:jc w:val="center"/>
              <w:rPr>
                <w:rFonts w:asciiTheme="minorHAnsi" w:hAnsiTheme="minorHAnsi"/>
              </w:rPr>
            </w:pPr>
            <w:r w:rsidRPr="008A0812">
              <w:t>Sludge Storage Odor Scrubber</w:t>
            </w:r>
          </w:p>
        </w:tc>
        <w:tc>
          <w:tcPr>
            <w:tcW w:w="2499" w:type="dxa"/>
          </w:tcPr>
          <w:p w14:paraId="249037A3" w14:textId="5F15BE8C" w:rsidR="00BA65D6" w:rsidRPr="008A0812" w:rsidRDefault="00BA65D6" w:rsidP="00BA65D6">
            <w:pPr>
              <w:overflowPunct/>
              <w:autoSpaceDE/>
              <w:autoSpaceDN/>
              <w:adjustRightInd/>
              <w:jc w:val="center"/>
              <w:rPr>
                <w:rFonts w:asciiTheme="majorHAnsi" w:hAnsiTheme="majorHAnsi"/>
              </w:rPr>
            </w:pPr>
            <w:r w:rsidRPr="008A0812">
              <w:t>3</w:t>
            </w:r>
          </w:p>
        </w:tc>
      </w:tr>
      <w:tr w:rsidR="00BA65D6" w:rsidRPr="008A0812" w14:paraId="64B4ACF3" w14:textId="77777777" w:rsidTr="003A30C9">
        <w:trPr>
          <w:trHeight w:val="288"/>
        </w:trPr>
        <w:tc>
          <w:tcPr>
            <w:tcW w:w="6832" w:type="dxa"/>
          </w:tcPr>
          <w:p w14:paraId="367B6A73" w14:textId="223FB4FD" w:rsidR="00BA65D6" w:rsidRPr="008A0812" w:rsidRDefault="00BA65D6" w:rsidP="00BA65D6">
            <w:pPr>
              <w:overflowPunct/>
              <w:autoSpaceDE/>
              <w:autoSpaceDN/>
              <w:adjustRightInd/>
              <w:jc w:val="center"/>
              <w:rPr>
                <w:rFonts w:asciiTheme="minorHAnsi" w:hAnsiTheme="minorHAnsi"/>
              </w:rPr>
            </w:pPr>
            <w:r w:rsidRPr="008A0812">
              <w:t>Unit 1 Pump Station</w:t>
            </w:r>
          </w:p>
        </w:tc>
        <w:tc>
          <w:tcPr>
            <w:tcW w:w="2499" w:type="dxa"/>
          </w:tcPr>
          <w:p w14:paraId="37AF8CAD" w14:textId="603BF406" w:rsidR="00BA65D6" w:rsidRPr="008A0812" w:rsidRDefault="00BA65D6" w:rsidP="00BA65D6">
            <w:pPr>
              <w:overflowPunct/>
              <w:autoSpaceDE/>
              <w:autoSpaceDN/>
              <w:adjustRightInd/>
              <w:jc w:val="center"/>
              <w:rPr>
                <w:rFonts w:asciiTheme="majorHAnsi" w:hAnsiTheme="majorHAnsi"/>
              </w:rPr>
            </w:pPr>
            <w:r w:rsidRPr="008A0812">
              <w:t>3</w:t>
            </w:r>
          </w:p>
        </w:tc>
      </w:tr>
      <w:tr w:rsidR="00BA65D6" w:rsidRPr="008A0812" w14:paraId="07B4D4D3" w14:textId="77777777" w:rsidTr="003A30C9">
        <w:trPr>
          <w:trHeight w:val="288"/>
        </w:trPr>
        <w:tc>
          <w:tcPr>
            <w:tcW w:w="6832" w:type="dxa"/>
          </w:tcPr>
          <w:p w14:paraId="025BD9E5" w14:textId="3955D1E3" w:rsidR="00BA65D6" w:rsidRPr="008A0812" w:rsidRDefault="00BA65D6" w:rsidP="00BA65D6">
            <w:pPr>
              <w:overflowPunct/>
              <w:autoSpaceDE/>
              <w:autoSpaceDN/>
              <w:adjustRightInd/>
              <w:jc w:val="center"/>
              <w:rPr>
                <w:rFonts w:asciiTheme="minorHAnsi" w:hAnsiTheme="minorHAnsi"/>
              </w:rPr>
            </w:pPr>
            <w:r w:rsidRPr="008A0812">
              <w:t>Grit Chambers</w:t>
            </w:r>
          </w:p>
        </w:tc>
        <w:tc>
          <w:tcPr>
            <w:tcW w:w="2499" w:type="dxa"/>
          </w:tcPr>
          <w:p w14:paraId="18C2E416" w14:textId="770D6AFC" w:rsidR="00BA65D6" w:rsidRPr="008A0812" w:rsidRDefault="00BA65D6" w:rsidP="00BA65D6">
            <w:pPr>
              <w:overflowPunct/>
              <w:autoSpaceDE/>
              <w:autoSpaceDN/>
              <w:adjustRightInd/>
              <w:jc w:val="center"/>
              <w:rPr>
                <w:rFonts w:asciiTheme="majorHAnsi" w:hAnsiTheme="majorHAnsi"/>
              </w:rPr>
            </w:pPr>
            <w:r w:rsidRPr="008A0812">
              <w:t>3</w:t>
            </w:r>
          </w:p>
        </w:tc>
      </w:tr>
      <w:tr w:rsidR="00BA65D6" w:rsidRPr="008A0812" w14:paraId="27A1BD07" w14:textId="77777777" w:rsidTr="003A30C9">
        <w:trPr>
          <w:trHeight w:val="288"/>
        </w:trPr>
        <w:tc>
          <w:tcPr>
            <w:tcW w:w="6832" w:type="dxa"/>
          </w:tcPr>
          <w:p w14:paraId="3F5548F1" w14:textId="3B601366" w:rsidR="00BA65D6" w:rsidRPr="008A0812" w:rsidRDefault="00BA65D6" w:rsidP="00BA65D6">
            <w:pPr>
              <w:overflowPunct/>
              <w:autoSpaceDE/>
              <w:autoSpaceDN/>
              <w:adjustRightInd/>
              <w:jc w:val="center"/>
              <w:rPr>
                <w:rFonts w:asciiTheme="minorHAnsi" w:hAnsiTheme="minorHAnsi"/>
              </w:rPr>
            </w:pPr>
            <w:r w:rsidRPr="008A0812">
              <w:t>Arrowhead Lift Station</w:t>
            </w:r>
          </w:p>
        </w:tc>
        <w:tc>
          <w:tcPr>
            <w:tcW w:w="2499" w:type="dxa"/>
          </w:tcPr>
          <w:p w14:paraId="45DC186C" w14:textId="58CE3976" w:rsidR="00BA65D6" w:rsidRPr="008A0812" w:rsidRDefault="00BA65D6" w:rsidP="00BA65D6">
            <w:pPr>
              <w:overflowPunct/>
              <w:autoSpaceDE/>
              <w:autoSpaceDN/>
              <w:adjustRightInd/>
              <w:jc w:val="center"/>
              <w:rPr>
                <w:rFonts w:asciiTheme="majorHAnsi" w:hAnsiTheme="majorHAnsi"/>
              </w:rPr>
            </w:pPr>
            <w:r w:rsidRPr="008A0812">
              <w:t>3</w:t>
            </w:r>
          </w:p>
        </w:tc>
      </w:tr>
      <w:tr w:rsidR="00BA65D6" w:rsidRPr="008A0812" w14:paraId="4FBCEE06" w14:textId="77777777" w:rsidTr="003A30C9">
        <w:trPr>
          <w:trHeight w:val="288"/>
        </w:trPr>
        <w:tc>
          <w:tcPr>
            <w:tcW w:w="6832" w:type="dxa"/>
          </w:tcPr>
          <w:p w14:paraId="02DD8E90" w14:textId="5B90205C" w:rsidR="00BA65D6" w:rsidRPr="008A0812" w:rsidRDefault="00BA65D6" w:rsidP="00BA65D6">
            <w:pPr>
              <w:overflowPunct/>
              <w:autoSpaceDE/>
              <w:autoSpaceDN/>
              <w:adjustRightInd/>
              <w:jc w:val="center"/>
              <w:rPr>
                <w:rFonts w:asciiTheme="minorHAnsi" w:hAnsiTheme="minorHAnsi"/>
              </w:rPr>
            </w:pPr>
            <w:r w:rsidRPr="008A0812">
              <w:t>Unit 1 Chlorine Contact Basins</w:t>
            </w:r>
          </w:p>
        </w:tc>
        <w:tc>
          <w:tcPr>
            <w:tcW w:w="2499" w:type="dxa"/>
          </w:tcPr>
          <w:p w14:paraId="08B2D5B3" w14:textId="7A7F3DB4" w:rsidR="00BA65D6" w:rsidRPr="008A0812" w:rsidRDefault="00BA65D6" w:rsidP="00BA65D6">
            <w:pPr>
              <w:overflowPunct/>
              <w:autoSpaceDE/>
              <w:autoSpaceDN/>
              <w:adjustRightInd/>
              <w:jc w:val="center"/>
              <w:rPr>
                <w:rFonts w:asciiTheme="majorHAnsi" w:hAnsiTheme="majorHAnsi"/>
              </w:rPr>
            </w:pPr>
            <w:r w:rsidRPr="008A0812">
              <w:t>2</w:t>
            </w:r>
          </w:p>
        </w:tc>
      </w:tr>
      <w:tr w:rsidR="00BA65D6" w:rsidRPr="008A0812" w14:paraId="24A3E602" w14:textId="77777777" w:rsidTr="003A30C9">
        <w:trPr>
          <w:trHeight w:val="288"/>
        </w:trPr>
        <w:tc>
          <w:tcPr>
            <w:tcW w:w="6832" w:type="dxa"/>
          </w:tcPr>
          <w:p w14:paraId="1E043D48" w14:textId="181A80D6" w:rsidR="00BA65D6" w:rsidRPr="008A0812" w:rsidRDefault="00BA65D6" w:rsidP="00BA65D6">
            <w:pPr>
              <w:overflowPunct/>
              <w:autoSpaceDE/>
              <w:autoSpaceDN/>
              <w:adjustRightInd/>
              <w:jc w:val="center"/>
              <w:rPr>
                <w:rFonts w:asciiTheme="minorHAnsi" w:hAnsiTheme="minorHAnsi"/>
              </w:rPr>
            </w:pPr>
            <w:r w:rsidRPr="008A0812">
              <w:t>Bar Screen Building</w:t>
            </w:r>
          </w:p>
        </w:tc>
        <w:tc>
          <w:tcPr>
            <w:tcW w:w="2499" w:type="dxa"/>
          </w:tcPr>
          <w:p w14:paraId="23AFA6EF" w14:textId="7E6F1A6C" w:rsidR="00BA65D6" w:rsidRPr="008A0812" w:rsidRDefault="00BA65D6" w:rsidP="00BA65D6">
            <w:pPr>
              <w:overflowPunct/>
              <w:autoSpaceDE/>
              <w:autoSpaceDN/>
              <w:adjustRightInd/>
              <w:jc w:val="center"/>
              <w:rPr>
                <w:rFonts w:asciiTheme="majorHAnsi" w:hAnsiTheme="majorHAnsi"/>
              </w:rPr>
            </w:pPr>
            <w:r w:rsidRPr="008A0812">
              <w:t>2</w:t>
            </w:r>
          </w:p>
        </w:tc>
      </w:tr>
      <w:tr w:rsidR="00BA65D6" w:rsidRPr="008A0812" w14:paraId="5E89E46E" w14:textId="77777777" w:rsidTr="003A30C9">
        <w:trPr>
          <w:trHeight w:val="288"/>
        </w:trPr>
        <w:tc>
          <w:tcPr>
            <w:tcW w:w="6832" w:type="dxa"/>
          </w:tcPr>
          <w:p w14:paraId="3EBBA3A2" w14:textId="1EAB7296" w:rsidR="00BA65D6" w:rsidRPr="008A0812" w:rsidRDefault="00BA65D6" w:rsidP="00BA65D6">
            <w:pPr>
              <w:overflowPunct/>
              <w:autoSpaceDE/>
              <w:autoSpaceDN/>
              <w:adjustRightInd/>
              <w:jc w:val="center"/>
              <w:rPr>
                <w:rFonts w:asciiTheme="minorHAnsi" w:hAnsiTheme="minorHAnsi"/>
              </w:rPr>
            </w:pPr>
            <w:r w:rsidRPr="008A0812">
              <w:t>Old Blue Generator Building</w:t>
            </w:r>
          </w:p>
        </w:tc>
        <w:tc>
          <w:tcPr>
            <w:tcW w:w="2499" w:type="dxa"/>
          </w:tcPr>
          <w:p w14:paraId="3F814D93" w14:textId="0755A124" w:rsidR="00BA65D6" w:rsidRPr="008A0812" w:rsidRDefault="00BA65D6" w:rsidP="00BA65D6">
            <w:pPr>
              <w:overflowPunct/>
              <w:autoSpaceDE/>
              <w:autoSpaceDN/>
              <w:adjustRightInd/>
              <w:jc w:val="center"/>
              <w:rPr>
                <w:rFonts w:asciiTheme="majorHAnsi" w:hAnsiTheme="majorHAnsi"/>
              </w:rPr>
            </w:pPr>
            <w:r w:rsidRPr="008A0812">
              <w:t>2</w:t>
            </w:r>
          </w:p>
        </w:tc>
      </w:tr>
      <w:tr w:rsidR="00BA65D6" w:rsidRPr="008A0812" w14:paraId="6B038A76" w14:textId="77777777" w:rsidTr="003A30C9">
        <w:trPr>
          <w:trHeight w:val="288"/>
        </w:trPr>
        <w:tc>
          <w:tcPr>
            <w:tcW w:w="6832" w:type="dxa"/>
          </w:tcPr>
          <w:p w14:paraId="6B0D3C9B" w14:textId="6584D5BB" w:rsidR="00BA65D6" w:rsidRPr="008A0812" w:rsidRDefault="00BA65D6" w:rsidP="00BA65D6">
            <w:pPr>
              <w:overflowPunct/>
              <w:autoSpaceDE/>
              <w:autoSpaceDN/>
              <w:adjustRightInd/>
              <w:jc w:val="center"/>
              <w:rPr>
                <w:rFonts w:asciiTheme="minorHAnsi" w:hAnsiTheme="minorHAnsi"/>
              </w:rPr>
            </w:pPr>
            <w:r w:rsidRPr="008A0812">
              <w:t>Unit 2 South Primary Clarifier</w:t>
            </w:r>
          </w:p>
        </w:tc>
        <w:tc>
          <w:tcPr>
            <w:tcW w:w="2499" w:type="dxa"/>
          </w:tcPr>
          <w:p w14:paraId="75DAEEAE" w14:textId="7B1397F3" w:rsidR="00BA65D6" w:rsidRPr="008A0812" w:rsidRDefault="00BA65D6" w:rsidP="00BA65D6">
            <w:pPr>
              <w:overflowPunct/>
              <w:autoSpaceDE/>
              <w:autoSpaceDN/>
              <w:adjustRightInd/>
              <w:jc w:val="center"/>
              <w:rPr>
                <w:rFonts w:asciiTheme="majorHAnsi" w:hAnsiTheme="majorHAnsi"/>
              </w:rPr>
            </w:pPr>
            <w:r w:rsidRPr="008A0812">
              <w:t>2</w:t>
            </w:r>
          </w:p>
        </w:tc>
      </w:tr>
      <w:tr w:rsidR="00BA65D6" w:rsidRPr="008A0812" w14:paraId="076D6747" w14:textId="77777777" w:rsidTr="003A30C9">
        <w:trPr>
          <w:trHeight w:val="288"/>
        </w:trPr>
        <w:tc>
          <w:tcPr>
            <w:tcW w:w="6832" w:type="dxa"/>
          </w:tcPr>
          <w:p w14:paraId="01E3B773" w14:textId="3C677511" w:rsidR="00BA65D6" w:rsidRPr="008A0812" w:rsidRDefault="00BA65D6" w:rsidP="00BA65D6">
            <w:pPr>
              <w:overflowPunct/>
              <w:autoSpaceDE/>
              <w:autoSpaceDN/>
              <w:adjustRightInd/>
              <w:jc w:val="center"/>
              <w:rPr>
                <w:rFonts w:asciiTheme="minorHAnsi" w:hAnsiTheme="minorHAnsi" w:cs="Arial"/>
                <w:color w:val="000000"/>
              </w:rPr>
            </w:pPr>
            <w:r w:rsidRPr="008A0812">
              <w:t>Unit 3 Primary Clarifiers</w:t>
            </w:r>
          </w:p>
        </w:tc>
        <w:tc>
          <w:tcPr>
            <w:tcW w:w="2499" w:type="dxa"/>
          </w:tcPr>
          <w:p w14:paraId="18015D85" w14:textId="39B9361F" w:rsidR="00BA65D6" w:rsidRPr="008A0812" w:rsidRDefault="00BA65D6" w:rsidP="00BA65D6">
            <w:pPr>
              <w:overflowPunct/>
              <w:autoSpaceDE/>
              <w:autoSpaceDN/>
              <w:adjustRightInd/>
              <w:jc w:val="center"/>
              <w:rPr>
                <w:rFonts w:asciiTheme="majorHAnsi" w:hAnsiTheme="majorHAnsi"/>
              </w:rPr>
            </w:pPr>
            <w:r w:rsidRPr="008A0812">
              <w:t>1</w:t>
            </w:r>
          </w:p>
        </w:tc>
      </w:tr>
      <w:tr w:rsidR="00BA65D6" w:rsidRPr="008A0812" w14:paraId="237E2C78" w14:textId="77777777" w:rsidTr="003A30C9">
        <w:trPr>
          <w:trHeight w:val="288"/>
        </w:trPr>
        <w:tc>
          <w:tcPr>
            <w:tcW w:w="6832" w:type="dxa"/>
          </w:tcPr>
          <w:p w14:paraId="0B1FBC81" w14:textId="0CAB3D76" w:rsidR="00BA65D6" w:rsidRPr="008A0812" w:rsidRDefault="00BA65D6" w:rsidP="00BA65D6">
            <w:pPr>
              <w:overflowPunct/>
              <w:autoSpaceDE/>
              <w:autoSpaceDN/>
              <w:adjustRightInd/>
              <w:jc w:val="center"/>
              <w:rPr>
                <w:rFonts w:asciiTheme="minorHAnsi" w:hAnsiTheme="minorHAnsi" w:cs="Arial"/>
                <w:color w:val="000000"/>
              </w:rPr>
            </w:pPr>
            <w:r w:rsidRPr="008A0812">
              <w:t>Headworks Blower Building</w:t>
            </w:r>
          </w:p>
        </w:tc>
        <w:tc>
          <w:tcPr>
            <w:tcW w:w="2499" w:type="dxa"/>
          </w:tcPr>
          <w:p w14:paraId="5B8F4CB2" w14:textId="110C8BED" w:rsidR="00BA65D6" w:rsidRPr="008A0812" w:rsidRDefault="00BA65D6" w:rsidP="00BA65D6">
            <w:pPr>
              <w:overflowPunct/>
              <w:autoSpaceDE/>
              <w:autoSpaceDN/>
              <w:adjustRightInd/>
              <w:jc w:val="center"/>
              <w:rPr>
                <w:rFonts w:asciiTheme="majorHAnsi" w:hAnsiTheme="majorHAnsi"/>
              </w:rPr>
            </w:pPr>
            <w:r w:rsidRPr="008A0812">
              <w:t>1</w:t>
            </w:r>
          </w:p>
        </w:tc>
      </w:tr>
      <w:tr w:rsidR="00BA65D6" w:rsidRPr="008A0812" w14:paraId="45915B16" w14:textId="77777777" w:rsidTr="003A30C9">
        <w:trPr>
          <w:trHeight w:val="288"/>
        </w:trPr>
        <w:tc>
          <w:tcPr>
            <w:tcW w:w="6832" w:type="dxa"/>
          </w:tcPr>
          <w:p w14:paraId="3A7CCF56" w14:textId="20618401" w:rsidR="00BA65D6" w:rsidRPr="008A0812" w:rsidRDefault="00BA65D6" w:rsidP="00BA65D6">
            <w:pPr>
              <w:overflowPunct/>
              <w:autoSpaceDE/>
              <w:autoSpaceDN/>
              <w:adjustRightInd/>
              <w:jc w:val="center"/>
              <w:rPr>
                <w:rFonts w:asciiTheme="minorHAnsi" w:hAnsiTheme="minorHAnsi" w:cs="Arial"/>
                <w:color w:val="000000"/>
              </w:rPr>
            </w:pPr>
            <w:r w:rsidRPr="008A0812">
              <w:t>Digester B</w:t>
            </w:r>
          </w:p>
        </w:tc>
        <w:tc>
          <w:tcPr>
            <w:tcW w:w="2499" w:type="dxa"/>
          </w:tcPr>
          <w:p w14:paraId="612AE49E" w14:textId="2960CDE1" w:rsidR="00BA65D6" w:rsidRPr="008A0812" w:rsidRDefault="00BA65D6" w:rsidP="00BA65D6">
            <w:pPr>
              <w:overflowPunct/>
              <w:autoSpaceDE/>
              <w:autoSpaceDN/>
              <w:adjustRightInd/>
              <w:jc w:val="center"/>
              <w:rPr>
                <w:rFonts w:asciiTheme="majorHAnsi" w:hAnsiTheme="majorHAnsi"/>
              </w:rPr>
            </w:pPr>
            <w:r w:rsidRPr="008A0812">
              <w:t>1</w:t>
            </w:r>
          </w:p>
        </w:tc>
      </w:tr>
      <w:tr w:rsidR="00BA65D6" w:rsidRPr="008A0812" w14:paraId="49FA0B76" w14:textId="77777777" w:rsidTr="003A30C9">
        <w:trPr>
          <w:trHeight w:val="288"/>
        </w:trPr>
        <w:tc>
          <w:tcPr>
            <w:tcW w:w="6832" w:type="dxa"/>
          </w:tcPr>
          <w:p w14:paraId="74604516" w14:textId="5811CD50" w:rsidR="00BA65D6" w:rsidRPr="008A0812" w:rsidRDefault="00BA65D6" w:rsidP="00BA65D6">
            <w:pPr>
              <w:overflowPunct/>
              <w:autoSpaceDE/>
              <w:autoSpaceDN/>
              <w:adjustRightInd/>
              <w:jc w:val="center"/>
              <w:rPr>
                <w:rFonts w:asciiTheme="minorHAnsi" w:hAnsiTheme="minorHAnsi" w:cs="Arial"/>
                <w:color w:val="000000"/>
              </w:rPr>
            </w:pPr>
            <w:r w:rsidRPr="008A0812">
              <w:t>Internal Recycle Metering Structure</w:t>
            </w:r>
          </w:p>
        </w:tc>
        <w:tc>
          <w:tcPr>
            <w:tcW w:w="2499" w:type="dxa"/>
          </w:tcPr>
          <w:p w14:paraId="2C4764FD" w14:textId="01C6EEDC" w:rsidR="00BA65D6" w:rsidRPr="008A0812" w:rsidRDefault="00BA65D6" w:rsidP="00BA65D6">
            <w:pPr>
              <w:overflowPunct/>
              <w:autoSpaceDE/>
              <w:autoSpaceDN/>
              <w:adjustRightInd/>
              <w:jc w:val="center"/>
              <w:rPr>
                <w:rFonts w:asciiTheme="majorHAnsi" w:hAnsiTheme="majorHAnsi"/>
              </w:rPr>
            </w:pPr>
            <w:r w:rsidRPr="008A0812">
              <w:t>1</w:t>
            </w:r>
          </w:p>
        </w:tc>
      </w:tr>
      <w:tr w:rsidR="00BA65D6" w:rsidRPr="008A0812" w14:paraId="20FA5119" w14:textId="77777777" w:rsidTr="003A30C9">
        <w:trPr>
          <w:trHeight w:val="288"/>
        </w:trPr>
        <w:tc>
          <w:tcPr>
            <w:tcW w:w="6832" w:type="dxa"/>
            <w:tcBorders>
              <w:bottom w:val="single" w:sz="6" w:space="0" w:color="auto"/>
            </w:tcBorders>
          </w:tcPr>
          <w:p w14:paraId="189687A2" w14:textId="3DFE63AF" w:rsidR="00BA65D6" w:rsidRPr="008A0812" w:rsidRDefault="00BA65D6" w:rsidP="00BA65D6">
            <w:pPr>
              <w:overflowPunct/>
              <w:autoSpaceDE/>
              <w:autoSpaceDN/>
              <w:adjustRightInd/>
              <w:jc w:val="center"/>
              <w:rPr>
                <w:rFonts w:asciiTheme="minorHAnsi" w:hAnsiTheme="minorHAnsi" w:cs="Arial"/>
                <w:color w:val="000000"/>
              </w:rPr>
            </w:pPr>
            <w:r w:rsidRPr="008A0812">
              <w:t>Unit 2 North Primary Clarifier</w:t>
            </w:r>
          </w:p>
        </w:tc>
        <w:tc>
          <w:tcPr>
            <w:tcW w:w="2499" w:type="dxa"/>
            <w:tcBorders>
              <w:bottom w:val="single" w:sz="6" w:space="0" w:color="auto"/>
            </w:tcBorders>
          </w:tcPr>
          <w:p w14:paraId="61DE1C8E" w14:textId="47C6114A" w:rsidR="00BA65D6" w:rsidRPr="008A0812" w:rsidRDefault="00BA65D6" w:rsidP="00BA65D6">
            <w:pPr>
              <w:overflowPunct/>
              <w:autoSpaceDE/>
              <w:autoSpaceDN/>
              <w:adjustRightInd/>
              <w:jc w:val="center"/>
              <w:rPr>
                <w:rFonts w:asciiTheme="majorHAnsi" w:hAnsiTheme="majorHAnsi"/>
              </w:rPr>
            </w:pPr>
            <w:r w:rsidRPr="008A0812">
              <w:t>1</w:t>
            </w:r>
          </w:p>
        </w:tc>
      </w:tr>
      <w:tr w:rsidR="00BA65D6" w:rsidRPr="008A0812" w14:paraId="160040AB" w14:textId="77777777" w:rsidTr="003A30C9">
        <w:trPr>
          <w:trHeight w:val="288"/>
        </w:trPr>
        <w:tc>
          <w:tcPr>
            <w:tcW w:w="6832" w:type="dxa"/>
            <w:tcBorders>
              <w:top w:val="single" w:sz="6" w:space="0" w:color="auto"/>
              <w:left w:val="single" w:sz="6" w:space="0" w:color="auto"/>
              <w:right w:val="single" w:sz="6" w:space="0" w:color="auto"/>
            </w:tcBorders>
          </w:tcPr>
          <w:p w14:paraId="3E05F9EF" w14:textId="63430072" w:rsidR="00BA65D6" w:rsidRPr="008A0812" w:rsidRDefault="00BA65D6" w:rsidP="00BA65D6">
            <w:pPr>
              <w:overflowPunct/>
              <w:autoSpaceDE/>
              <w:autoSpaceDN/>
              <w:adjustRightInd/>
              <w:jc w:val="center"/>
              <w:rPr>
                <w:rFonts w:asciiTheme="majorHAnsi" w:hAnsiTheme="majorHAnsi" w:cs="Arial"/>
                <w:color w:val="000000"/>
              </w:rPr>
            </w:pPr>
            <w:r w:rsidRPr="008A0812">
              <w:t>Low Pressure Holding Tank (LPHT)</w:t>
            </w:r>
          </w:p>
        </w:tc>
        <w:tc>
          <w:tcPr>
            <w:tcW w:w="2499" w:type="dxa"/>
            <w:tcBorders>
              <w:top w:val="single" w:sz="6" w:space="0" w:color="auto"/>
              <w:left w:val="single" w:sz="6" w:space="0" w:color="auto"/>
              <w:right w:val="single" w:sz="6" w:space="0" w:color="auto"/>
            </w:tcBorders>
          </w:tcPr>
          <w:p w14:paraId="0652151A" w14:textId="14921389"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7C6EF75"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22BD98C5" w14:textId="1C750762" w:rsidR="00BA65D6" w:rsidRPr="008A0812" w:rsidRDefault="00BA65D6" w:rsidP="00BA65D6">
            <w:pPr>
              <w:overflowPunct/>
              <w:autoSpaceDE/>
              <w:autoSpaceDN/>
              <w:adjustRightInd/>
              <w:jc w:val="center"/>
              <w:rPr>
                <w:rFonts w:asciiTheme="majorHAnsi" w:hAnsiTheme="majorHAnsi" w:cs="Arial"/>
                <w:color w:val="000000"/>
              </w:rPr>
            </w:pPr>
            <w:r w:rsidRPr="008A0812">
              <w:t>Hazardous Materials Storage Area</w:t>
            </w:r>
          </w:p>
        </w:tc>
        <w:tc>
          <w:tcPr>
            <w:tcW w:w="2499" w:type="dxa"/>
            <w:tcBorders>
              <w:top w:val="single" w:sz="6" w:space="0" w:color="auto"/>
              <w:left w:val="single" w:sz="6" w:space="0" w:color="auto"/>
              <w:bottom w:val="single" w:sz="6" w:space="0" w:color="auto"/>
              <w:right w:val="single" w:sz="6" w:space="0" w:color="auto"/>
            </w:tcBorders>
          </w:tcPr>
          <w:p w14:paraId="5E9A7D54" w14:textId="43043C78"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DCFFE31"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55DD4394" w14:textId="50A8F8A4" w:rsidR="00BA65D6" w:rsidRPr="008A0812" w:rsidRDefault="00BA65D6" w:rsidP="00BA65D6">
            <w:pPr>
              <w:overflowPunct/>
              <w:autoSpaceDE/>
              <w:autoSpaceDN/>
              <w:adjustRightInd/>
              <w:jc w:val="center"/>
              <w:rPr>
                <w:rFonts w:asciiTheme="majorHAnsi" w:hAnsiTheme="majorHAnsi" w:cs="Arial"/>
                <w:color w:val="000000"/>
              </w:rPr>
            </w:pPr>
            <w:r w:rsidRPr="008A0812">
              <w:t>Collections Storage Building (Old Chlorine Building)</w:t>
            </w:r>
          </w:p>
        </w:tc>
        <w:tc>
          <w:tcPr>
            <w:tcW w:w="2499" w:type="dxa"/>
            <w:tcBorders>
              <w:top w:val="single" w:sz="6" w:space="0" w:color="auto"/>
              <w:left w:val="single" w:sz="6" w:space="0" w:color="auto"/>
              <w:bottom w:val="single" w:sz="6" w:space="0" w:color="auto"/>
              <w:right w:val="single" w:sz="6" w:space="0" w:color="auto"/>
            </w:tcBorders>
          </w:tcPr>
          <w:p w14:paraId="24766A12" w14:textId="1490AF4C"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240E5F71"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5F578CD8" w14:textId="7D5794B3" w:rsidR="00BA65D6" w:rsidRPr="008A0812" w:rsidRDefault="00BA65D6" w:rsidP="00BA65D6">
            <w:pPr>
              <w:overflowPunct/>
              <w:autoSpaceDE/>
              <w:autoSpaceDN/>
              <w:adjustRightInd/>
              <w:jc w:val="center"/>
              <w:rPr>
                <w:rFonts w:asciiTheme="majorHAnsi" w:hAnsiTheme="majorHAnsi" w:cs="Arial"/>
                <w:color w:val="000000"/>
              </w:rPr>
            </w:pPr>
            <w:r w:rsidRPr="008A0812">
              <w:t>South Digested Sludge Storage Tank</w:t>
            </w:r>
          </w:p>
        </w:tc>
        <w:tc>
          <w:tcPr>
            <w:tcW w:w="2499" w:type="dxa"/>
            <w:tcBorders>
              <w:top w:val="single" w:sz="6" w:space="0" w:color="auto"/>
              <w:left w:val="single" w:sz="6" w:space="0" w:color="auto"/>
              <w:bottom w:val="single" w:sz="6" w:space="0" w:color="auto"/>
              <w:right w:val="single" w:sz="6" w:space="0" w:color="auto"/>
            </w:tcBorders>
          </w:tcPr>
          <w:p w14:paraId="3CC31BCD" w14:textId="0DA1B913"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8F7CD17"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56702EF7" w14:textId="23F0912A" w:rsidR="00BA65D6" w:rsidRPr="008A0812" w:rsidRDefault="00BA65D6" w:rsidP="00BA65D6">
            <w:pPr>
              <w:overflowPunct/>
              <w:autoSpaceDE/>
              <w:autoSpaceDN/>
              <w:adjustRightInd/>
              <w:jc w:val="center"/>
              <w:rPr>
                <w:rFonts w:asciiTheme="majorHAnsi" w:hAnsiTheme="majorHAnsi" w:cs="Arial"/>
                <w:color w:val="000000"/>
              </w:rPr>
            </w:pPr>
            <w:r w:rsidRPr="008A0812">
              <w:t>North Outfall Structure</w:t>
            </w:r>
          </w:p>
        </w:tc>
        <w:tc>
          <w:tcPr>
            <w:tcW w:w="2499" w:type="dxa"/>
            <w:tcBorders>
              <w:top w:val="single" w:sz="6" w:space="0" w:color="auto"/>
              <w:left w:val="single" w:sz="6" w:space="0" w:color="auto"/>
              <w:bottom w:val="single" w:sz="6" w:space="0" w:color="auto"/>
              <w:right w:val="single" w:sz="6" w:space="0" w:color="auto"/>
            </w:tcBorders>
          </w:tcPr>
          <w:p w14:paraId="28C6AD6C" w14:textId="1045C5CD"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29D4C533"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0583E8CA" w14:textId="5EFDAEBB" w:rsidR="00BA65D6" w:rsidRPr="008A0812" w:rsidRDefault="00BA65D6" w:rsidP="00BA65D6">
            <w:pPr>
              <w:overflowPunct/>
              <w:autoSpaceDE/>
              <w:autoSpaceDN/>
              <w:adjustRightInd/>
              <w:jc w:val="center"/>
              <w:rPr>
                <w:rFonts w:asciiTheme="majorHAnsi" w:hAnsiTheme="majorHAnsi" w:cs="Arial"/>
                <w:color w:val="000000"/>
              </w:rPr>
            </w:pPr>
            <w:r w:rsidRPr="008A0812">
              <w:t>Burner Building</w:t>
            </w:r>
          </w:p>
        </w:tc>
        <w:tc>
          <w:tcPr>
            <w:tcW w:w="2499" w:type="dxa"/>
            <w:tcBorders>
              <w:top w:val="single" w:sz="6" w:space="0" w:color="auto"/>
              <w:left w:val="single" w:sz="6" w:space="0" w:color="auto"/>
              <w:bottom w:val="single" w:sz="6" w:space="0" w:color="auto"/>
              <w:right w:val="single" w:sz="6" w:space="0" w:color="auto"/>
            </w:tcBorders>
          </w:tcPr>
          <w:p w14:paraId="30864368" w14:textId="5FC21047"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4CE460DA"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629DF5E4" w14:textId="452517CC" w:rsidR="00BA65D6" w:rsidRPr="008A0812" w:rsidRDefault="00BA65D6" w:rsidP="00BA65D6">
            <w:pPr>
              <w:overflowPunct/>
              <w:autoSpaceDE/>
              <w:autoSpaceDN/>
              <w:adjustRightInd/>
              <w:jc w:val="center"/>
              <w:rPr>
                <w:rFonts w:asciiTheme="majorHAnsi" w:hAnsiTheme="majorHAnsi" w:cs="Arial"/>
                <w:color w:val="000000"/>
              </w:rPr>
            </w:pPr>
            <w:r w:rsidRPr="008A0812">
              <w:t>Century Well</w:t>
            </w:r>
          </w:p>
        </w:tc>
        <w:tc>
          <w:tcPr>
            <w:tcW w:w="2499" w:type="dxa"/>
            <w:tcBorders>
              <w:top w:val="single" w:sz="6" w:space="0" w:color="auto"/>
              <w:left w:val="single" w:sz="6" w:space="0" w:color="auto"/>
              <w:bottom w:val="single" w:sz="6" w:space="0" w:color="auto"/>
              <w:right w:val="single" w:sz="6" w:space="0" w:color="auto"/>
            </w:tcBorders>
          </w:tcPr>
          <w:p w14:paraId="60EF06CA" w14:textId="32F76696"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50C5AE9"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7064737E" w14:textId="3B0EBB1C" w:rsidR="00BA65D6" w:rsidRPr="008A0812" w:rsidRDefault="00BA65D6" w:rsidP="00BA65D6">
            <w:pPr>
              <w:overflowPunct/>
              <w:autoSpaceDE/>
              <w:autoSpaceDN/>
              <w:adjustRightInd/>
              <w:jc w:val="center"/>
              <w:rPr>
                <w:rFonts w:asciiTheme="majorHAnsi" w:hAnsiTheme="majorHAnsi" w:cs="Arial"/>
                <w:color w:val="000000"/>
              </w:rPr>
            </w:pPr>
            <w:r w:rsidRPr="008A0812">
              <w:t>Unit 2 North Secondary Clarifier</w:t>
            </w:r>
          </w:p>
        </w:tc>
        <w:tc>
          <w:tcPr>
            <w:tcW w:w="2499" w:type="dxa"/>
            <w:tcBorders>
              <w:top w:val="single" w:sz="6" w:space="0" w:color="auto"/>
              <w:left w:val="single" w:sz="6" w:space="0" w:color="auto"/>
              <w:bottom w:val="single" w:sz="6" w:space="0" w:color="auto"/>
              <w:right w:val="single" w:sz="6" w:space="0" w:color="auto"/>
            </w:tcBorders>
          </w:tcPr>
          <w:p w14:paraId="58AFA2FB" w14:textId="58274675"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3202DB7C"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260893C8" w14:textId="3F2CFE62" w:rsidR="00BA65D6" w:rsidRPr="008A0812" w:rsidRDefault="00BA65D6" w:rsidP="00BA65D6">
            <w:pPr>
              <w:overflowPunct/>
              <w:autoSpaceDE/>
              <w:autoSpaceDN/>
              <w:adjustRightInd/>
              <w:jc w:val="center"/>
              <w:rPr>
                <w:rFonts w:asciiTheme="majorHAnsi" w:hAnsiTheme="majorHAnsi" w:cs="Arial"/>
                <w:color w:val="000000"/>
              </w:rPr>
            </w:pPr>
            <w:r w:rsidRPr="008A0812">
              <w:t>Cogeneration Building</w:t>
            </w:r>
          </w:p>
        </w:tc>
        <w:tc>
          <w:tcPr>
            <w:tcW w:w="2499" w:type="dxa"/>
            <w:tcBorders>
              <w:top w:val="single" w:sz="6" w:space="0" w:color="auto"/>
              <w:left w:val="single" w:sz="6" w:space="0" w:color="auto"/>
              <w:bottom w:val="single" w:sz="6" w:space="0" w:color="auto"/>
              <w:right w:val="single" w:sz="6" w:space="0" w:color="auto"/>
            </w:tcBorders>
          </w:tcPr>
          <w:p w14:paraId="321A3227" w14:textId="75C6D8A8"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2ACE638"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32AAEB4E" w14:textId="3C27CDF1" w:rsidR="00BA65D6" w:rsidRPr="008A0812" w:rsidRDefault="00BA65D6" w:rsidP="00BA65D6">
            <w:pPr>
              <w:overflowPunct/>
              <w:autoSpaceDE/>
              <w:autoSpaceDN/>
              <w:adjustRightInd/>
              <w:jc w:val="center"/>
              <w:rPr>
                <w:rFonts w:asciiTheme="majorHAnsi" w:hAnsiTheme="majorHAnsi" w:cs="Arial"/>
                <w:color w:val="000000"/>
              </w:rPr>
            </w:pPr>
            <w:r w:rsidRPr="008A0812">
              <w:t>Grit Dewatering Bed</w:t>
            </w:r>
          </w:p>
        </w:tc>
        <w:tc>
          <w:tcPr>
            <w:tcW w:w="2499" w:type="dxa"/>
            <w:tcBorders>
              <w:top w:val="single" w:sz="6" w:space="0" w:color="auto"/>
              <w:left w:val="single" w:sz="6" w:space="0" w:color="auto"/>
              <w:bottom w:val="single" w:sz="6" w:space="0" w:color="auto"/>
              <w:right w:val="single" w:sz="6" w:space="0" w:color="auto"/>
            </w:tcBorders>
          </w:tcPr>
          <w:p w14:paraId="6211DF35" w14:textId="6872A349"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6854E35C"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1E08D6C0" w14:textId="5E14764F" w:rsidR="00BA65D6" w:rsidRPr="008A0812" w:rsidRDefault="00BA65D6" w:rsidP="00BA65D6">
            <w:pPr>
              <w:overflowPunct/>
              <w:autoSpaceDE/>
              <w:autoSpaceDN/>
              <w:adjustRightInd/>
              <w:jc w:val="center"/>
              <w:rPr>
                <w:rFonts w:asciiTheme="majorHAnsi" w:hAnsiTheme="majorHAnsi" w:cs="Arial"/>
                <w:color w:val="000000"/>
              </w:rPr>
            </w:pPr>
            <w:r w:rsidRPr="008A0812">
              <w:t>Combination Truck Unloading Bed</w:t>
            </w:r>
          </w:p>
        </w:tc>
        <w:tc>
          <w:tcPr>
            <w:tcW w:w="2499" w:type="dxa"/>
            <w:tcBorders>
              <w:top w:val="single" w:sz="6" w:space="0" w:color="auto"/>
              <w:left w:val="single" w:sz="6" w:space="0" w:color="auto"/>
              <w:bottom w:val="single" w:sz="6" w:space="0" w:color="auto"/>
              <w:right w:val="single" w:sz="6" w:space="0" w:color="auto"/>
            </w:tcBorders>
          </w:tcPr>
          <w:p w14:paraId="54234683" w14:textId="10EF03E9"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38B85A53"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1BA31D1C" w14:textId="520B93C8" w:rsidR="00BA65D6" w:rsidRPr="008A0812" w:rsidRDefault="00BA65D6" w:rsidP="00BA65D6">
            <w:pPr>
              <w:overflowPunct/>
              <w:autoSpaceDE/>
              <w:autoSpaceDN/>
              <w:adjustRightInd/>
              <w:jc w:val="center"/>
              <w:rPr>
                <w:rFonts w:asciiTheme="majorHAnsi" w:hAnsiTheme="majorHAnsi" w:cs="Arial"/>
                <w:color w:val="000000"/>
              </w:rPr>
            </w:pPr>
            <w:r w:rsidRPr="008A0812">
              <w:t>NRC Secondary Clarifier</w:t>
            </w:r>
          </w:p>
        </w:tc>
        <w:tc>
          <w:tcPr>
            <w:tcW w:w="2499" w:type="dxa"/>
            <w:tcBorders>
              <w:top w:val="single" w:sz="6" w:space="0" w:color="auto"/>
              <w:left w:val="single" w:sz="6" w:space="0" w:color="auto"/>
              <w:bottom w:val="single" w:sz="6" w:space="0" w:color="auto"/>
              <w:right w:val="single" w:sz="6" w:space="0" w:color="auto"/>
            </w:tcBorders>
          </w:tcPr>
          <w:p w14:paraId="5BA08919" w14:textId="3C75B3B2"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r w:rsidR="00BA65D6" w:rsidRPr="008A0812" w14:paraId="565C677A" w14:textId="77777777" w:rsidTr="003A30C9">
        <w:trPr>
          <w:trHeight w:val="288"/>
        </w:trPr>
        <w:tc>
          <w:tcPr>
            <w:tcW w:w="6832" w:type="dxa"/>
            <w:tcBorders>
              <w:top w:val="single" w:sz="6" w:space="0" w:color="auto"/>
              <w:left w:val="single" w:sz="6" w:space="0" w:color="auto"/>
              <w:bottom w:val="single" w:sz="6" w:space="0" w:color="auto"/>
              <w:right w:val="single" w:sz="6" w:space="0" w:color="auto"/>
            </w:tcBorders>
          </w:tcPr>
          <w:p w14:paraId="136DFE9E" w14:textId="21314CC1" w:rsidR="00BA65D6" w:rsidRPr="008A0812" w:rsidRDefault="00BA65D6" w:rsidP="00BA65D6">
            <w:pPr>
              <w:overflowPunct/>
              <w:autoSpaceDE/>
              <w:autoSpaceDN/>
              <w:adjustRightInd/>
              <w:jc w:val="center"/>
              <w:rPr>
                <w:rFonts w:asciiTheme="majorHAnsi" w:hAnsiTheme="majorHAnsi" w:cs="Arial"/>
                <w:color w:val="000000"/>
              </w:rPr>
            </w:pPr>
            <w:r w:rsidRPr="008A0812">
              <w:t>Influent Metering Structure</w:t>
            </w:r>
          </w:p>
        </w:tc>
        <w:tc>
          <w:tcPr>
            <w:tcW w:w="2499" w:type="dxa"/>
            <w:tcBorders>
              <w:top w:val="single" w:sz="6" w:space="0" w:color="auto"/>
              <w:left w:val="single" w:sz="6" w:space="0" w:color="auto"/>
              <w:bottom w:val="single" w:sz="6" w:space="0" w:color="auto"/>
              <w:right w:val="single" w:sz="6" w:space="0" w:color="auto"/>
            </w:tcBorders>
          </w:tcPr>
          <w:p w14:paraId="7DCDAC6A" w14:textId="0A7B9A65" w:rsidR="00BA65D6" w:rsidRPr="008A0812" w:rsidRDefault="00BA65D6" w:rsidP="00BA65D6">
            <w:pPr>
              <w:overflowPunct/>
              <w:autoSpaceDE/>
              <w:autoSpaceDN/>
              <w:adjustRightInd/>
              <w:jc w:val="center"/>
              <w:rPr>
                <w:rFonts w:asciiTheme="majorHAnsi" w:hAnsiTheme="majorHAnsi" w:cs="Arial"/>
                <w:color w:val="000000"/>
              </w:rPr>
            </w:pPr>
            <w:r w:rsidRPr="008A0812">
              <w:t>1</w:t>
            </w:r>
          </w:p>
        </w:tc>
      </w:tr>
    </w:tbl>
    <w:p w14:paraId="5B031653" w14:textId="646E2D5C" w:rsidR="00FF5B28" w:rsidRPr="008A0812" w:rsidRDefault="00FF5B28" w:rsidP="00AF40CB">
      <w:pPr>
        <w:pStyle w:val="FigureHeading"/>
      </w:pPr>
      <w:bookmarkStart w:id="191" w:name="_Ref36215776"/>
      <w:bookmarkStart w:id="192" w:name="_Toc41684675"/>
      <w:r w:rsidRPr="008A0812">
        <w:t xml:space="preserve">Figure </w:t>
      </w:r>
      <w:fldSimple w:instr=" STYLEREF 1 \s ">
        <w:r w:rsidR="00AA68F8">
          <w:rPr>
            <w:noProof/>
          </w:rPr>
          <w:t>3</w:t>
        </w:r>
      </w:fldSimple>
      <w:r w:rsidR="00B233D1">
        <w:noBreakHyphen/>
      </w:r>
      <w:fldSimple w:instr=" SEQ Figure \* ARABIC \s 1 ">
        <w:r w:rsidR="00AA68F8">
          <w:rPr>
            <w:noProof/>
          </w:rPr>
          <w:t>11</w:t>
        </w:r>
      </w:fldSimple>
      <w:bookmarkEnd w:id="191"/>
      <w:r w:rsidRPr="008A0812">
        <w:t>: Count of Assets with Condition Score of 5 (based on level 4 of hierarchy)</w:t>
      </w:r>
      <w:bookmarkEnd w:id="192"/>
    </w:p>
    <w:p w14:paraId="55258F4A" w14:textId="24206A72" w:rsidR="004B35C1" w:rsidRPr="008A0812" w:rsidRDefault="003A30C9" w:rsidP="003A30C9">
      <w:pPr>
        <w:pStyle w:val="BodyText"/>
        <w:jc w:val="center"/>
      </w:pPr>
      <w:r>
        <w:rPr>
          <w:noProof/>
        </w:rPr>
        <w:drawing>
          <wp:inline distT="0" distB="0" distL="0" distR="0" wp14:anchorId="0AA05648" wp14:editId="7217BA2A">
            <wp:extent cx="5671186" cy="4173855"/>
            <wp:effectExtent l="0" t="0" r="5715" b="0"/>
            <wp:docPr id="654344298"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52">
                      <a:extLst>
                        <a:ext uri="{28A0092B-C50C-407E-A947-70E740481C1C}">
                          <a14:useLocalDpi xmlns:a14="http://schemas.microsoft.com/office/drawing/2010/main" val="0"/>
                        </a:ext>
                      </a:extLst>
                    </a:blip>
                    <a:stretch>
                      <a:fillRect/>
                    </a:stretch>
                  </pic:blipFill>
                  <pic:spPr>
                    <a:xfrm>
                      <a:off x="0" y="0"/>
                      <a:ext cx="5671186" cy="4173855"/>
                    </a:xfrm>
                    <a:prstGeom prst="rect">
                      <a:avLst/>
                    </a:prstGeom>
                  </pic:spPr>
                </pic:pic>
              </a:graphicData>
            </a:graphic>
          </wp:inline>
        </w:drawing>
      </w:r>
    </w:p>
    <w:p w14:paraId="7CA6CCE3" w14:textId="2D845D4B" w:rsidR="004B35C1" w:rsidRPr="008A0812" w:rsidRDefault="00FF5B28" w:rsidP="004B35C1">
      <w:pPr>
        <w:pStyle w:val="BodyText"/>
      </w:pPr>
      <w:r w:rsidRPr="008A0812">
        <w:fldChar w:fldCharType="begin"/>
      </w:r>
      <w:r w:rsidRPr="008A0812">
        <w:instrText xml:space="preserve"> REF _Ref36215761 \h </w:instrText>
      </w:r>
      <w:r w:rsidR="008A0812">
        <w:instrText xml:space="preserve"> \* MERGEFORMAT </w:instrText>
      </w:r>
      <w:r w:rsidRPr="008A0812">
        <w:fldChar w:fldCharType="separate"/>
      </w:r>
      <w:r w:rsidR="00AA68F8" w:rsidRPr="008A0812">
        <w:t xml:space="preserve">Figure </w:t>
      </w:r>
      <w:r w:rsidR="00AA68F8">
        <w:rPr>
          <w:noProof/>
        </w:rPr>
        <w:t>3</w:t>
      </w:r>
      <w:r w:rsidR="00AA68F8">
        <w:rPr>
          <w:noProof/>
        </w:rPr>
        <w:noBreakHyphen/>
        <w:t>12</w:t>
      </w:r>
      <w:r w:rsidRPr="008A0812">
        <w:fldChar w:fldCharType="end"/>
      </w:r>
      <w:r w:rsidR="003A30C9" w:rsidRPr="008A0812">
        <w:t xml:space="preserve"> presents photos of a sample of assets with condition score 5.</w:t>
      </w:r>
    </w:p>
    <w:p w14:paraId="3492381E" w14:textId="215DBC2E" w:rsidR="00FF5B28" w:rsidRPr="008A0812" w:rsidRDefault="00FF5B28" w:rsidP="00AF40CB">
      <w:pPr>
        <w:pStyle w:val="FigureHeading"/>
      </w:pPr>
      <w:bookmarkStart w:id="193" w:name="_Ref36215761"/>
      <w:bookmarkStart w:id="194" w:name="_Toc41684676"/>
      <w:r w:rsidRPr="008A0812">
        <w:t xml:space="preserve">Figure </w:t>
      </w:r>
      <w:fldSimple w:instr=" STYLEREF 1 \s ">
        <w:r w:rsidR="00AA68F8">
          <w:rPr>
            <w:noProof/>
          </w:rPr>
          <w:t>3</w:t>
        </w:r>
      </w:fldSimple>
      <w:r w:rsidR="00B233D1">
        <w:noBreakHyphen/>
      </w:r>
      <w:fldSimple w:instr=" SEQ Figure \* ARABIC \s 1 ">
        <w:r w:rsidR="00AA68F8">
          <w:rPr>
            <w:noProof/>
          </w:rPr>
          <w:t>12</w:t>
        </w:r>
      </w:fldSimple>
      <w:bookmarkEnd w:id="193"/>
      <w:r w:rsidRPr="008A0812">
        <w:t>: Sample of Assets in Need of Rehabilitation or Replacement</w:t>
      </w:r>
      <w:bookmarkEnd w:id="194"/>
    </w:p>
    <w:p w14:paraId="754FA5CA" w14:textId="1D0DB4AB" w:rsidR="003A30C9" w:rsidRPr="008A0812" w:rsidRDefault="003A30C9" w:rsidP="003A30C9">
      <w:pPr>
        <w:jc w:val="center"/>
      </w:pPr>
      <w:r>
        <w:rPr>
          <w:noProof/>
        </w:rPr>
        <w:drawing>
          <wp:inline distT="0" distB="0" distL="0" distR="0" wp14:anchorId="31D8BA85" wp14:editId="57BAD75F">
            <wp:extent cx="4956176" cy="1772920"/>
            <wp:effectExtent l="0" t="0" r="0" b="0"/>
            <wp:docPr id="125021727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3">
                      <a:extLst>
                        <a:ext uri="{28A0092B-C50C-407E-A947-70E740481C1C}">
                          <a14:useLocalDpi xmlns:a14="http://schemas.microsoft.com/office/drawing/2010/main" val="0"/>
                        </a:ext>
                      </a:extLst>
                    </a:blip>
                    <a:stretch>
                      <a:fillRect/>
                    </a:stretch>
                  </pic:blipFill>
                  <pic:spPr>
                    <a:xfrm>
                      <a:off x="0" y="0"/>
                      <a:ext cx="4956176" cy="1772920"/>
                    </a:xfrm>
                    <a:prstGeom prst="rect">
                      <a:avLst/>
                    </a:prstGeom>
                  </pic:spPr>
                </pic:pic>
              </a:graphicData>
            </a:graphic>
          </wp:inline>
        </w:drawing>
      </w:r>
    </w:p>
    <w:p w14:paraId="31EBAAD4" w14:textId="502332FB" w:rsidR="003A30C9" w:rsidRPr="008A0812" w:rsidRDefault="003A30C9" w:rsidP="003A30C9">
      <w:pPr>
        <w:pStyle w:val="Heading2"/>
      </w:pPr>
      <w:bookmarkStart w:id="195" w:name="_Toc41680838"/>
      <w:r w:rsidRPr="008A0812">
        <w:t>Updated Remaining Useful Life</w:t>
      </w:r>
      <w:bookmarkEnd w:id="195"/>
    </w:p>
    <w:p w14:paraId="7167B028" w14:textId="013AEE08" w:rsidR="003A30C9" w:rsidRPr="008A0812" w:rsidRDefault="003A30C9" w:rsidP="003A30C9">
      <w:pPr>
        <w:pStyle w:val="BodyText"/>
      </w:pPr>
      <w:r w:rsidRPr="008A0812">
        <w:t xml:space="preserve">The preliminary asset register was updated with new assets identified in the field (1,335 assets) and condition scores and remaining useful life were updated for those assets for which a visual condition assessment was performed. </w:t>
      </w:r>
      <w:r w:rsidR="00FF5B28" w:rsidRPr="008A0812">
        <w:fldChar w:fldCharType="begin"/>
      </w:r>
      <w:r w:rsidR="00FF5B28" w:rsidRPr="008A0812">
        <w:instrText xml:space="preserve"> REF _Ref36215827 \h </w:instrText>
      </w:r>
      <w:r w:rsidR="008A0812">
        <w:instrText xml:space="preserve"> \* MERGEFORMAT </w:instrText>
      </w:r>
      <w:r w:rsidR="00FF5B28" w:rsidRPr="008A0812">
        <w:fldChar w:fldCharType="separate"/>
      </w:r>
      <w:r w:rsidR="00AA68F8" w:rsidRPr="008A0812">
        <w:t xml:space="preserve">Figure </w:t>
      </w:r>
      <w:r w:rsidR="00AA68F8">
        <w:rPr>
          <w:noProof/>
        </w:rPr>
        <w:t>3</w:t>
      </w:r>
      <w:r w:rsidR="00AA68F8">
        <w:rPr>
          <w:noProof/>
        </w:rPr>
        <w:noBreakHyphen/>
        <w:t>13</w:t>
      </w:r>
      <w:r w:rsidR="00FF5B28" w:rsidRPr="008A0812">
        <w:fldChar w:fldCharType="end"/>
      </w:r>
      <w:r w:rsidRPr="008A0812">
        <w:t xml:space="preserve"> shows the updated remaining useful lives based on the results of the condition assessment. A total of 1,179 assets (approximately 37%) were identified as reaching the end of their useful lives within the next 10 years. The results of the remaining useful life analysis are utilized to identify assets for rehabilitation or replacement within the next 10 years.</w:t>
      </w:r>
    </w:p>
    <w:p w14:paraId="7BB1F029" w14:textId="0F69C8F0" w:rsidR="00FF5B28" w:rsidRPr="008A0812" w:rsidRDefault="00FF5B28" w:rsidP="00AF40CB">
      <w:pPr>
        <w:pStyle w:val="FigureHeading"/>
      </w:pPr>
      <w:bookmarkStart w:id="196" w:name="_Ref36215827"/>
      <w:bookmarkStart w:id="197" w:name="_Toc41684677"/>
      <w:r w:rsidRPr="008A0812">
        <w:t xml:space="preserve">Figure </w:t>
      </w:r>
      <w:fldSimple w:instr=" STYLEREF 1 \s ">
        <w:r w:rsidR="00AA68F8">
          <w:rPr>
            <w:noProof/>
          </w:rPr>
          <w:t>3</w:t>
        </w:r>
      </w:fldSimple>
      <w:r w:rsidR="00B233D1">
        <w:noBreakHyphen/>
      </w:r>
      <w:fldSimple w:instr=" SEQ Figure \* ARABIC \s 1 ">
        <w:r w:rsidR="00AA68F8">
          <w:rPr>
            <w:noProof/>
          </w:rPr>
          <w:t>13</w:t>
        </w:r>
      </w:fldSimple>
      <w:bookmarkEnd w:id="196"/>
      <w:r w:rsidRPr="008A0812">
        <w:t>: Condition-Based RUL by Asset Count</w:t>
      </w:r>
      <w:bookmarkEnd w:id="197"/>
    </w:p>
    <w:p w14:paraId="3C3A53AF" w14:textId="58FB6CDA" w:rsidR="003A30C9" w:rsidRPr="008A0812" w:rsidRDefault="003A30C9" w:rsidP="003A30C9">
      <w:pPr>
        <w:jc w:val="center"/>
      </w:pPr>
      <w:r w:rsidRPr="008A0812">
        <w:rPr>
          <w:noProof/>
        </w:rPr>
        <w:drawing>
          <wp:inline distT="0" distB="0" distL="0" distR="0" wp14:anchorId="408BD20B" wp14:editId="4F05CA95">
            <wp:extent cx="4699635" cy="2743200"/>
            <wp:effectExtent l="0" t="0" r="5715" b="0"/>
            <wp:docPr id="229" name="Chart 229">
              <a:extLst xmlns:a="http://schemas.openxmlformats.org/drawingml/2006/main">
                <a:ext uri="{FF2B5EF4-FFF2-40B4-BE49-F238E27FC236}">
                  <a16:creationId xmlns:a16="http://schemas.microsoft.com/office/drawing/2014/main" id="{C2730FCE-D7A2-41E1-BB67-C973C7468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39BA622" w14:textId="39A5109F" w:rsidR="003A30C9" w:rsidRPr="008A0812" w:rsidRDefault="00A1350D" w:rsidP="00A1350D">
      <w:pPr>
        <w:pStyle w:val="Heading2"/>
      </w:pPr>
      <w:bookmarkStart w:id="198" w:name="_Toc41680839"/>
      <w:r w:rsidRPr="008A0812">
        <w:t>Summary of Findings</w:t>
      </w:r>
      <w:bookmarkEnd w:id="198"/>
    </w:p>
    <w:p w14:paraId="23BD5E17" w14:textId="1D51D424" w:rsidR="00A1350D" w:rsidRPr="008A0812" w:rsidRDefault="00A1350D" w:rsidP="00A1350D">
      <w:pPr>
        <w:pStyle w:val="BodyText"/>
      </w:pPr>
      <w:r w:rsidRPr="008A0812">
        <w:t xml:space="preserve">The focused condition assessment consisted of Hazen engineers conducting visual inspections of approximately 30% of the most critical assets on the SBWRP. Assets that had been inspected or rehabilitated within the past five years were not included. </w:t>
      </w:r>
    </w:p>
    <w:p w14:paraId="32CF70B2" w14:textId="3D38CC0A" w:rsidR="00A1350D" w:rsidRPr="008A0812" w:rsidRDefault="00A1350D" w:rsidP="00A1350D">
      <w:pPr>
        <w:pStyle w:val="BodyText"/>
      </w:pPr>
      <w:r w:rsidRPr="008A0812">
        <w:t xml:space="preserve">Of the 2,995 assets with condition scores, the results indicated that the majority of assets (2,694) inspected were found to be in “Average”, “Good” or “Excellent” condition. </w:t>
      </w:r>
    </w:p>
    <w:p w14:paraId="5B233C6C" w14:textId="77777777" w:rsidR="00A1350D" w:rsidRPr="008A0812" w:rsidRDefault="00A1350D" w:rsidP="00A1350D">
      <w:pPr>
        <w:pStyle w:val="BodyText"/>
      </w:pPr>
      <w:r w:rsidRPr="008A0812">
        <w:t>A total of 204 assets were found to be in “Fair” condition and total of 97 assets were found to have reached the end of their useful life and be in need of rehabilitation or replacement.</w:t>
      </w:r>
    </w:p>
    <w:p w14:paraId="0C7B6627" w14:textId="18CBA339" w:rsidR="00A1350D" w:rsidRPr="008A0812" w:rsidRDefault="00A1350D" w:rsidP="00A1350D">
      <w:pPr>
        <w:pStyle w:val="BodyText"/>
      </w:pPr>
      <w:r w:rsidRPr="008A0812">
        <w:t xml:space="preserve">Based on condition and age, a total of 1,179 assets (approximately 37%) were identified as reaching the end of their useful lives within the next 10 years. The results of the remaining useful life analysis were utilized to identify assets for rehabilitation or replacement within the next 10 years. </w:t>
      </w:r>
    </w:p>
    <w:p w14:paraId="0672CE4E" w14:textId="77777777" w:rsidR="00BE7C57" w:rsidRPr="008A0812" w:rsidRDefault="00BE7C57" w:rsidP="00BE7C57">
      <w:pPr>
        <w:pStyle w:val="TableHeading"/>
      </w:pPr>
    </w:p>
    <w:p w14:paraId="602A4E3E" w14:textId="0237CEE1" w:rsidR="00EF17E2" w:rsidRPr="008A0812" w:rsidRDefault="00EF17E2" w:rsidP="00EF17E2">
      <w:pPr>
        <w:pStyle w:val="BodyText"/>
        <w:sectPr w:rsidR="00EF17E2"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2FE3FACD" w14:textId="138BBDCF" w:rsidR="00335AAE" w:rsidRPr="008A0812" w:rsidRDefault="00335AAE" w:rsidP="00335AAE">
      <w:pPr>
        <w:pStyle w:val="Heading1"/>
      </w:pPr>
      <w:bookmarkStart w:id="199" w:name="_Toc41680840"/>
      <w:r w:rsidRPr="008A0812">
        <w:t>Risk Assessment</w:t>
      </w:r>
      <w:bookmarkEnd w:id="199"/>
    </w:p>
    <w:p w14:paraId="72FD69C4" w14:textId="1D6E10C0" w:rsidR="002D2A51" w:rsidRPr="008A0812" w:rsidRDefault="002D2A51" w:rsidP="002D2A51">
      <w:pPr>
        <w:pStyle w:val="Heading2"/>
      </w:pPr>
      <w:bookmarkStart w:id="200" w:name="_Toc41680841"/>
      <w:r w:rsidRPr="008A0812">
        <w:t>Business Risk Exposure Methodology</w:t>
      </w:r>
      <w:bookmarkEnd w:id="200"/>
    </w:p>
    <w:p w14:paraId="318643EF" w14:textId="77777777" w:rsidR="000860EA" w:rsidRPr="008A0812" w:rsidRDefault="000860EA" w:rsidP="000860EA">
      <w:pPr>
        <w:pStyle w:val="BodyText"/>
      </w:pPr>
      <w:r w:rsidRPr="008A0812">
        <w:t>A business risk is the threat that an event, action or inaction will adversely affect an organization’s ability to achieve its business objectives and execute its strategies successfully. An analysis of risk commonly identifies the risk of an event, analyzes the probability of failure and the consequence of failure, calculates a risk score, ranks assets based on their risk scores, and develops risk mitigation strategies if required.</w:t>
      </w:r>
    </w:p>
    <w:p w14:paraId="3BC80F52" w14:textId="304B7276" w:rsidR="00A1350D" w:rsidRPr="008A0812" w:rsidRDefault="000860EA" w:rsidP="000860EA">
      <w:pPr>
        <w:pStyle w:val="BodyText"/>
      </w:pPr>
      <w:r w:rsidRPr="008A0812">
        <w:t>Business Risk Exposure (BRE) is the term used to describe and quantify the risks associated with the management of assets. It can be assessed at an asset level and/or at the system level. Business risk exposure is comprised of three major components: probability of failure, consequence of failure, and redundancy. The probability of failure measures an asset’s likelihood of or timing to failure. The consequence of failure evaluates the direct and indirect impacts of a failure. Redundancy, the presence of backup equipment, helps to decrease the overall risks of a failure. A BRE score is assigned to each asset in the asset register to help prioritize the needs under limited resources. BRE scoring results are used to help prioritize investments in inspection, maintenance, rehabilitation, and replacement activities, informing the prioritization of near-term actions needed to mitigate asset risk and/or help meet level of service goals.</w:t>
      </w:r>
    </w:p>
    <w:p w14:paraId="3E1AF7C6" w14:textId="6848022D" w:rsidR="0047478E" w:rsidRPr="008A0812" w:rsidRDefault="0047478E" w:rsidP="0047478E">
      <w:pPr>
        <w:pStyle w:val="FigureHeading"/>
      </w:pPr>
      <w:bookmarkStart w:id="201" w:name="_Toc36413933"/>
      <w:bookmarkStart w:id="202" w:name="_Toc41684678"/>
      <w:r w:rsidRPr="008A0812">
        <w:t xml:space="preserve">Figure </w:t>
      </w:r>
      <w:fldSimple w:instr=" STYLEREF 1 \s ">
        <w:r w:rsidR="00AA68F8">
          <w:rPr>
            <w:noProof/>
          </w:rPr>
          <w:t>4</w:t>
        </w:r>
      </w:fldSimple>
      <w:r w:rsidR="00B233D1">
        <w:noBreakHyphen/>
      </w:r>
      <w:fldSimple w:instr=" SEQ Figure \* ARABIC \s 1 ">
        <w:r w:rsidR="00AA68F8">
          <w:rPr>
            <w:noProof/>
          </w:rPr>
          <w:t>1</w:t>
        </w:r>
      </w:fldSimple>
      <w:r w:rsidRPr="008A0812">
        <w:t>:</w:t>
      </w:r>
      <w:bookmarkStart w:id="203" w:name="_Hlk23916013"/>
      <w:r w:rsidRPr="008A0812">
        <w:t xml:space="preserve"> Business Risk Exposure Methodology</w:t>
      </w:r>
      <w:bookmarkEnd w:id="201"/>
      <w:bookmarkEnd w:id="202"/>
    </w:p>
    <w:bookmarkEnd w:id="203"/>
    <w:p w14:paraId="1C26840C" w14:textId="31133121" w:rsidR="000860EA" w:rsidRPr="008A0812" w:rsidRDefault="000860EA" w:rsidP="000860EA">
      <w:pPr>
        <w:jc w:val="center"/>
      </w:pPr>
      <w:r>
        <w:rPr>
          <w:noProof/>
        </w:rPr>
        <w:drawing>
          <wp:inline distT="0" distB="0" distL="0" distR="0" wp14:anchorId="48509814" wp14:editId="72B35B8B">
            <wp:extent cx="4810124" cy="2226310"/>
            <wp:effectExtent l="0" t="0" r="9525" b="2540"/>
            <wp:docPr id="1206664251" name="Content Placeholder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a:blip r:embed="rId55">
                      <a:extLst>
                        <a:ext uri="{FF2B5EF4-FFF2-40B4-BE49-F238E27FC236}">
                          <a16:creationId xmlns:arto="http://schemas.microsoft.com/office/word/2006/arto" xmlns:a16="http://schemas.microsoft.com/office/drawing/2014/main" xmlns:dgm="http://schemas.openxmlformats.org/drawingml/2006/diagram"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C7D3B91A-9ECB-4400-9EE7-EC511AD5E6F0}"/>
                        </a:ext>
                      </a:extLst>
                    </a:blip>
                    <a:stretch>
                      <a:fillRect/>
                    </a:stretch>
                  </pic:blipFill>
                  <pic:spPr>
                    <a:xfrm>
                      <a:off x="0" y="0"/>
                      <a:ext cx="4810124" cy="2226310"/>
                    </a:xfrm>
                    <a:prstGeom prst="rect">
                      <a:avLst/>
                    </a:prstGeom>
                  </pic:spPr>
                </pic:pic>
              </a:graphicData>
            </a:graphic>
          </wp:inline>
        </w:drawing>
      </w:r>
    </w:p>
    <w:p w14:paraId="744871C1" w14:textId="77777777" w:rsidR="000860EA" w:rsidRPr="008A0812" w:rsidRDefault="000860EA" w:rsidP="000860EA">
      <w:pPr>
        <w:pStyle w:val="BodyText"/>
      </w:pPr>
      <w:r w:rsidRPr="008A0812">
        <w:t xml:space="preserve">One of the fundamental questions that must be answered in prioritizing assets for maintenance, renewal, and replacement is: “Which assets pose high risk to sustained performance?”  </w:t>
      </w:r>
    </w:p>
    <w:p w14:paraId="5972EEE2" w14:textId="400856E5" w:rsidR="000860EA" w:rsidRPr="008A0812" w:rsidRDefault="000860EA" w:rsidP="000860EA">
      <w:pPr>
        <w:pStyle w:val="BodyText"/>
      </w:pPr>
      <w:r w:rsidRPr="008A0812">
        <w:t xml:space="preserve">Not all assets are equally important to the system’s operation (see </w:t>
      </w:r>
      <w:r w:rsidR="0047478E" w:rsidRPr="008A0812">
        <w:fldChar w:fldCharType="begin"/>
      </w:r>
      <w:r w:rsidR="0047478E" w:rsidRPr="008A0812">
        <w:instrText xml:space="preserve"> REF _Ref36230870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2</w:t>
      </w:r>
      <w:r w:rsidR="0047478E" w:rsidRPr="008A0812">
        <w:fldChar w:fldCharType="end"/>
      </w:r>
      <w:r w:rsidRPr="008A0812">
        <w:t>). Some assets are highly critical to operations (e.g., failure of a chlorine container resulting in potential injury or death of onsite personnel) and others are less critical.  Furthermore, critical assets are system specific. Certain assets or types of assets may be critical in one location but not critical in another. For example, within one system, a sludge dewatering press may be a critical asset due to the lack of redundancy and poor condition. In another system, the sludge dewatering press may not be a critical asset because redundant equipment is available that is in good condition. So, an asset-level and process level assessment of probability of failure and consequence of failure is key to evaluate the risk associated with each asset.</w:t>
      </w:r>
    </w:p>
    <w:p w14:paraId="2DC54B74" w14:textId="61060689" w:rsidR="0047478E" w:rsidRPr="008A0812" w:rsidRDefault="0047478E" w:rsidP="0047478E">
      <w:pPr>
        <w:pStyle w:val="FigureHeading"/>
      </w:pPr>
      <w:bookmarkStart w:id="204" w:name="_Ref36230870"/>
      <w:bookmarkStart w:id="205" w:name="_Toc36413934"/>
      <w:bookmarkStart w:id="206" w:name="_Toc41684679"/>
      <w:r w:rsidRPr="008A0812">
        <w:t xml:space="preserve">Figure </w:t>
      </w:r>
      <w:fldSimple w:instr=" STYLEREF 1 \s ">
        <w:r w:rsidR="00AA68F8">
          <w:rPr>
            <w:noProof/>
          </w:rPr>
          <w:t>4</w:t>
        </w:r>
      </w:fldSimple>
      <w:r w:rsidR="00B233D1">
        <w:noBreakHyphen/>
      </w:r>
      <w:fldSimple w:instr=" SEQ Figure \* ARABIC \s 1 ">
        <w:r w:rsidR="00AA68F8">
          <w:rPr>
            <w:noProof/>
          </w:rPr>
          <w:t>2</w:t>
        </w:r>
      </w:fldSimple>
      <w:bookmarkEnd w:id="204"/>
      <w:r w:rsidRPr="008A0812">
        <w:t>: Consequences of Failure Are Not All the Same</w:t>
      </w:r>
      <w:bookmarkEnd w:id="205"/>
      <w:bookmarkEnd w:id="206"/>
    </w:p>
    <w:p w14:paraId="503AA0AB" w14:textId="1C171988" w:rsidR="00A1350D" w:rsidRPr="008A0812" w:rsidRDefault="000860EA" w:rsidP="000860EA">
      <w:pPr>
        <w:pStyle w:val="BodyText"/>
        <w:jc w:val="center"/>
      </w:pPr>
      <w:r>
        <w:rPr>
          <w:noProof/>
        </w:rPr>
        <w:drawing>
          <wp:inline distT="0" distB="0" distL="0" distR="0" wp14:anchorId="3D3B3100" wp14:editId="70AA2AB0">
            <wp:extent cx="5792468" cy="2760345"/>
            <wp:effectExtent l="0" t="0" r="0" b="1905"/>
            <wp:docPr id="40623297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56">
                      <a:extLst>
                        <a:ext uri="{28A0092B-C50C-407E-A947-70E740481C1C}">
                          <a14:useLocalDpi xmlns:a14="http://schemas.microsoft.com/office/drawing/2010/main" val="0"/>
                        </a:ext>
                      </a:extLst>
                    </a:blip>
                    <a:stretch>
                      <a:fillRect/>
                    </a:stretch>
                  </pic:blipFill>
                  <pic:spPr>
                    <a:xfrm>
                      <a:off x="0" y="0"/>
                      <a:ext cx="5792468" cy="2760345"/>
                    </a:xfrm>
                    <a:prstGeom prst="rect">
                      <a:avLst/>
                    </a:prstGeom>
                  </pic:spPr>
                </pic:pic>
              </a:graphicData>
            </a:graphic>
          </wp:inline>
        </w:drawing>
      </w:r>
    </w:p>
    <w:p w14:paraId="559C74C7" w14:textId="6ECAC925" w:rsidR="00A1350D" w:rsidRPr="008A0812" w:rsidRDefault="000860EA" w:rsidP="002D2A51">
      <w:pPr>
        <w:pStyle w:val="Heading3"/>
      </w:pPr>
      <w:bookmarkStart w:id="207" w:name="_Toc41680842"/>
      <w:r w:rsidRPr="008A0812">
        <w:t>Probability of Failure</w:t>
      </w:r>
      <w:bookmarkEnd w:id="207"/>
    </w:p>
    <w:p w14:paraId="490F1481" w14:textId="25598F11" w:rsidR="000860EA" w:rsidRPr="008A0812" w:rsidRDefault="000860EA" w:rsidP="000860EA">
      <w:pPr>
        <w:pStyle w:val="BodyText"/>
      </w:pPr>
      <w:r w:rsidRPr="008A0812">
        <w:t xml:space="preserve">Probability of Failure (PoF) measures an asset’s likelihood of failure. A condition-based approach has been followed to calculate the PoF. Condition is the most important factor in determining the probability of an asset failing. As the condition of an asset deteriorates, it will become more likely to fail. Condition of the </w:t>
      </w:r>
      <w:r w:rsidR="00395459" w:rsidRPr="008A0812">
        <w:t>SB</w:t>
      </w:r>
      <w:r w:rsidRPr="008A0812">
        <w:t>WRP assets was determined via visual inspection of the equipment, along with interviews with Department operations and maintenance staff to determine a condition score as described in the following sections.</w:t>
      </w:r>
    </w:p>
    <w:p w14:paraId="74938E18" w14:textId="690BEC95" w:rsidR="000860EA" w:rsidRPr="008A0812" w:rsidRDefault="000860EA" w:rsidP="000860EA">
      <w:pPr>
        <w:pStyle w:val="BodyText"/>
      </w:pPr>
      <w:r w:rsidRPr="008A0812">
        <w:t xml:space="preserve">Based upon the findings of the field observations (level 1 visual assessment) and interviews, an overall condition score was assigned to each asset.  Condition assessment is a combination of field and design assessments of assets followed by implementation of the condition scoring process to assign a condition grade to each asset. The scoring system was developed by Hazen in conjunction with SBMWD staff.  The condition scoring system utilized is presented in </w:t>
      </w:r>
      <w:r w:rsidR="0047478E" w:rsidRPr="008A0812">
        <w:fldChar w:fldCharType="begin"/>
      </w:r>
      <w:r w:rsidR="0047478E" w:rsidRPr="008A0812">
        <w:instrText xml:space="preserve"> REF _Ref36231430 \h </w:instrText>
      </w:r>
      <w:r w:rsidR="008A0812">
        <w:instrText xml:space="preserve"> \* MERGEFORMAT </w:instrText>
      </w:r>
      <w:r w:rsidR="0047478E" w:rsidRPr="008A0812">
        <w:fldChar w:fldCharType="separate"/>
      </w:r>
      <w:r w:rsidR="00AA68F8" w:rsidRPr="008A0812">
        <w:t xml:space="preserve">Table </w:t>
      </w:r>
      <w:r w:rsidR="00AA68F8">
        <w:rPr>
          <w:noProof/>
        </w:rPr>
        <w:t>4</w:t>
      </w:r>
      <w:r w:rsidR="00AA68F8" w:rsidRPr="008A0812">
        <w:rPr>
          <w:noProof/>
        </w:rPr>
        <w:noBreakHyphen/>
      </w:r>
      <w:r w:rsidR="00AA68F8">
        <w:rPr>
          <w:noProof/>
        </w:rPr>
        <w:t>1</w:t>
      </w:r>
      <w:r w:rsidR="0047478E" w:rsidRPr="008A0812">
        <w:fldChar w:fldCharType="end"/>
      </w:r>
      <w:r w:rsidRPr="008A0812">
        <w:t>.  This system uses a rating range from 1 (Excellent condition) to 5 (Poor condition). Descriptions for each rating enable analysts to assign ratings to assets. The results of the field investigation were also used to determine the estimated remaining useful life.</w:t>
      </w:r>
    </w:p>
    <w:p w14:paraId="4D613E2A" w14:textId="26E8EC7D" w:rsidR="0047478E" w:rsidRDefault="0047478E" w:rsidP="0047478E">
      <w:pPr>
        <w:pStyle w:val="TableHeading"/>
      </w:pPr>
      <w:bookmarkStart w:id="208" w:name="_Ref36231430"/>
      <w:bookmarkStart w:id="209" w:name="_Toc36414043"/>
      <w:bookmarkStart w:id="210" w:name="_Toc41684744"/>
      <w:bookmarkStart w:id="211" w:name="_Hlk23920008"/>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208"/>
      <w:r w:rsidRPr="008A0812">
        <w:t>: Asset Condition Rating Guidelines</w:t>
      </w:r>
      <w:bookmarkEnd w:id="209"/>
      <w:bookmarkEnd w:id="210"/>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293"/>
        <w:gridCol w:w="1017"/>
        <w:gridCol w:w="7034"/>
      </w:tblGrid>
      <w:tr w:rsidR="001E712D" w:rsidRPr="008A0812" w14:paraId="55FA1980" w14:textId="77777777" w:rsidTr="00755E54">
        <w:trPr>
          <w:trHeight w:val="288"/>
          <w:tblHeader/>
        </w:trPr>
        <w:tc>
          <w:tcPr>
            <w:tcW w:w="1293" w:type="dxa"/>
            <w:shd w:val="clear" w:color="auto" w:fill="BFBFBF"/>
            <w:hideMark/>
          </w:tcPr>
          <w:p w14:paraId="40AC610A" w14:textId="68781662" w:rsidR="00C32240" w:rsidRPr="008A0812" w:rsidRDefault="00C32240" w:rsidP="00C32240">
            <w:pPr>
              <w:overflowPunct/>
              <w:autoSpaceDE/>
              <w:autoSpaceDN/>
              <w:adjustRightInd/>
              <w:jc w:val="center"/>
              <w:rPr>
                <w:b/>
                <w:bCs/>
              </w:rPr>
            </w:pPr>
            <w:r w:rsidRPr="00566E93">
              <w:rPr>
                <w:b/>
                <w:bCs/>
              </w:rPr>
              <w:t>Condition/</w:t>
            </w:r>
            <w:r w:rsidR="001E712D">
              <w:rPr>
                <w:b/>
                <w:bCs/>
              </w:rPr>
              <w:t xml:space="preserve"> </w:t>
            </w:r>
            <w:r w:rsidRPr="00566E93">
              <w:rPr>
                <w:b/>
                <w:bCs/>
              </w:rPr>
              <w:t>Scale</w:t>
            </w:r>
          </w:p>
        </w:tc>
        <w:tc>
          <w:tcPr>
            <w:tcW w:w="1017" w:type="dxa"/>
            <w:shd w:val="clear" w:color="auto" w:fill="BFBFBF"/>
          </w:tcPr>
          <w:p w14:paraId="301394AD" w14:textId="3268417F" w:rsidR="00C32240" w:rsidRPr="008A0812" w:rsidRDefault="00C32240" w:rsidP="00C32240">
            <w:pPr>
              <w:overflowPunct/>
              <w:autoSpaceDE/>
              <w:autoSpaceDN/>
              <w:adjustRightInd/>
              <w:jc w:val="center"/>
              <w:rPr>
                <w:b/>
                <w:bCs/>
              </w:rPr>
            </w:pPr>
            <w:r w:rsidRPr="00566E93">
              <w:rPr>
                <w:b/>
                <w:bCs/>
              </w:rPr>
              <w:t>Asset Condition</w:t>
            </w:r>
          </w:p>
        </w:tc>
        <w:tc>
          <w:tcPr>
            <w:tcW w:w="7034" w:type="dxa"/>
            <w:shd w:val="clear" w:color="auto" w:fill="BFBFBF"/>
            <w:vAlign w:val="center"/>
            <w:hideMark/>
          </w:tcPr>
          <w:p w14:paraId="7A3B74BB" w14:textId="384AB96E" w:rsidR="00C32240" w:rsidRPr="00566E93" w:rsidRDefault="00C32240">
            <w:pPr>
              <w:overflowPunct/>
              <w:autoSpaceDE/>
              <w:autoSpaceDN/>
              <w:adjustRightInd/>
              <w:jc w:val="center"/>
              <w:rPr>
                <w:b/>
                <w:bCs/>
              </w:rPr>
            </w:pPr>
            <w:r w:rsidRPr="00566E93">
              <w:rPr>
                <w:b/>
                <w:bCs/>
              </w:rPr>
              <w:t>Definition</w:t>
            </w:r>
          </w:p>
        </w:tc>
      </w:tr>
      <w:tr w:rsidR="001E712D" w:rsidRPr="008A0812" w14:paraId="5A36568E" w14:textId="77777777" w:rsidTr="00755E54">
        <w:trPr>
          <w:trHeight w:val="417"/>
        </w:trPr>
        <w:tc>
          <w:tcPr>
            <w:tcW w:w="1293" w:type="dxa"/>
            <w:vAlign w:val="center"/>
          </w:tcPr>
          <w:p w14:paraId="76B12F2B" w14:textId="182A9BBC" w:rsidR="00CA6903" w:rsidRPr="008A0812" w:rsidRDefault="00CA6903">
            <w:pPr>
              <w:overflowPunct/>
              <w:autoSpaceDE/>
              <w:autoSpaceDN/>
              <w:adjustRightInd/>
              <w:jc w:val="center"/>
              <w:rPr>
                <w:rFonts w:asciiTheme="minorHAnsi" w:hAnsiTheme="minorHAnsi"/>
              </w:rPr>
            </w:pPr>
            <w:r w:rsidRPr="006A7CA1">
              <w:t>1</w:t>
            </w:r>
          </w:p>
        </w:tc>
        <w:tc>
          <w:tcPr>
            <w:tcW w:w="1017" w:type="dxa"/>
            <w:vAlign w:val="center"/>
          </w:tcPr>
          <w:p w14:paraId="066B8580" w14:textId="1C1D1DD2" w:rsidR="00CA6903" w:rsidRPr="008A0812" w:rsidRDefault="00CA6903">
            <w:pPr>
              <w:overflowPunct/>
              <w:autoSpaceDE/>
              <w:autoSpaceDN/>
              <w:adjustRightInd/>
              <w:jc w:val="center"/>
            </w:pPr>
            <w:r w:rsidRPr="006A7CA1">
              <w:t>Excellent</w:t>
            </w:r>
          </w:p>
        </w:tc>
        <w:tc>
          <w:tcPr>
            <w:tcW w:w="7034" w:type="dxa"/>
            <w:vAlign w:val="center"/>
          </w:tcPr>
          <w:p w14:paraId="65ED4329" w14:textId="7720C993" w:rsidR="00CA6903" w:rsidRPr="008A0812" w:rsidRDefault="00FE2C6C" w:rsidP="00566E93">
            <w:pPr>
              <w:overflowPunct/>
              <w:autoSpaceDE/>
              <w:autoSpaceDN/>
              <w:adjustRightInd/>
              <w:rPr>
                <w:rFonts w:asciiTheme="majorHAnsi" w:hAnsiTheme="majorHAnsi"/>
              </w:rPr>
            </w:pPr>
            <w:r w:rsidRPr="00FE2C6C">
              <w:t>The physical condition of the asset is as new, e.g., new equipment</w:t>
            </w:r>
            <w:r w:rsidR="001E712D">
              <w:t>.</w:t>
            </w:r>
          </w:p>
        </w:tc>
      </w:tr>
      <w:tr w:rsidR="001E712D" w:rsidRPr="008A0812" w14:paraId="2198323E" w14:textId="77777777" w:rsidTr="00755E54">
        <w:trPr>
          <w:trHeight w:val="435"/>
        </w:trPr>
        <w:tc>
          <w:tcPr>
            <w:tcW w:w="1293" w:type="dxa"/>
            <w:vAlign w:val="center"/>
          </w:tcPr>
          <w:p w14:paraId="71A37D8B" w14:textId="7C98BBC3" w:rsidR="00CA6903" w:rsidRPr="008A0812" w:rsidRDefault="00406670">
            <w:pPr>
              <w:overflowPunct/>
              <w:autoSpaceDE/>
              <w:autoSpaceDN/>
              <w:adjustRightInd/>
              <w:jc w:val="center"/>
              <w:rPr>
                <w:rFonts w:asciiTheme="minorHAnsi" w:hAnsiTheme="minorHAnsi"/>
              </w:rPr>
            </w:pPr>
            <w:r>
              <w:rPr>
                <w:rFonts w:asciiTheme="minorHAnsi" w:hAnsiTheme="minorHAnsi"/>
              </w:rPr>
              <w:t>2</w:t>
            </w:r>
          </w:p>
        </w:tc>
        <w:tc>
          <w:tcPr>
            <w:tcW w:w="1017" w:type="dxa"/>
            <w:vAlign w:val="center"/>
          </w:tcPr>
          <w:p w14:paraId="28143648" w14:textId="45953197" w:rsidR="00CA6903" w:rsidRPr="008A0812" w:rsidRDefault="00EC4EF7">
            <w:pPr>
              <w:overflowPunct/>
              <w:autoSpaceDE/>
              <w:autoSpaceDN/>
              <w:adjustRightInd/>
              <w:jc w:val="center"/>
            </w:pPr>
            <w:r w:rsidRPr="006A7CA1">
              <w:t>Good</w:t>
            </w:r>
          </w:p>
        </w:tc>
        <w:tc>
          <w:tcPr>
            <w:tcW w:w="7034" w:type="dxa"/>
            <w:vAlign w:val="center"/>
          </w:tcPr>
          <w:p w14:paraId="2A733A81" w14:textId="42D48805" w:rsidR="00CA6903" w:rsidRPr="008A0812" w:rsidRDefault="005F2A68" w:rsidP="00566E93">
            <w:pPr>
              <w:overflowPunct/>
              <w:autoSpaceDE/>
              <w:autoSpaceDN/>
              <w:adjustRightInd/>
              <w:rPr>
                <w:rFonts w:asciiTheme="majorHAnsi" w:hAnsiTheme="majorHAnsi"/>
              </w:rPr>
            </w:pPr>
            <w:r w:rsidRPr="005F2A68">
              <w:rPr>
                <w:rFonts w:asciiTheme="majorHAnsi" w:hAnsiTheme="majorHAnsi"/>
              </w:rPr>
              <w:t>Asset has minor integrity issues. Not new but in very good condition</w:t>
            </w:r>
          </w:p>
        </w:tc>
      </w:tr>
      <w:tr w:rsidR="001E712D" w:rsidRPr="008A0812" w14:paraId="20E72F70" w14:textId="77777777" w:rsidTr="00755E54">
        <w:trPr>
          <w:trHeight w:val="561"/>
        </w:trPr>
        <w:tc>
          <w:tcPr>
            <w:tcW w:w="1293" w:type="dxa"/>
            <w:vAlign w:val="center"/>
          </w:tcPr>
          <w:p w14:paraId="66CC4405" w14:textId="0A681AC9" w:rsidR="00CA6903" w:rsidRPr="008A0812" w:rsidRDefault="00406670">
            <w:pPr>
              <w:overflowPunct/>
              <w:autoSpaceDE/>
              <w:autoSpaceDN/>
              <w:adjustRightInd/>
              <w:jc w:val="center"/>
              <w:rPr>
                <w:rFonts w:asciiTheme="minorHAnsi" w:hAnsiTheme="minorHAnsi"/>
              </w:rPr>
            </w:pPr>
            <w:r>
              <w:rPr>
                <w:rFonts w:asciiTheme="minorHAnsi" w:hAnsiTheme="minorHAnsi"/>
              </w:rPr>
              <w:t>3</w:t>
            </w:r>
          </w:p>
        </w:tc>
        <w:tc>
          <w:tcPr>
            <w:tcW w:w="1017" w:type="dxa"/>
            <w:vAlign w:val="center"/>
          </w:tcPr>
          <w:p w14:paraId="455A694E" w14:textId="10FEEBDA" w:rsidR="00CA6903" w:rsidRPr="008A0812" w:rsidRDefault="00406670">
            <w:pPr>
              <w:overflowPunct/>
              <w:autoSpaceDE/>
              <w:autoSpaceDN/>
              <w:adjustRightInd/>
              <w:jc w:val="center"/>
            </w:pPr>
            <w:r>
              <w:t>Average</w:t>
            </w:r>
          </w:p>
        </w:tc>
        <w:tc>
          <w:tcPr>
            <w:tcW w:w="7034" w:type="dxa"/>
            <w:vAlign w:val="center"/>
          </w:tcPr>
          <w:p w14:paraId="7039F6BD" w14:textId="77777777" w:rsidR="00EC4EF7" w:rsidRDefault="00401D14">
            <w:pPr>
              <w:overflowPunct/>
              <w:autoSpaceDE/>
              <w:autoSpaceDN/>
              <w:adjustRightInd/>
            </w:pPr>
            <w:r>
              <w:t xml:space="preserve">Asset does not operate efficiently but does not significantly hamper normal operations. </w:t>
            </w:r>
          </w:p>
          <w:p w14:paraId="3886A7FC" w14:textId="0FB6BB3E" w:rsidR="00CA6903" w:rsidRPr="008A0812" w:rsidRDefault="00401D14" w:rsidP="00566E93">
            <w:pPr>
              <w:overflowPunct/>
              <w:autoSpaceDE/>
              <w:autoSpaceDN/>
              <w:adjustRightInd/>
              <w:rPr>
                <w:rFonts w:asciiTheme="majorHAnsi" w:hAnsiTheme="majorHAnsi"/>
              </w:rPr>
            </w:pPr>
            <w:r>
              <w:t>Corroded parts on an asset that do not affect operation.</w:t>
            </w:r>
          </w:p>
        </w:tc>
      </w:tr>
      <w:tr w:rsidR="001E712D" w:rsidRPr="008A0812" w14:paraId="71EE16B8" w14:textId="77777777" w:rsidTr="00755E54">
        <w:trPr>
          <w:trHeight w:val="288"/>
        </w:trPr>
        <w:tc>
          <w:tcPr>
            <w:tcW w:w="1293" w:type="dxa"/>
            <w:vAlign w:val="center"/>
          </w:tcPr>
          <w:p w14:paraId="60139AB3" w14:textId="56D836B5" w:rsidR="00CA6903" w:rsidRPr="008A0812" w:rsidRDefault="00406670">
            <w:pPr>
              <w:overflowPunct/>
              <w:autoSpaceDE/>
              <w:autoSpaceDN/>
              <w:adjustRightInd/>
              <w:jc w:val="center"/>
              <w:rPr>
                <w:rFonts w:asciiTheme="minorHAnsi" w:hAnsiTheme="minorHAnsi"/>
              </w:rPr>
            </w:pPr>
            <w:r>
              <w:rPr>
                <w:rFonts w:asciiTheme="minorHAnsi" w:hAnsiTheme="minorHAnsi"/>
              </w:rPr>
              <w:t>4</w:t>
            </w:r>
          </w:p>
        </w:tc>
        <w:tc>
          <w:tcPr>
            <w:tcW w:w="1017" w:type="dxa"/>
            <w:vAlign w:val="center"/>
          </w:tcPr>
          <w:p w14:paraId="6B22BC03" w14:textId="6EC92C40" w:rsidR="00CA6903" w:rsidRPr="008A0812" w:rsidRDefault="00406670">
            <w:pPr>
              <w:overflowPunct/>
              <w:autoSpaceDE/>
              <w:autoSpaceDN/>
              <w:adjustRightInd/>
              <w:jc w:val="center"/>
            </w:pPr>
            <w:r>
              <w:t>Fair</w:t>
            </w:r>
          </w:p>
        </w:tc>
        <w:tc>
          <w:tcPr>
            <w:tcW w:w="7034" w:type="dxa"/>
            <w:vAlign w:val="center"/>
          </w:tcPr>
          <w:p w14:paraId="2E93AA04" w14:textId="256BBA81" w:rsidR="00CA6903" w:rsidRPr="008A0812" w:rsidRDefault="00D174D9" w:rsidP="00566E93">
            <w:pPr>
              <w:overflowPunct/>
              <w:autoSpaceDE/>
              <w:autoSpaceDN/>
              <w:adjustRightInd/>
              <w:rPr>
                <w:rFonts w:asciiTheme="majorHAnsi" w:hAnsiTheme="majorHAnsi"/>
              </w:rPr>
            </w:pPr>
            <w:r w:rsidRPr="00D174D9">
              <w:rPr>
                <w:rFonts w:asciiTheme="majorHAnsi" w:hAnsiTheme="majorHAnsi"/>
              </w:rPr>
              <w:t>Asset has significant structure or integrity issues that have the potential to develop into major operational problems</w:t>
            </w:r>
            <w:r w:rsidR="001E712D">
              <w:rPr>
                <w:rFonts w:asciiTheme="majorHAnsi" w:hAnsiTheme="majorHAnsi"/>
              </w:rPr>
              <w:t xml:space="preserve">. </w:t>
            </w:r>
            <w:r w:rsidRPr="00D174D9">
              <w:rPr>
                <w:rFonts w:asciiTheme="majorHAnsi" w:hAnsiTheme="majorHAnsi"/>
              </w:rPr>
              <w:t>Significant leaks, damaged electrical cables</w:t>
            </w:r>
          </w:p>
        </w:tc>
      </w:tr>
      <w:tr w:rsidR="001E712D" w:rsidRPr="008A0812" w14:paraId="1E549329" w14:textId="77777777" w:rsidTr="00755E54">
        <w:trPr>
          <w:cantSplit/>
          <w:trHeight w:val="288"/>
        </w:trPr>
        <w:tc>
          <w:tcPr>
            <w:tcW w:w="1293" w:type="dxa"/>
            <w:vAlign w:val="center"/>
          </w:tcPr>
          <w:p w14:paraId="55EA84AF" w14:textId="3FB7A59B" w:rsidR="00CA6903" w:rsidRPr="008A0812" w:rsidRDefault="00406670">
            <w:pPr>
              <w:overflowPunct/>
              <w:autoSpaceDE/>
              <w:autoSpaceDN/>
              <w:adjustRightInd/>
              <w:jc w:val="center"/>
              <w:rPr>
                <w:rFonts w:asciiTheme="minorHAnsi" w:hAnsiTheme="minorHAnsi"/>
              </w:rPr>
            </w:pPr>
            <w:r>
              <w:rPr>
                <w:rFonts w:asciiTheme="minorHAnsi" w:hAnsiTheme="minorHAnsi"/>
              </w:rPr>
              <w:t>5</w:t>
            </w:r>
          </w:p>
        </w:tc>
        <w:tc>
          <w:tcPr>
            <w:tcW w:w="1017" w:type="dxa"/>
            <w:vAlign w:val="center"/>
          </w:tcPr>
          <w:p w14:paraId="20F10086" w14:textId="31D9CE76" w:rsidR="00CA6903" w:rsidRPr="008A0812" w:rsidRDefault="00406670">
            <w:pPr>
              <w:overflowPunct/>
              <w:autoSpaceDE/>
              <w:autoSpaceDN/>
              <w:adjustRightInd/>
              <w:jc w:val="center"/>
            </w:pPr>
            <w:r>
              <w:t>Poor</w:t>
            </w:r>
          </w:p>
        </w:tc>
        <w:tc>
          <w:tcPr>
            <w:tcW w:w="7034" w:type="dxa"/>
            <w:vAlign w:val="center"/>
          </w:tcPr>
          <w:p w14:paraId="1187634D" w14:textId="77777777" w:rsidR="00C24CC1" w:rsidRDefault="00C24CC1" w:rsidP="00566E93">
            <w:pPr>
              <w:overflowPunct/>
              <w:autoSpaceDE/>
              <w:autoSpaceDN/>
              <w:adjustRightInd/>
            </w:pPr>
            <w:r>
              <w:t>Asset incapable of performing to a satisfactory standard under normal operational conditions</w:t>
            </w:r>
          </w:p>
          <w:p w14:paraId="58ADCB14" w14:textId="11F929F6" w:rsidR="00CA6903" w:rsidRPr="008A0812" w:rsidRDefault="00C24CC1" w:rsidP="00566E93">
            <w:pPr>
              <w:overflowPunct/>
              <w:autoSpaceDE/>
              <w:autoSpaceDN/>
              <w:adjustRightInd/>
              <w:rPr>
                <w:rFonts w:asciiTheme="majorHAnsi" w:hAnsiTheme="majorHAnsi"/>
              </w:rPr>
            </w:pPr>
            <w:r>
              <w:t>Corroded electrical cabinet which is not sealed</w:t>
            </w:r>
          </w:p>
        </w:tc>
      </w:tr>
    </w:tbl>
    <w:p w14:paraId="3A60E5C7" w14:textId="577EC57D" w:rsidR="000860EA" w:rsidRPr="008A0812" w:rsidRDefault="000860EA" w:rsidP="002D2A51">
      <w:pPr>
        <w:pStyle w:val="Heading3"/>
      </w:pPr>
      <w:bookmarkStart w:id="212" w:name="_Toc41680843"/>
      <w:bookmarkEnd w:id="211"/>
      <w:r w:rsidRPr="008A0812">
        <w:t>Consequence of Failure</w:t>
      </w:r>
      <w:bookmarkEnd w:id="212"/>
    </w:p>
    <w:p w14:paraId="661C8DD5" w14:textId="77777777" w:rsidR="000860EA" w:rsidRPr="008A0812" w:rsidRDefault="000860EA" w:rsidP="000860EA">
      <w:pPr>
        <w:pStyle w:val="BodyText"/>
        <w:rPr>
          <w:caps/>
        </w:rPr>
      </w:pPr>
      <w:r w:rsidRPr="008A0812">
        <w:t xml:space="preserve">When assets fail, the consequences depend on the failure mode and level of redundancy. Consequences of failure can range from a minor inconvenience to a major disruption of customer service, inability to comply with operating permit, and possible endangerment of public health. </w:t>
      </w:r>
    </w:p>
    <w:p w14:paraId="356B2307" w14:textId="10F4E0CB" w:rsidR="000860EA" w:rsidRPr="008A0812" w:rsidRDefault="000860EA" w:rsidP="000860EA">
      <w:pPr>
        <w:pStyle w:val="BodyText"/>
      </w:pPr>
      <w:r w:rsidRPr="008A0812">
        <w:t xml:space="preserve">The consequence of failure measures the direct and indirect impacts of an asset failure from triple bottom line perspectives of economic, environment and social factors. The consequence of failure was assessed at both the process-location-level and asset-level as show in </w:t>
      </w:r>
      <w:r w:rsidR="0047478E" w:rsidRPr="008A0812">
        <w:fldChar w:fldCharType="begin"/>
      </w:r>
      <w:r w:rsidR="0047478E" w:rsidRPr="008A0812">
        <w:instrText xml:space="preserve"> REF _Ref36230902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3</w:t>
      </w:r>
      <w:r w:rsidR="0047478E" w:rsidRPr="008A0812">
        <w:fldChar w:fldCharType="end"/>
      </w:r>
      <w:r w:rsidRPr="008A0812">
        <w:t xml:space="preserve">.  </w:t>
      </w:r>
    </w:p>
    <w:p w14:paraId="1EDC28A9" w14:textId="339AB750" w:rsidR="0047478E" w:rsidRPr="008A0812" w:rsidRDefault="0047478E" w:rsidP="00AF40CB">
      <w:pPr>
        <w:pStyle w:val="FigureHeading"/>
      </w:pPr>
      <w:bookmarkStart w:id="213" w:name="_Ref36230902"/>
      <w:bookmarkStart w:id="214" w:name="_Toc41684680"/>
      <w:r w:rsidRPr="008A0812">
        <w:t xml:space="preserve">Figure </w:t>
      </w:r>
      <w:fldSimple w:instr=" STYLEREF 1 \s ">
        <w:r w:rsidR="00AA68F8">
          <w:rPr>
            <w:noProof/>
          </w:rPr>
          <w:t>4</w:t>
        </w:r>
      </w:fldSimple>
      <w:r w:rsidR="00B233D1">
        <w:noBreakHyphen/>
      </w:r>
      <w:fldSimple w:instr=" SEQ Figure \* ARABIC \s 1 ">
        <w:r w:rsidR="00AA68F8">
          <w:rPr>
            <w:noProof/>
          </w:rPr>
          <w:t>3</w:t>
        </w:r>
      </w:fldSimple>
      <w:bookmarkEnd w:id="213"/>
      <w:r w:rsidRPr="008A0812">
        <w:t>: Consequence of Failure: Multiple Levels</w:t>
      </w:r>
      <w:bookmarkEnd w:id="214"/>
    </w:p>
    <w:p w14:paraId="1C6DC3A8" w14:textId="1E33A3C6" w:rsidR="000860EA" w:rsidRPr="008A0812" w:rsidRDefault="000860EA" w:rsidP="000860EA">
      <w:pPr>
        <w:pStyle w:val="BodyText"/>
        <w:jc w:val="center"/>
      </w:pPr>
      <w:r w:rsidRPr="008A0812">
        <w:rPr>
          <w:noProof/>
        </w:rPr>
        <w:drawing>
          <wp:inline distT="0" distB="0" distL="0" distR="0" wp14:anchorId="3E1E9CC6" wp14:editId="37713A76">
            <wp:extent cx="4400550" cy="2009775"/>
            <wp:effectExtent l="0" t="0" r="0" b="9525"/>
            <wp:docPr id="231" name="Picture 23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57"/>
                    <a:srcRect r="10291"/>
                    <a:stretch/>
                  </pic:blipFill>
                  <pic:spPr bwMode="auto">
                    <a:xfrm>
                      <a:off x="0" y="0"/>
                      <a:ext cx="4400550" cy="2009775"/>
                    </a:xfrm>
                    <a:prstGeom prst="rect">
                      <a:avLst/>
                    </a:prstGeom>
                    <a:ln>
                      <a:noFill/>
                    </a:ln>
                    <a:extLst>
                      <a:ext uri="{53640926-AAD7-44D8-BBD7-CCE9431645EC}">
                        <a14:shadowObscured xmlns:a14="http://schemas.microsoft.com/office/drawing/2010/main"/>
                      </a:ext>
                    </a:extLst>
                  </pic:spPr>
                </pic:pic>
              </a:graphicData>
            </a:graphic>
          </wp:inline>
        </w:drawing>
      </w:r>
    </w:p>
    <w:p w14:paraId="3A8B6087" w14:textId="77777777" w:rsidR="000860EA" w:rsidRPr="008A0812" w:rsidRDefault="000860EA" w:rsidP="000860EA">
      <w:pPr>
        <w:pStyle w:val="BodyText"/>
      </w:pPr>
      <w:r w:rsidRPr="008A0812">
        <w:t xml:space="preserve">To objectively measure the criticality of each process, an assessment was conducted at a WRP-wide level, considering all processes managed by the SBMWD. Four parameters were identified by the SBMWD to measure the consequence of failure at the process-level: </w:t>
      </w:r>
    </w:p>
    <w:p w14:paraId="1002FF73" w14:textId="7B25481D" w:rsidR="000860EA" w:rsidRPr="008A0812" w:rsidRDefault="000860EA" w:rsidP="000860EA">
      <w:pPr>
        <w:pStyle w:val="Bullet"/>
      </w:pPr>
      <w:r w:rsidRPr="008A0812">
        <w:t>Fatalities/Serious Injuries or Sickness</w:t>
      </w:r>
    </w:p>
    <w:p w14:paraId="5E0EA189" w14:textId="604C7173" w:rsidR="000860EA" w:rsidRPr="008A0812" w:rsidRDefault="000860EA" w:rsidP="000860EA">
      <w:pPr>
        <w:pStyle w:val="Bullet"/>
      </w:pPr>
      <w:r w:rsidRPr="008A0812">
        <w:t>Cost to Remediate/Economic Loss</w:t>
      </w:r>
    </w:p>
    <w:p w14:paraId="7257FEE6" w14:textId="6FA93EC9" w:rsidR="000860EA" w:rsidRPr="008A0812" w:rsidRDefault="000860EA" w:rsidP="000860EA">
      <w:pPr>
        <w:pStyle w:val="Bullet"/>
      </w:pPr>
      <w:r w:rsidRPr="008A0812">
        <w:t>Environmental Damage</w:t>
      </w:r>
    </w:p>
    <w:p w14:paraId="34DAC09B" w14:textId="417CE7F8" w:rsidR="000860EA" w:rsidRPr="008A0812" w:rsidRDefault="000860EA" w:rsidP="000860EA">
      <w:pPr>
        <w:pStyle w:val="Bullet"/>
      </w:pPr>
      <w:r w:rsidRPr="008A0812">
        <w:t>Public Perception</w:t>
      </w:r>
    </w:p>
    <w:p w14:paraId="05A19CAC" w14:textId="52036BFA" w:rsidR="000860EA" w:rsidRPr="008A0812" w:rsidRDefault="000860EA" w:rsidP="000860EA">
      <w:pPr>
        <w:pStyle w:val="BodyText"/>
      </w:pPr>
      <w:r w:rsidRPr="008A0812">
        <w:t xml:space="preserve">Each process was assigned a score of 1 to 5 under each consequence of failure parameter to describe the impact of failure from no impact to high impact. </w:t>
      </w:r>
      <w:r w:rsidR="00EE5870" w:rsidRPr="008A0812">
        <w:fldChar w:fldCharType="begin"/>
      </w:r>
      <w:r w:rsidR="00EE5870" w:rsidRPr="008A0812">
        <w:instrText xml:space="preserve"> REF _Ref36231778 \h </w:instrText>
      </w:r>
      <w:r w:rsidR="008A0812">
        <w:instrText xml:space="preserve"> \* MERGEFORMAT </w:instrText>
      </w:r>
      <w:r w:rsidR="00EE5870" w:rsidRPr="008A0812">
        <w:fldChar w:fldCharType="separate"/>
      </w:r>
      <w:r w:rsidR="00AA68F8" w:rsidRPr="008A0812">
        <w:t xml:space="preserve">Table </w:t>
      </w:r>
      <w:r w:rsidR="00AA68F8">
        <w:rPr>
          <w:noProof/>
        </w:rPr>
        <w:t>4</w:t>
      </w:r>
      <w:r w:rsidR="00AA68F8" w:rsidRPr="008A0812">
        <w:rPr>
          <w:noProof/>
        </w:rPr>
        <w:noBreakHyphen/>
      </w:r>
      <w:r w:rsidR="00AA68F8">
        <w:rPr>
          <w:noProof/>
        </w:rPr>
        <w:t>2</w:t>
      </w:r>
      <w:r w:rsidR="00EE5870" w:rsidRPr="008A0812">
        <w:fldChar w:fldCharType="end"/>
      </w:r>
      <w:r w:rsidRPr="008A0812">
        <w:t xml:space="preserve"> presents the process-level guideline for scoring each consequence of failure parameter from 1 to 5.</w:t>
      </w:r>
    </w:p>
    <w:p w14:paraId="0A7A1467" w14:textId="34EC2386" w:rsidR="00EE5870" w:rsidRPr="008A0812" w:rsidRDefault="00EE5870" w:rsidP="00EE5870">
      <w:pPr>
        <w:pStyle w:val="TableHeading"/>
      </w:pPr>
      <w:bookmarkStart w:id="215" w:name="_Ref36231778"/>
      <w:bookmarkStart w:id="216" w:name="_Toc36414044"/>
      <w:bookmarkStart w:id="217" w:name="_Toc41684745"/>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215"/>
      <w:r w:rsidRPr="008A0812">
        <w:t>: Process/Location-Level Scoring Guide</w:t>
      </w:r>
      <w:bookmarkEnd w:id="216"/>
      <w:bookmarkEnd w:id="217"/>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706"/>
        <w:gridCol w:w="6026"/>
        <w:gridCol w:w="1612"/>
      </w:tblGrid>
      <w:tr w:rsidR="000860EA" w:rsidRPr="008A0812" w14:paraId="7C5A4048" w14:textId="77777777" w:rsidTr="00755E54">
        <w:trPr>
          <w:trHeight w:val="288"/>
          <w:tblHeader/>
        </w:trPr>
        <w:tc>
          <w:tcPr>
            <w:tcW w:w="1706" w:type="dxa"/>
            <w:shd w:val="clear" w:color="auto" w:fill="BFBFBF"/>
            <w:vAlign w:val="center"/>
            <w:hideMark/>
          </w:tcPr>
          <w:p w14:paraId="3D1DCEDF" w14:textId="3DC67F9B" w:rsidR="000860EA" w:rsidRPr="008A0812" w:rsidRDefault="000860EA" w:rsidP="00011AAF">
            <w:pPr>
              <w:overflowPunct/>
              <w:autoSpaceDE/>
              <w:autoSpaceDN/>
              <w:adjustRightInd/>
              <w:jc w:val="center"/>
              <w:rPr>
                <w:b/>
                <w:bCs/>
              </w:rPr>
            </w:pPr>
            <w:r w:rsidRPr="008A0812">
              <w:rPr>
                <w:b/>
                <w:bCs/>
              </w:rPr>
              <w:t>CoF Range</w:t>
            </w:r>
          </w:p>
        </w:tc>
        <w:tc>
          <w:tcPr>
            <w:tcW w:w="6026" w:type="dxa"/>
            <w:shd w:val="clear" w:color="auto" w:fill="BFBFBF"/>
          </w:tcPr>
          <w:p w14:paraId="3B961276" w14:textId="10B7E24B" w:rsidR="000860EA" w:rsidRPr="008A0812" w:rsidRDefault="000860EA" w:rsidP="00011AAF">
            <w:pPr>
              <w:overflowPunct/>
              <w:autoSpaceDE/>
              <w:autoSpaceDN/>
              <w:adjustRightInd/>
              <w:jc w:val="center"/>
              <w:rPr>
                <w:b/>
                <w:bCs/>
              </w:rPr>
            </w:pPr>
            <w:r w:rsidRPr="008A0812">
              <w:rPr>
                <w:b/>
                <w:bCs/>
              </w:rPr>
              <w:t>Description</w:t>
            </w:r>
          </w:p>
        </w:tc>
        <w:tc>
          <w:tcPr>
            <w:tcW w:w="1612" w:type="dxa"/>
            <w:shd w:val="clear" w:color="auto" w:fill="BFBFBF"/>
            <w:vAlign w:val="center"/>
            <w:hideMark/>
          </w:tcPr>
          <w:p w14:paraId="074EFD5B" w14:textId="2F3CA680" w:rsidR="000860EA" w:rsidRPr="008A0812" w:rsidRDefault="000860EA" w:rsidP="00011AAF">
            <w:pPr>
              <w:overflowPunct/>
              <w:autoSpaceDE/>
              <w:autoSpaceDN/>
              <w:adjustRightInd/>
              <w:jc w:val="center"/>
              <w:rPr>
                <w:rFonts w:ascii="Times New Roman" w:hAnsi="Times New Roman"/>
                <w:sz w:val="24"/>
                <w:szCs w:val="24"/>
              </w:rPr>
            </w:pPr>
            <w:r w:rsidRPr="008A0812">
              <w:rPr>
                <w:b/>
                <w:bCs/>
              </w:rPr>
              <w:t>CoF Score</w:t>
            </w:r>
          </w:p>
        </w:tc>
      </w:tr>
      <w:tr w:rsidR="000860EA" w:rsidRPr="008A0812" w14:paraId="457AB663" w14:textId="77777777" w:rsidTr="000860EA">
        <w:trPr>
          <w:trHeight w:val="288"/>
        </w:trPr>
        <w:tc>
          <w:tcPr>
            <w:tcW w:w="1706" w:type="dxa"/>
            <w:vAlign w:val="center"/>
          </w:tcPr>
          <w:p w14:paraId="2D60FB26" w14:textId="421330CC" w:rsidR="000860EA" w:rsidRPr="008A0812" w:rsidRDefault="000860EA" w:rsidP="00011AAF">
            <w:pPr>
              <w:overflowPunct/>
              <w:autoSpaceDE/>
              <w:autoSpaceDN/>
              <w:adjustRightInd/>
              <w:jc w:val="center"/>
              <w:rPr>
                <w:rFonts w:asciiTheme="minorHAnsi" w:hAnsiTheme="minorHAnsi"/>
              </w:rPr>
            </w:pPr>
            <w:r w:rsidRPr="008A0812">
              <w:rPr>
                <w:rFonts w:asciiTheme="minorHAnsi" w:hAnsiTheme="minorHAnsi"/>
              </w:rPr>
              <w:t>Lowest</w:t>
            </w:r>
          </w:p>
        </w:tc>
        <w:tc>
          <w:tcPr>
            <w:tcW w:w="6026" w:type="dxa"/>
            <w:vAlign w:val="center"/>
          </w:tcPr>
          <w:p w14:paraId="7C8FB758" w14:textId="553B3F71" w:rsidR="000860EA" w:rsidRPr="008A0812" w:rsidRDefault="000860EA" w:rsidP="00011AAF">
            <w:pPr>
              <w:overflowPunct/>
              <w:autoSpaceDE/>
              <w:autoSpaceDN/>
              <w:adjustRightInd/>
              <w:jc w:val="center"/>
            </w:pPr>
            <w:r w:rsidRPr="008A0812">
              <w:t>Lowest impact on the main functionality of the process/facility</w:t>
            </w:r>
          </w:p>
        </w:tc>
        <w:tc>
          <w:tcPr>
            <w:tcW w:w="1612" w:type="dxa"/>
            <w:vAlign w:val="center"/>
          </w:tcPr>
          <w:p w14:paraId="3079A34E" w14:textId="72247519" w:rsidR="000860EA" w:rsidRPr="008A0812" w:rsidRDefault="000860EA" w:rsidP="000860EA">
            <w:pPr>
              <w:overflowPunct/>
              <w:autoSpaceDE/>
              <w:autoSpaceDN/>
              <w:adjustRightInd/>
              <w:jc w:val="center"/>
              <w:rPr>
                <w:rFonts w:asciiTheme="majorHAnsi" w:hAnsiTheme="majorHAnsi"/>
              </w:rPr>
            </w:pPr>
            <w:r w:rsidRPr="008A0812">
              <w:rPr>
                <w:rFonts w:asciiTheme="majorHAnsi" w:hAnsiTheme="majorHAnsi"/>
              </w:rPr>
              <w:t>1</w:t>
            </w:r>
          </w:p>
        </w:tc>
      </w:tr>
      <w:tr w:rsidR="000860EA" w:rsidRPr="008A0812" w14:paraId="76EBFA4C" w14:textId="77777777" w:rsidTr="000860EA">
        <w:trPr>
          <w:trHeight w:val="288"/>
        </w:trPr>
        <w:tc>
          <w:tcPr>
            <w:tcW w:w="1706" w:type="dxa"/>
            <w:vAlign w:val="center"/>
          </w:tcPr>
          <w:p w14:paraId="0FB3BFA5" w14:textId="36480852" w:rsidR="000860EA" w:rsidRPr="008A0812" w:rsidRDefault="000860EA" w:rsidP="00011AAF">
            <w:pPr>
              <w:overflowPunct/>
              <w:autoSpaceDE/>
              <w:autoSpaceDN/>
              <w:adjustRightInd/>
              <w:jc w:val="center"/>
              <w:rPr>
                <w:rFonts w:asciiTheme="minorHAnsi" w:hAnsiTheme="minorHAnsi"/>
              </w:rPr>
            </w:pPr>
            <w:r w:rsidRPr="008A0812">
              <w:rPr>
                <w:rFonts w:asciiTheme="minorHAnsi" w:hAnsiTheme="minorHAnsi"/>
              </w:rPr>
              <w:t>Lower</w:t>
            </w:r>
          </w:p>
        </w:tc>
        <w:tc>
          <w:tcPr>
            <w:tcW w:w="6026" w:type="dxa"/>
            <w:vAlign w:val="center"/>
          </w:tcPr>
          <w:p w14:paraId="7DCBE1F2" w14:textId="11496955" w:rsidR="000860EA" w:rsidRPr="008A0812" w:rsidRDefault="000860EA" w:rsidP="00011AAF">
            <w:pPr>
              <w:overflowPunct/>
              <w:autoSpaceDE/>
              <w:autoSpaceDN/>
              <w:adjustRightInd/>
              <w:jc w:val="center"/>
            </w:pPr>
            <w:r w:rsidRPr="008A0812">
              <w:t>Lower impact on the main functionality of the process/facility</w:t>
            </w:r>
          </w:p>
        </w:tc>
        <w:tc>
          <w:tcPr>
            <w:tcW w:w="1612" w:type="dxa"/>
            <w:vAlign w:val="center"/>
          </w:tcPr>
          <w:p w14:paraId="11A80C49" w14:textId="7BAD3EEF" w:rsidR="000860EA" w:rsidRPr="008A0812" w:rsidRDefault="000860EA" w:rsidP="000860EA">
            <w:pPr>
              <w:overflowPunct/>
              <w:autoSpaceDE/>
              <w:autoSpaceDN/>
              <w:adjustRightInd/>
              <w:jc w:val="center"/>
              <w:rPr>
                <w:rFonts w:asciiTheme="majorHAnsi" w:hAnsiTheme="majorHAnsi"/>
              </w:rPr>
            </w:pPr>
            <w:r w:rsidRPr="008A0812">
              <w:rPr>
                <w:rFonts w:asciiTheme="majorHAnsi" w:hAnsiTheme="majorHAnsi"/>
              </w:rPr>
              <w:t>2</w:t>
            </w:r>
          </w:p>
        </w:tc>
      </w:tr>
      <w:tr w:rsidR="000860EA" w:rsidRPr="008A0812" w14:paraId="772CCA9E" w14:textId="77777777" w:rsidTr="000860EA">
        <w:trPr>
          <w:trHeight w:val="288"/>
        </w:trPr>
        <w:tc>
          <w:tcPr>
            <w:tcW w:w="1706" w:type="dxa"/>
            <w:vAlign w:val="center"/>
          </w:tcPr>
          <w:p w14:paraId="55EE3523" w14:textId="5C51C08B" w:rsidR="000860EA" w:rsidRPr="008A0812" w:rsidRDefault="000860EA" w:rsidP="00011AAF">
            <w:pPr>
              <w:overflowPunct/>
              <w:autoSpaceDE/>
              <w:autoSpaceDN/>
              <w:adjustRightInd/>
              <w:jc w:val="center"/>
              <w:rPr>
                <w:rFonts w:asciiTheme="minorHAnsi" w:hAnsiTheme="minorHAnsi"/>
              </w:rPr>
            </w:pPr>
            <w:r w:rsidRPr="008A0812">
              <w:rPr>
                <w:rFonts w:asciiTheme="minorHAnsi" w:hAnsiTheme="minorHAnsi"/>
              </w:rPr>
              <w:t>High</w:t>
            </w:r>
          </w:p>
        </w:tc>
        <w:tc>
          <w:tcPr>
            <w:tcW w:w="6026" w:type="dxa"/>
            <w:vAlign w:val="center"/>
          </w:tcPr>
          <w:p w14:paraId="2E795F8D" w14:textId="134DA143" w:rsidR="000860EA" w:rsidRPr="008A0812" w:rsidRDefault="000860EA" w:rsidP="00011AAF">
            <w:pPr>
              <w:overflowPunct/>
              <w:autoSpaceDE/>
              <w:autoSpaceDN/>
              <w:adjustRightInd/>
              <w:jc w:val="center"/>
            </w:pPr>
            <w:r w:rsidRPr="008A0812">
              <w:t>High impact on the main functionality of the process/facility</w:t>
            </w:r>
          </w:p>
        </w:tc>
        <w:tc>
          <w:tcPr>
            <w:tcW w:w="1612" w:type="dxa"/>
            <w:vAlign w:val="center"/>
          </w:tcPr>
          <w:p w14:paraId="015363EA" w14:textId="40544498" w:rsidR="000860EA" w:rsidRPr="008A0812" w:rsidRDefault="000860EA" w:rsidP="000860EA">
            <w:pPr>
              <w:overflowPunct/>
              <w:autoSpaceDE/>
              <w:autoSpaceDN/>
              <w:adjustRightInd/>
              <w:jc w:val="center"/>
              <w:rPr>
                <w:rFonts w:asciiTheme="majorHAnsi" w:hAnsiTheme="majorHAnsi"/>
              </w:rPr>
            </w:pPr>
            <w:r w:rsidRPr="008A0812">
              <w:rPr>
                <w:rFonts w:asciiTheme="majorHAnsi" w:hAnsiTheme="majorHAnsi"/>
              </w:rPr>
              <w:t>3</w:t>
            </w:r>
          </w:p>
        </w:tc>
      </w:tr>
      <w:tr w:rsidR="000860EA" w:rsidRPr="008A0812" w14:paraId="4A0DE6A2" w14:textId="77777777" w:rsidTr="000860EA">
        <w:trPr>
          <w:trHeight w:val="288"/>
        </w:trPr>
        <w:tc>
          <w:tcPr>
            <w:tcW w:w="1706" w:type="dxa"/>
            <w:vAlign w:val="center"/>
          </w:tcPr>
          <w:p w14:paraId="0C65FB99" w14:textId="6FD4A7D8" w:rsidR="000860EA" w:rsidRPr="008A0812" w:rsidRDefault="000860EA" w:rsidP="00011AAF">
            <w:pPr>
              <w:overflowPunct/>
              <w:autoSpaceDE/>
              <w:autoSpaceDN/>
              <w:adjustRightInd/>
              <w:jc w:val="center"/>
              <w:rPr>
                <w:rFonts w:asciiTheme="minorHAnsi" w:hAnsiTheme="minorHAnsi"/>
              </w:rPr>
            </w:pPr>
            <w:r w:rsidRPr="008A0812">
              <w:rPr>
                <w:rFonts w:asciiTheme="minorHAnsi" w:hAnsiTheme="minorHAnsi"/>
              </w:rPr>
              <w:t>Higher</w:t>
            </w:r>
          </w:p>
        </w:tc>
        <w:tc>
          <w:tcPr>
            <w:tcW w:w="6026" w:type="dxa"/>
            <w:vAlign w:val="center"/>
          </w:tcPr>
          <w:p w14:paraId="3F71E6B0" w14:textId="3C70FA7D" w:rsidR="000860EA" w:rsidRPr="008A0812" w:rsidRDefault="000860EA" w:rsidP="00011AAF">
            <w:pPr>
              <w:overflowPunct/>
              <w:autoSpaceDE/>
              <w:autoSpaceDN/>
              <w:adjustRightInd/>
              <w:jc w:val="center"/>
            </w:pPr>
            <w:r w:rsidRPr="008A0812">
              <w:t>Higher impact on the main functionality of the process/facility</w:t>
            </w:r>
          </w:p>
        </w:tc>
        <w:tc>
          <w:tcPr>
            <w:tcW w:w="1612" w:type="dxa"/>
            <w:vAlign w:val="center"/>
          </w:tcPr>
          <w:p w14:paraId="0FABBA11" w14:textId="77777777" w:rsidR="000860EA" w:rsidRPr="008A0812" w:rsidRDefault="000860EA" w:rsidP="000860EA">
            <w:pPr>
              <w:overflowPunct/>
              <w:autoSpaceDE/>
              <w:autoSpaceDN/>
              <w:adjustRightInd/>
              <w:jc w:val="center"/>
              <w:rPr>
                <w:rFonts w:asciiTheme="majorHAnsi" w:hAnsiTheme="majorHAnsi"/>
              </w:rPr>
            </w:pPr>
            <w:r w:rsidRPr="008A0812">
              <w:rPr>
                <w:rFonts w:asciiTheme="majorHAnsi" w:hAnsiTheme="majorHAnsi"/>
              </w:rPr>
              <w:t>4</w:t>
            </w:r>
          </w:p>
        </w:tc>
      </w:tr>
      <w:tr w:rsidR="000860EA" w:rsidRPr="008A0812" w14:paraId="1542385C" w14:textId="77777777" w:rsidTr="000860EA">
        <w:trPr>
          <w:trHeight w:val="288"/>
        </w:trPr>
        <w:tc>
          <w:tcPr>
            <w:tcW w:w="1706" w:type="dxa"/>
            <w:vAlign w:val="center"/>
          </w:tcPr>
          <w:p w14:paraId="1255A122" w14:textId="4BBE1B95" w:rsidR="000860EA" w:rsidRPr="008A0812" w:rsidRDefault="000860EA" w:rsidP="00011AAF">
            <w:pPr>
              <w:overflowPunct/>
              <w:autoSpaceDE/>
              <w:autoSpaceDN/>
              <w:adjustRightInd/>
              <w:jc w:val="center"/>
              <w:rPr>
                <w:rFonts w:asciiTheme="minorHAnsi" w:hAnsiTheme="minorHAnsi"/>
              </w:rPr>
            </w:pPr>
            <w:r w:rsidRPr="008A0812">
              <w:rPr>
                <w:rFonts w:asciiTheme="minorHAnsi" w:hAnsiTheme="minorHAnsi"/>
              </w:rPr>
              <w:t>Highest</w:t>
            </w:r>
          </w:p>
        </w:tc>
        <w:tc>
          <w:tcPr>
            <w:tcW w:w="6026" w:type="dxa"/>
            <w:vAlign w:val="center"/>
          </w:tcPr>
          <w:p w14:paraId="7A134561" w14:textId="52B12FA3" w:rsidR="000860EA" w:rsidRPr="008A0812" w:rsidRDefault="000860EA" w:rsidP="00011AAF">
            <w:pPr>
              <w:overflowPunct/>
              <w:autoSpaceDE/>
              <w:autoSpaceDN/>
              <w:adjustRightInd/>
              <w:jc w:val="center"/>
            </w:pPr>
            <w:r w:rsidRPr="008A0812">
              <w:t>Highest impact on the main functionality of the process/facility</w:t>
            </w:r>
          </w:p>
        </w:tc>
        <w:tc>
          <w:tcPr>
            <w:tcW w:w="1612" w:type="dxa"/>
            <w:vAlign w:val="center"/>
          </w:tcPr>
          <w:p w14:paraId="505984A3" w14:textId="35DF2B23" w:rsidR="000860EA" w:rsidRPr="008A0812" w:rsidRDefault="000860EA" w:rsidP="000860EA">
            <w:pPr>
              <w:overflowPunct/>
              <w:autoSpaceDE/>
              <w:autoSpaceDN/>
              <w:adjustRightInd/>
              <w:jc w:val="center"/>
              <w:rPr>
                <w:rFonts w:asciiTheme="majorHAnsi" w:hAnsiTheme="majorHAnsi"/>
              </w:rPr>
            </w:pPr>
            <w:r w:rsidRPr="008A0812">
              <w:rPr>
                <w:rFonts w:asciiTheme="majorHAnsi" w:hAnsiTheme="majorHAnsi"/>
              </w:rPr>
              <w:t>5</w:t>
            </w:r>
          </w:p>
        </w:tc>
      </w:tr>
    </w:tbl>
    <w:p w14:paraId="4BC43BF9" w14:textId="4DD759C7" w:rsidR="000860EA" w:rsidRPr="008A0812" w:rsidRDefault="00BC2AD6" w:rsidP="00A1350D">
      <w:pPr>
        <w:pStyle w:val="BodyText"/>
      </w:pPr>
      <w:r w:rsidRPr="008A0812">
        <w:t xml:space="preserve">Additionally, each parameter was assigned a weighting factor that defines the relative importance of each parameter. The weight for each factor is shown in </w:t>
      </w:r>
      <w:r w:rsidR="00EE5870" w:rsidRPr="008A0812">
        <w:fldChar w:fldCharType="begin"/>
      </w:r>
      <w:r w:rsidR="00EE5870" w:rsidRPr="008A0812">
        <w:instrText xml:space="preserve"> REF _Ref36231779 \h </w:instrText>
      </w:r>
      <w:r w:rsidR="008A0812">
        <w:instrText xml:space="preserve"> \* MERGEFORMAT </w:instrText>
      </w:r>
      <w:r w:rsidR="00EE5870" w:rsidRPr="008A0812">
        <w:fldChar w:fldCharType="separate"/>
      </w:r>
      <w:r w:rsidR="00AA68F8" w:rsidRPr="008A0812">
        <w:t xml:space="preserve">Table </w:t>
      </w:r>
      <w:r w:rsidR="00AA68F8">
        <w:rPr>
          <w:noProof/>
        </w:rPr>
        <w:t>4</w:t>
      </w:r>
      <w:r w:rsidR="00AA68F8" w:rsidRPr="008A0812">
        <w:rPr>
          <w:noProof/>
        </w:rPr>
        <w:noBreakHyphen/>
      </w:r>
      <w:r w:rsidR="00AA68F8">
        <w:rPr>
          <w:noProof/>
        </w:rPr>
        <w:t>3</w:t>
      </w:r>
      <w:r w:rsidR="00EE5870" w:rsidRPr="008A0812">
        <w:fldChar w:fldCharType="end"/>
      </w:r>
      <w:r w:rsidRPr="008A0812">
        <w:t>.</w:t>
      </w:r>
    </w:p>
    <w:p w14:paraId="7176F7A2" w14:textId="4BEC430A" w:rsidR="00EE5870" w:rsidRPr="008A0812" w:rsidRDefault="00EE5870" w:rsidP="00EE5870">
      <w:pPr>
        <w:pStyle w:val="TableHeading"/>
      </w:pPr>
      <w:bookmarkStart w:id="218" w:name="_Ref36231779"/>
      <w:bookmarkStart w:id="219" w:name="_Toc36414045"/>
      <w:bookmarkStart w:id="220" w:name="_Toc41684746"/>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218"/>
      <w:r w:rsidRPr="008A0812">
        <w:t>: Process/Location Level Weighting Factors</w:t>
      </w:r>
      <w:bookmarkEnd w:id="219"/>
      <w:bookmarkEnd w:id="220"/>
    </w:p>
    <w:tbl>
      <w:tblPr>
        <w:tblW w:w="93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665"/>
        <w:gridCol w:w="4666"/>
      </w:tblGrid>
      <w:tr w:rsidR="00BC2AD6" w:rsidRPr="008A0812" w14:paraId="0C171E1F" w14:textId="77777777" w:rsidTr="00153FF7">
        <w:trPr>
          <w:trHeight w:val="288"/>
        </w:trPr>
        <w:tc>
          <w:tcPr>
            <w:tcW w:w="4665" w:type="dxa"/>
            <w:shd w:val="clear" w:color="auto" w:fill="BFBFBF"/>
            <w:hideMark/>
          </w:tcPr>
          <w:p w14:paraId="6CF390EB" w14:textId="3854B7F6" w:rsidR="00BC2AD6" w:rsidRPr="008A0812" w:rsidRDefault="00BC2AD6" w:rsidP="00011AAF">
            <w:pPr>
              <w:overflowPunct/>
              <w:autoSpaceDE/>
              <w:autoSpaceDN/>
              <w:adjustRightInd/>
              <w:jc w:val="center"/>
              <w:rPr>
                <w:b/>
                <w:bCs/>
              </w:rPr>
            </w:pPr>
            <w:r w:rsidRPr="008A0812">
              <w:rPr>
                <w:b/>
                <w:bCs/>
              </w:rPr>
              <w:t>Process Level CoF Criteria</w:t>
            </w:r>
          </w:p>
        </w:tc>
        <w:tc>
          <w:tcPr>
            <w:tcW w:w="4666" w:type="dxa"/>
            <w:shd w:val="clear" w:color="auto" w:fill="BFBFBF"/>
            <w:hideMark/>
          </w:tcPr>
          <w:p w14:paraId="6BD95823" w14:textId="2BF4E66F" w:rsidR="00BC2AD6" w:rsidRPr="008A0812" w:rsidRDefault="00BC2AD6" w:rsidP="00011AAF">
            <w:pPr>
              <w:overflowPunct/>
              <w:autoSpaceDE/>
              <w:autoSpaceDN/>
              <w:adjustRightInd/>
              <w:jc w:val="center"/>
              <w:rPr>
                <w:rFonts w:ascii="Times New Roman" w:hAnsi="Times New Roman"/>
                <w:sz w:val="24"/>
                <w:szCs w:val="24"/>
              </w:rPr>
            </w:pPr>
            <w:r w:rsidRPr="008A0812">
              <w:rPr>
                <w:b/>
                <w:bCs/>
              </w:rPr>
              <w:t>Weighting Factor (%)</w:t>
            </w:r>
          </w:p>
        </w:tc>
      </w:tr>
      <w:tr w:rsidR="00BC2AD6" w:rsidRPr="008A0812" w14:paraId="1F4FFA3C" w14:textId="77777777" w:rsidTr="00153FF7">
        <w:trPr>
          <w:trHeight w:val="288"/>
        </w:trPr>
        <w:tc>
          <w:tcPr>
            <w:tcW w:w="4665" w:type="dxa"/>
          </w:tcPr>
          <w:p w14:paraId="6DEB31D9" w14:textId="2F34C6DE"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Fatalities/Serious Injury or Sickness</w:t>
            </w:r>
          </w:p>
        </w:tc>
        <w:tc>
          <w:tcPr>
            <w:tcW w:w="4666" w:type="dxa"/>
          </w:tcPr>
          <w:p w14:paraId="398E333A" w14:textId="6E94AA5C"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35</w:t>
            </w:r>
          </w:p>
        </w:tc>
      </w:tr>
      <w:tr w:rsidR="00BC2AD6" w:rsidRPr="008A0812" w14:paraId="42FDD451" w14:textId="77777777" w:rsidTr="00153FF7">
        <w:trPr>
          <w:trHeight w:val="288"/>
        </w:trPr>
        <w:tc>
          <w:tcPr>
            <w:tcW w:w="4665" w:type="dxa"/>
          </w:tcPr>
          <w:p w14:paraId="5A3F922F" w14:textId="579242A7"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Cost to Remediation/Economic Loss</w:t>
            </w:r>
          </w:p>
        </w:tc>
        <w:tc>
          <w:tcPr>
            <w:tcW w:w="4666" w:type="dxa"/>
          </w:tcPr>
          <w:p w14:paraId="1D939D14" w14:textId="5786EFBB"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25</w:t>
            </w:r>
          </w:p>
        </w:tc>
      </w:tr>
      <w:tr w:rsidR="00BC2AD6" w:rsidRPr="008A0812" w14:paraId="0CD7F7D9" w14:textId="77777777" w:rsidTr="00153FF7">
        <w:trPr>
          <w:trHeight w:val="288"/>
        </w:trPr>
        <w:tc>
          <w:tcPr>
            <w:tcW w:w="4665" w:type="dxa"/>
          </w:tcPr>
          <w:p w14:paraId="1EC70F47" w14:textId="32D4DB78"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Environmental Damage</w:t>
            </w:r>
          </w:p>
        </w:tc>
        <w:tc>
          <w:tcPr>
            <w:tcW w:w="4666" w:type="dxa"/>
          </w:tcPr>
          <w:p w14:paraId="3F2F18D2" w14:textId="34623201"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20</w:t>
            </w:r>
          </w:p>
        </w:tc>
      </w:tr>
      <w:tr w:rsidR="00BC2AD6" w:rsidRPr="008A0812" w14:paraId="241A949B" w14:textId="77777777" w:rsidTr="00153FF7">
        <w:trPr>
          <w:trHeight w:val="288"/>
        </w:trPr>
        <w:tc>
          <w:tcPr>
            <w:tcW w:w="4665" w:type="dxa"/>
          </w:tcPr>
          <w:p w14:paraId="544C0537" w14:textId="39FB1B9D"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Public Perception</w:t>
            </w:r>
          </w:p>
        </w:tc>
        <w:tc>
          <w:tcPr>
            <w:tcW w:w="4666" w:type="dxa"/>
          </w:tcPr>
          <w:p w14:paraId="1EC5C4C6" w14:textId="4B1B9B33"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20</w:t>
            </w:r>
          </w:p>
        </w:tc>
      </w:tr>
    </w:tbl>
    <w:p w14:paraId="239A4AE1" w14:textId="4B01A604" w:rsidR="00BC2AD6" w:rsidRPr="008A0812" w:rsidRDefault="00BC2AD6" w:rsidP="00EE5870">
      <w:pPr>
        <w:pStyle w:val="BodyText"/>
      </w:pPr>
      <w:r w:rsidRPr="008A0812">
        <w:t xml:space="preserve">At the asset-level, the impact was measured by the impact of the asset failure on the process. </w:t>
      </w:r>
      <w:r w:rsidR="00EE5870" w:rsidRPr="008A0812">
        <w:fldChar w:fldCharType="begin"/>
      </w:r>
      <w:r w:rsidR="00EE5870" w:rsidRPr="008A0812">
        <w:instrText xml:space="preserve"> REF _Ref36231780 \h </w:instrText>
      </w:r>
      <w:r w:rsidR="008A0812">
        <w:instrText xml:space="preserve"> \* MERGEFORMAT </w:instrText>
      </w:r>
      <w:r w:rsidR="00EE5870" w:rsidRPr="008A0812">
        <w:fldChar w:fldCharType="separate"/>
      </w:r>
      <w:r w:rsidR="00AA68F8" w:rsidRPr="008A0812">
        <w:t xml:space="preserve">Table </w:t>
      </w:r>
      <w:r w:rsidR="00AA68F8">
        <w:rPr>
          <w:noProof/>
        </w:rPr>
        <w:t>4</w:t>
      </w:r>
      <w:r w:rsidR="00AA68F8" w:rsidRPr="008A0812">
        <w:rPr>
          <w:noProof/>
        </w:rPr>
        <w:noBreakHyphen/>
      </w:r>
      <w:r w:rsidR="00AA68F8">
        <w:rPr>
          <w:noProof/>
        </w:rPr>
        <w:t>4</w:t>
      </w:r>
      <w:r w:rsidR="00EE5870" w:rsidRPr="008A0812">
        <w:fldChar w:fldCharType="end"/>
      </w:r>
      <w:r w:rsidR="00EE5870" w:rsidRPr="008A0812">
        <w:t xml:space="preserve"> </w:t>
      </w:r>
      <w:r w:rsidRPr="008A0812">
        <w:t>presents the Asset-level scoring guideline for scoring each consequence of failure parameter from Catastrophic (score of 5) to No impact (score of 1).</w:t>
      </w:r>
      <w:r w:rsidRPr="008A0812">
        <w:tab/>
      </w:r>
    </w:p>
    <w:p w14:paraId="1746AAEC" w14:textId="00AB412D" w:rsidR="00EE5870" w:rsidRPr="008A0812" w:rsidRDefault="00EE5870" w:rsidP="00EE5870">
      <w:pPr>
        <w:pStyle w:val="TableHeading"/>
      </w:pPr>
      <w:bookmarkStart w:id="221" w:name="_Ref36231780"/>
      <w:bookmarkStart w:id="222" w:name="_Toc36414046"/>
      <w:bookmarkStart w:id="223" w:name="_Toc41684747"/>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221"/>
      <w:r w:rsidRPr="008A0812">
        <w:t>: Asset Level CoF Scoring Guide</w:t>
      </w:r>
      <w:bookmarkEnd w:id="222"/>
      <w:bookmarkEnd w:id="223"/>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522"/>
        <w:gridCol w:w="2880"/>
        <w:gridCol w:w="4942"/>
      </w:tblGrid>
      <w:tr w:rsidR="00BC2AD6" w:rsidRPr="008A0812" w14:paraId="5C92D4E7" w14:textId="77777777" w:rsidTr="00BC2AD6">
        <w:trPr>
          <w:trHeight w:val="288"/>
        </w:trPr>
        <w:tc>
          <w:tcPr>
            <w:tcW w:w="1522" w:type="dxa"/>
            <w:shd w:val="clear" w:color="auto" w:fill="BFBFBF"/>
            <w:hideMark/>
          </w:tcPr>
          <w:p w14:paraId="71375647" w14:textId="3B7A2C63" w:rsidR="00BC2AD6" w:rsidRPr="008A0812" w:rsidRDefault="00BC2AD6" w:rsidP="00011AAF">
            <w:pPr>
              <w:overflowPunct/>
              <w:autoSpaceDE/>
              <w:autoSpaceDN/>
              <w:adjustRightInd/>
              <w:jc w:val="center"/>
              <w:rPr>
                <w:b/>
                <w:bCs/>
              </w:rPr>
            </w:pPr>
            <w:r w:rsidRPr="008A0812">
              <w:rPr>
                <w:b/>
                <w:bCs/>
              </w:rPr>
              <w:t>CoF Level</w:t>
            </w:r>
          </w:p>
        </w:tc>
        <w:tc>
          <w:tcPr>
            <w:tcW w:w="2880" w:type="dxa"/>
            <w:shd w:val="clear" w:color="auto" w:fill="BFBFBF"/>
          </w:tcPr>
          <w:p w14:paraId="28DC04A3" w14:textId="4CF4C4C4" w:rsidR="00BC2AD6" w:rsidRPr="008A0812" w:rsidRDefault="00BC2AD6" w:rsidP="00011AAF">
            <w:pPr>
              <w:overflowPunct/>
              <w:autoSpaceDE/>
              <w:autoSpaceDN/>
              <w:adjustRightInd/>
              <w:jc w:val="center"/>
              <w:rPr>
                <w:b/>
                <w:bCs/>
              </w:rPr>
            </w:pPr>
            <w:r w:rsidRPr="008A0812">
              <w:rPr>
                <w:b/>
                <w:bCs/>
              </w:rPr>
              <w:t>Description</w:t>
            </w:r>
          </w:p>
        </w:tc>
        <w:tc>
          <w:tcPr>
            <w:tcW w:w="4942" w:type="dxa"/>
            <w:shd w:val="clear" w:color="auto" w:fill="BFBFBF"/>
            <w:hideMark/>
          </w:tcPr>
          <w:p w14:paraId="72F5D900" w14:textId="73537BF6" w:rsidR="00BC2AD6" w:rsidRPr="008A0812" w:rsidRDefault="00BC2AD6" w:rsidP="00011AAF">
            <w:pPr>
              <w:overflowPunct/>
              <w:autoSpaceDE/>
              <w:autoSpaceDN/>
              <w:adjustRightInd/>
              <w:jc w:val="center"/>
              <w:rPr>
                <w:rFonts w:ascii="Times New Roman" w:hAnsi="Times New Roman"/>
                <w:sz w:val="24"/>
                <w:szCs w:val="24"/>
              </w:rPr>
            </w:pPr>
            <w:r w:rsidRPr="008A0812">
              <w:rPr>
                <w:b/>
                <w:bCs/>
              </w:rPr>
              <w:t>Examples</w:t>
            </w:r>
          </w:p>
        </w:tc>
      </w:tr>
      <w:tr w:rsidR="00BC2AD6" w:rsidRPr="008A0812" w14:paraId="668D2EB1" w14:textId="77777777" w:rsidTr="00BC2AD6">
        <w:trPr>
          <w:trHeight w:val="288"/>
        </w:trPr>
        <w:tc>
          <w:tcPr>
            <w:tcW w:w="1522" w:type="dxa"/>
            <w:vAlign w:val="center"/>
          </w:tcPr>
          <w:p w14:paraId="07FE7E29" w14:textId="16BFF07B"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5 - Highest</w:t>
            </w:r>
          </w:p>
        </w:tc>
        <w:tc>
          <w:tcPr>
            <w:tcW w:w="2880" w:type="dxa"/>
            <w:vAlign w:val="center"/>
          </w:tcPr>
          <w:p w14:paraId="7DAC12B7" w14:textId="2E25C3E9"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Highest impact on the main functionality of the process/facility</w:t>
            </w:r>
          </w:p>
        </w:tc>
        <w:tc>
          <w:tcPr>
            <w:tcW w:w="4942" w:type="dxa"/>
          </w:tcPr>
          <w:p w14:paraId="493A8F02" w14:textId="3C9A7C82" w:rsidR="00BC2AD6" w:rsidRPr="008A0812" w:rsidRDefault="00BC2AD6" w:rsidP="00BC2AD6">
            <w:pPr>
              <w:overflowPunct/>
              <w:autoSpaceDE/>
              <w:autoSpaceDN/>
              <w:adjustRightInd/>
              <w:rPr>
                <w:rFonts w:asciiTheme="majorHAnsi" w:hAnsiTheme="majorHAnsi"/>
              </w:rPr>
            </w:pPr>
            <w:r w:rsidRPr="008A0812">
              <w:rPr>
                <w:rFonts w:asciiTheme="majorHAnsi" w:hAnsiTheme="majorHAnsi"/>
              </w:rPr>
              <w:t>Automatic Transfer Switch, Blowers, Flame Arrester, Gas Detector, Emergency Generator, MCC, Eyewash Station</w:t>
            </w:r>
          </w:p>
        </w:tc>
      </w:tr>
      <w:tr w:rsidR="00BC2AD6" w:rsidRPr="008A0812" w14:paraId="137B5C9E" w14:textId="77777777" w:rsidTr="00BC2AD6">
        <w:trPr>
          <w:trHeight w:val="288"/>
        </w:trPr>
        <w:tc>
          <w:tcPr>
            <w:tcW w:w="1522" w:type="dxa"/>
            <w:vAlign w:val="center"/>
          </w:tcPr>
          <w:p w14:paraId="51453CE1" w14:textId="3CA6483E"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4 - Higher</w:t>
            </w:r>
          </w:p>
        </w:tc>
        <w:tc>
          <w:tcPr>
            <w:tcW w:w="2880" w:type="dxa"/>
            <w:vAlign w:val="center"/>
          </w:tcPr>
          <w:p w14:paraId="1AA75BBE" w14:textId="6C3AA529"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Higher impact on the main functionality of the process/facility</w:t>
            </w:r>
          </w:p>
        </w:tc>
        <w:tc>
          <w:tcPr>
            <w:tcW w:w="4942" w:type="dxa"/>
          </w:tcPr>
          <w:p w14:paraId="683D51E3" w14:textId="19F65A6E" w:rsidR="00BC2AD6" w:rsidRPr="008A0812" w:rsidRDefault="00BC2AD6" w:rsidP="00BC2AD6">
            <w:pPr>
              <w:overflowPunct/>
              <w:autoSpaceDE/>
              <w:autoSpaceDN/>
              <w:adjustRightInd/>
              <w:rPr>
                <w:rFonts w:asciiTheme="majorHAnsi" w:hAnsiTheme="majorHAnsi"/>
              </w:rPr>
            </w:pPr>
            <w:r w:rsidRPr="008A0812">
              <w:rPr>
                <w:rFonts w:asciiTheme="majorHAnsi" w:hAnsiTheme="majorHAnsi"/>
              </w:rPr>
              <w:t>Flow Meter, Pumps, Mixer, Belt Press, Gas Meters, Grinder, Motor, Conveyors, Valves</w:t>
            </w:r>
          </w:p>
        </w:tc>
      </w:tr>
      <w:tr w:rsidR="00BC2AD6" w:rsidRPr="008A0812" w14:paraId="3D9102F7" w14:textId="77777777" w:rsidTr="00BC2AD6">
        <w:trPr>
          <w:trHeight w:val="288"/>
        </w:trPr>
        <w:tc>
          <w:tcPr>
            <w:tcW w:w="1522" w:type="dxa"/>
            <w:vAlign w:val="center"/>
          </w:tcPr>
          <w:p w14:paraId="7E9CC321" w14:textId="072CF08A"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3 - High</w:t>
            </w:r>
          </w:p>
        </w:tc>
        <w:tc>
          <w:tcPr>
            <w:tcW w:w="2880" w:type="dxa"/>
            <w:vAlign w:val="center"/>
          </w:tcPr>
          <w:p w14:paraId="7834F805" w14:textId="0D15849A"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High impact on the main functionality of the process/facility</w:t>
            </w:r>
          </w:p>
        </w:tc>
        <w:tc>
          <w:tcPr>
            <w:tcW w:w="4942" w:type="dxa"/>
          </w:tcPr>
          <w:p w14:paraId="5EF6CFDC" w14:textId="3F00DD76" w:rsidR="00BC2AD6" w:rsidRPr="008A0812" w:rsidRDefault="00BC2AD6" w:rsidP="00BC2AD6">
            <w:pPr>
              <w:overflowPunct/>
              <w:autoSpaceDE/>
              <w:autoSpaceDN/>
              <w:adjustRightInd/>
              <w:rPr>
                <w:rFonts w:asciiTheme="majorHAnsi" w:hAnsiTheme="majorHAnsi"/>
              </w:rPr>
            </w:pPr>
            <w:r w:rsidRPr="008A0812">
              <w:rPr>
                <w:rFonts w:asciiTheme="majorHAnsi" w:hAnsiTheme="majorHAnsi"/>
              </w:rPr>
              <w:t>Air Compressor, Air Dryer, Boiler, Crane Assembly, Fuel Tank, Sampler, Skimmer, Process Structure, Ventilation Fan, Weir Structure</w:t>
            </w:r>
          </w:p>
        </w:tc>
      </w:tr>
      <w:tr w:rsidR="00BC2AD6" w:rsidRPr="008A0812" w14:paraId="281BE4F6" w14:textId="77777777" w:rsidTr="00BC2AD6">
        <w:trPr>
          <w:trHeight w:val="288"/>
        </w:trPr>
        <w:tc>
          <w:tcPr>
            <w:tcW w:w="1522" w:type="dxa"/>
            <w:vAlign w:val="center"/>
          </w:tcPr>
          <w:p w14:paraId="62005070" w14:textId="7FA16467"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2 - Lower</w:t>
            </w:r>
          </w:p>
        </w:tc>
        <w:tc>
          <w:tcPr>
            <w:tcW w:w="2880" w:type="dxa"/>
            <w:vAlign w:val="center"/>
          </w:tcPr>
          <w:p w14:paraId="411AC915" w14:textId="58213374"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Lower impact on the main functionality of the process/facility</w:t>
            </w:r>
          </w:p>
        </w:tc>
        <w:tc>
          <w:tcPr>
            <w:tcW w:w="4942" w:type="dxa"/>
          </w:tcPr>
          <w:p w14:paraId="3BA0EFCA" w14:textId="1BC4D6B0" w:rsidR="00BC2AD6" w:rsidRPr="008A0812" w:rsidRDefault="00BC2AD6" w:rsidP="00BC2AD6">
            <w:pPr>
              <w:overflowPunct/>
              <w:autoSpaceDE/>
              <w:autoSpaceDN/>
              <w:adjustRightInd/>
              <w:rPr>
                <w:rFonts w:asciiTheme="majorHAnsi" w:hAnsiTheme="majorHAnsi"/>
              </w:rPr>
            </w:pPr>
            <w:r w:rsidRPr="008A0812">
              <w:rPr>
                <w:rFonts w:asciiTheme="majorHAnsi" w:hAnsiTheme="majorHAnsi"/>
              </w:rPr>
              <w:t>Access Cover, Louver, Spray System, Air Receiver, Water Softener</w:t>
            </w:r>
          </w:p>
        </w:tc>
      </w:tr>
      <w:tr w:rsidR="00BC2AD6" w:rsidRPr="008A0812" w14:paraId="174C269F" w14:textId="77777777" w:rsidTr="00BC2AD6">
        <w:trPr>
          <w:trHeight w:val="288"/>
        </w:trPr>
        <w:tc>
          <w:tcPr>
            <w:tcW w:w="1522" w:type="dxa"/>
            <w:vAlign w:val="center"/>
          </w:tcPr>
          <w:p w14:paraId="7F2B819D" w14:textId="285DB8DB" w:rsidR="00BC2AD6" w:rsidRPr="008A0812" w:rsidRDefault="00BC2AD6" w:rsidP="00011AAF">
            <w:pPr>
              <w:overflowPunct/>
              <w:autoSpaceDE/>
              <w:autoSpaceDN/>
              <w:adjustRightInd/>
              <w:jc w:val="center"/>
              <w:rPr>
                <w:rFonts w:asciiTheme="minorHAnsi" w:hAnsiTheme="minorHAnsi"/>
              </w:rPr>
            </w:pPr>
            <w:r w:rsidRPr="008A0812">
              <w:rPr>
                <w:rFonts w:asciiTheme="minorHAnsi" w:hAnsiTheme="minorHAnsi"/>
              </w:rPr>
              <w:t>1 - Lowest</w:t>
            </w:r>
          </w:p>
        </w:tc>
        <w:tc>
          <w:tcPr>
            <w:tcW w:w="2880" w:type="dxa"/>
            <w:vAlign w:val="center"/>
          </w:tcPr>
          <w:p w14:paraId="7CD97964" w14:textId="5B0B8B9B" w:rsidR="00BC2AD6" w:rsidRPr="008A0812" w:rsidRDefault="00BC2AD6" w:rsidP="00011AAF">
            <w:pPr>
              <w:overflowPunct/>
              <w:autoSpaceDE/>
              <w:autoSpaceDN/>
              <w:adjustRightInd/>
              <w:jc w:val="center"/>
              <w:rPr>
                <w:rFonts w:asciiTheme="majorHAnsi" w:hAnsiTheme="majorHAnsi"/>
              </w:rPr>
            </w:pPr>
            <w:r w:rsidRPr="008A0812">
              <w:rPr>
                <w:rFonts w:asciiTheme="majorHAnsi" w:hAnsiTheme="majorHAnsi"/>
              </w:rPr>
              <w:t>Lowest impact on the main functionality of the process/facility</w:t>
            </w:r>
          </w:p>
        </w:tc>
        <w:tc>
          <w:tcPr>
            <w:tcW w:w="4942" w:type="dxa"/>
          </w:tcPr>
          <w:p w14:paraId="4318539B" w14:textId="69C9FE8D" w:rsidR="00BC2AD6" w:rsidRPr="008A0812" w:rsidRDefault="00BC2AD6" w:rsidP="00BC2AD6">
            <w:pPr>
              <w:overflowPunct/>
              <w:autoSpaceDE/>
              <w:autoSpaceDN/>
              <w:adjustRightInd/>
              <w:rPr>
                <w:rFonts w:asciiTheme="majorHAnsi" w:hAnsiTheme="majorHAnsi"/>
              </w:rPr>
            </w:pPr>
            <w:r w:rsidRPr="008A0812">
              <w:rPr>
                <w:rFonts w:asciiTheme="majorHAnsi" w:hAnsiTheme="majorHAnsi"/>
              </w:rPr>
              <w:t>Concrete Pad, Exhauster, Paving, Fence, Roof, Trailer, Walkway</w:t>
            </w:r>
          </w:p>
        </w:tc>
      </w:tr>
    </w:tbl>
    <w:p w14:paraId="113C3EF0" w14:textId="1A16D080" w:rsidR="00BC2AD6" w:rsidRPr="008A0812" w:rsidRDefault="002D2A51" w:rsidP="002D2A51">
      <w:pPr>
        <w:pStyle w:val="Heading2"/>
      </w:pPr>
      <w:bookmarkStart w:id="224" w:name="_Toc41680844"/>
      <w:r w:rsidRPr="008A0812">
        <w:t>Risk Results</w:t>
      </w:r>
      <w:bookmarkEnd w:id="224"/>
    </w:p>
    <w:p w14:paraId="78496C81" w14:textId="199E6236" w:rsidR="002D2A51" w:rsidRPr="008A0812" w:rsidRDefault="002D2A51" w:rsidP="002D2A51">
      <w:pPr>
        <w:pStyle w:val="Heading3"/>
      </w:pPr>
      <w:bookmarkStart w:id="225" w:name="_Toc41680845"/>
      <w:r w:rsidRPr="008A0812">
        <w:t>Probability of Failure Summary Results</w:t>
      </w:r>
      <w:bookmarkEnd w:id="225"/>
    </w:p>
    <w:p w14:paraId="402FA21F" w14:textId="7B077425" w:rsidR="002D2A51" w:rsidRPr="008A0812" w:rsidRDefault="002D2A51" w:rsidP="002D2A51">
      <w:pPr>
        <w:pStyle w:val="Bullet"/>
      </w:pPr>
      <w:r w:rsidRPr="008A0812">
        <w:t>The Probability of Failure (PoF) was generated for each WRP asset based on one of two following approaches.</w:t>
      </w:r>
    </w:p>
    <w:p w14:paraId="7E6B5A8F" w14:textId="557B3047" w:rsidR="002D2A51" w:rsidRPr="008A0812" w:rsidRDefault="002D2A51" w:rsidP="002D2A51">
      <w:pPr>
        <w:pStyle w:val="Bullet"/>
      </w:pPr>
      <w:r w:rsidRPr="008A0812">
        <w:t>Condition score for approximately 30% of the WRP’s assets generated during the focused field condition assessment.</w:t>
      </w:r>
    </w:p>
    <w:p w14:paraId="777E19A1" w14:textId="4E1F6023" w:rsidR="002D2A51" w:rsidRPr="008A0812" w:rsidRDefault="002D2A51" w:rsidP="002D2A51">
      <w:pPr>
        <w:pStyle w:val="Bullet"/>
      </w:pPr>
      <w:r w:rsidRPr="008A0812">
        <w:t>Desktop assessment of approximately 70% of the WRP’s assets based on:</w:t>
      </w:r>
    </w:p>
    <w:p w14:paraId="3BAA3517" w14:textId="4184E8B9" w:rsidR="002D2A51" w:rsidRPr="008A0812" w:rsidRDefault="002D2A51" w:rsidP="002D2A51">
      <w:pPr>
        <w:pStyle w:val="BulletIndent"/>
      </w:pPr>
      <w:r w:rsidRPr="008A0812">
        <w:t>Age</w:t>
      </w:r>
    </w:p>
    <w:p w14:paraId="0BC39A16" w14:textId="26AAB3C2" w:rsidR="002D2A51" w:rsidRPr="008A0812" w:rsidRDefault="002D2A51" w:rsidP="002D2A51">
      <w:pPr>
        <w:pStyle w:val="BulletIndent"/>
      </w:pPr>
      <w:r w:rsidRPr="008A0812">
        <w:t>Institutional knowledge</w:t>
      </w:r>
    </w:p>
    <w:p w14:paraId="69FAF297" w14:textId="1F16984B" w:rsidR="002D2A51" w:rsidRPr="008A0812" w:rsidRDefault="002D2A51" w:rsidP="002D2A51">
      <w:pPr>
        <w:pStyle w:val="BulletIndent"/>
      </w:pPr>
      <w:r w:rsidRPr="008A0812">
        <w:t xml:space="preserve">Desktop review of the WRP performance data </w:t>
      </w:r>
    </w:p>
    <w:p w14:paraId="6C2A8383" w14:textId="154C2A19" w:rsidR="002D2A51" w:rsidRPr="008A0812" w:rsidRDefault="00EE5870" w:rsidP="002D2A51">
      <w:pPr>
        <w:pStyle w:val="BodyText"/>
      </w:pPr>
      <w:r w:rsidRPr="008A0812">
        <w:fldChar w:fldCharType="begin"/>
      </w:r>
      <w:r w:rsidRPr="008A0812">
        <w:instrText xml:space="preserve"> REF _Ref36231781 \h </w:instrText>
      </w:r>
      <w:r w:rsidR="008A0812">
        <w:instrText xml:space="preserve"> \* MERGEFORMAT </w:instrText>
      </w:r>
      <w:r w:rsidRPr="008A0812">
        <w:fldChar w:fldCharType="separate"/>
      </w:r>
      <w:r w:rsidR="00AA68F8" w:rsidRPr="008A0812">
        <w:t xml:space="preserve">Table </w:t>
      </w:r>
      <w:r w:rsidR="00AA68F8">
        <w:rPr>
          <w:noProof/>
        </w:rPr>
        <w:t>4</w:t>
      </w:r>
      <w:r w:rsidR="00AA68F8" w:rsidRPr="008A0812">
        <w:rPr>
          <w:noProof/>
        </w:rPr>
        <w:noBreakHyphen/>
      </w:r>
      <w:r w:rsidR="00AA68F8">
        <w:rPr>
          <w:noProof/>
        </w:rPr>
        <w:t>5</w:t>
      </w:r>
      <w:r w:rsidRPr="008A0812">
        <w:fldChar w:fldCharType="end"/>
      </w:r>
      <w:r w:rsidR="002D2A51" w:rsidRPr="008A0812">
        <w:t xml:space="preserve"> shows an example of how assets with a condition score had the Percentage (%) Consumed used to calculate PoF and for assets without a condition score Remaining Useful Life was used to determine PoF. For example, the age of Motor No. 2 is beyond its expected useful life, however the percent consumed based on the condition score of 4 shows that the asset is in Fair condition and therefore has a percent consumed of 84% which results in a remaining useful life of 3 years.</w:t>
      </w:r>
    </w:p>
    <w:p w14:paraId="1CDFFD13" w14:textId="49F30200" w:rsidR="00EE5870" w:rsidRPr="008A0812" w:rsidRDefault="00EE5870" w:rsidP="00EE5870">
      <w:pPr>
        <w:pStyle w:val="TableHeading"/>
      </w:pPr>
      <w:bookmarkStart w:id="226" w:name="_Ref36231781"/>
      <w:bookmarkStart w:id="227" w:name="_Toc36414047"/>
      <w:bookmarkStart w:id="228" w:name="_Toc41684748"/>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226"/>
      <w:r w:rsidRPr="008A0812">
        <w:t>: Calculation of PoF Example</w:t>
      </w:r>
      <w:bookmarkEnd w:id="227"/>
      <w:bookmarkEnd w:id="228"/>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342"/>
        <w:gridCol w:w="1333"/>
        <w:gridCol w:w="1334"/>
        <w:gridCol w:w="1334"/>
        <w:gridCol w:w="1333"/>
        <w:gridCol w:w="1334"/>
        <w:gridCol w:w="1334"/>
      </w:tblGrid>
      <w:tr w:rsidR="002D2A51" w:rsidRPr="008A0812" w14:paraId="59CF8284" w14:textId="77777777" w:rsidTr="00011AAF">
        <w:trPr>
          <w:trHeight w:val="288"/>
        </w:trPr>
        <w:tc>
          <w:tcPr>
            <w:tcW w:w="1342" w:type="dxa"/>
            <w:shd w:val="clear" w:color="auto" w:fill="BFBFBF"/>
            <w:vAlign w:val="bottom"/>
            <w:hideMark/>
          </w:tcPr>
          <w:p w14:paraId="3F03C38A" w14:textId="6BE6A371" w:rsidR="002D2A51" w:rsidRPr="008A0812" w:rsidRDefault="002D2A51" w:rsidP="00011AAF">
            <w:pPr>
              <w:overflowPunct/>
              <w:autoSpaceDE/>
              <w:autoSpaceDN/>
              <w:adjustRightInd/>
              <w:jc w:val="center"/>
              <w:rPr>
                <w:b/>
                <w:bCs/>
              </w:rPr>
            </w:pPr>
            <w:r w:rsidRPr="008A0812">
              <w:rPr>
                <w:b/>
                <w:bCs/>
              </w:rPr>
              <w:t>Asset</w:t>
            </w:r>
          </w:p>
        </w:tc>
        <w:tc>
          <w:tcPr>
            <w:tcW w:w="1333" w:type="dxa"/>
            <w:shd w:val="clear" w:color="auto" w:fill="BFBFBF"/>
            <w:vAlign w:val="bottom"/>
          </w:tcPr>
          <w:p w14:paraId="0E715B74" w14:textId="4AE7EC90" w:rsidR="002D2A51" w:rsidRPr="008A0812" w:rsidRDefault="002D2A51" w:rsidP="00011AAF">
            <w:pPr>
              <w:overflowPunct/>
              <w:autoSpaceDE/>
              <w:autoSpaceDN/>
              <w:adjustRightInd/>
              <w:jc w:val="center"/>
              <w:rPr>
                <w:b/>
                <w:bCs/>
              </w:rPr>
            </w:pPr>
            <w:r w:rsidRPr="008A0812">
              <w:rPr>
                <w:b/>
                <w:bCs/>
              </w:rPr>
              <w:t>Age</w:t>
            </w:r>
          </w:p>
        </w:tc>
        <w:tc>
          <w:tcPr>
            <w:tcW w:w="1334" w:type="dxa"/>
            <w:shd w:val="clear" w:color="auto" w:fill="BFBFBF"/>
            <w:vAlign w:val="bottom"/>
          </w:tcPr>
          <w:p w14:paraId="64F4D770" w14:textId="279DB2A6" w:rsidR="002D2A51" w:rsidRPr="008A0812" w:rsidRDefault="002D2A51" w:rsidP="00011AAF">
            <w:pPr>
              <w:overflowPunct/>
              <w:autoSpaceDE/>
              <w:autoSpaceDN/>
              <w:adjustRightInd/>
              <w:jc w:val="center"/>
              <w:rPr>
                <w:b/>
                <w:bCs/>
              </w:rPr>
            </w:pPr>
            <w:r w:rsidRPr="008A0812">
              <w:rPr>
                <w:b/>
                <w:bCs/>
              </w:rPr>
              <w:t>Condition</w:t>
            </w:r>
          </w:p>
        </w:tc>
        <w:tc>
          <w:tcPr>
            <w:tcW w:w="1334" w:type="dxa"/>
            <w:shd w:val="clear" w:color="auto" w:fill="BFBFBF"/>
            <w:vAlign w:val="bottom"/>
          </w:tcPr>
          <w:p w14:paraId="6CF4D175" w14:textId="50827F42" w:rsidR="002D2A51" w:rsidRPr="008A0812" w:rsidRDefault="002D2A51" w:rsidP="00011AAF">
            <w:pPr>
              <w:overflowPunct/>
              <w:autoSpaceDE/>
              <w:autoSpaceDN/>
              <w:adjustRightInd/>
              <w:jc w:val="center"/>
              <w:rPr>
                <w:b/>
                <w:bCs/>
              </w:rPr>
            </w:pPr>
            <w:r w:rsidRPr="008A0812">
              <w:rPr>
                <w:b/>
                <w:bCs/>
              </w:rPr>
              <w:t>% Consumed</w:t>
            </w:r>
          </w:p>
        </w:tc>
        <w:tc>
          <w:tcPr>
            <w:tcW w:w="1333" w:type="dxa"/>
            <w:shd w:val="clear" w:color="auto" w:fill="BFBFBF"/>
            <w:vAlign w:val="bottom"/>
          </w:tcPr>
          <w:p w14:paraId="2FCF66FA" w14:textId="2493BFBE" w:rsidR="002D2A51" w:rsidRPr="008A0812" w:rsidRDefault="002D2A51" w:rsidP="00011AAF">
            <w:pPr>
              <w:overflowPunct/>
              <w:autoSpaceDE/>
              <w:autoSpaceDN/>
              <w:adjustRightInd/>
              <w:jc w:val="center"/>
              <w:rPr>
                <w:b/>
                <w:bCs/>
              </w:rPr>
            </w:pPr>
            <w:r w:rsidRPr="008A0812">
              <w:rPr>
                <w:b/>
                <w:bCs/>
              </w:rPr>
              <w:t>Expected Useful Life</w:t>
            </w:r>
          </w:p>
        </w:tc>
        <w:tc>
          <w:tcPr>
            <w:tcW w:w="1334" w:type="dxa"/>
            <w:shd w:val="clear" w:color="auto" w:fill="BFBFBF"/>
            <w:vAlign w:val="bottom"/>
          </w:tcPr>
          <w:p w14:paraId="31A892CA" w14:textId="4900A0F6" w:rsidR="002D2A51" w:rsidRPr="008A0812" w:rsidRDefault="002D2A51" w:rsidP="00011AAF">
            <w:pPr>
              <w:overflowPunct/>
              <w:autoSpaceDE/>
              <w:autoSpaceDN/>
              <w:adjustRightInd/>
              <w:jc w:val="center"/>
              <w:rPr>
                <w:b/>
                <w:bCs/>
              </w:rPr>
            </w:pPr>
            <w:r w:rsidRPr="008A0812">
              <w:rPr>
                <w:b/>
                <w:bCs/>
              </w:rPr>
              <w:t>Remaining Useful Life</w:t>
            </w:r>
          </w:p>
        </w:tc>
        <w:tc>
          <w:tcPr>
            <w:tcW w:w="1334" w:type="dxa"/>
            <w:shd w:val="clear" w:color="auto" w:fill="BFBFBF"/>
            <w:vAlign w:val="bottom"/>
            <w:hideMark/>
          </w:tcPr>
          <w:p w14:paraId="2DCE2E35" w14:textId="742BBE20" w:rsidR="002D2A51" w:rsidRPr="008A0812" w:rsidRDefault="002D2A51" w:rsidP="00011AAF">
            <w:pPr>
              <w:overflowPunct/>
              <w:autoSpaceDE/>
              <w:autoSpaceDN/>
              <w:adjustRightInd/>
              <w:jc w:val="center"/>
              <w:rPr>
                <w:rFonts w:ascii="Times New Roman" w:hAnsi="Times New Roman"/>
                <w:sz w:val="24"/>
                <w:szCs w:val="24"/>
              </w:rPr>
            </w:pPr>
            <w:r w:rsidRPr="008A0812">
              <w:rPr>
                <w:b/>
                <w:bCs/>
              </w:rPr>
              <w:t>PoF</w:t>
            </w:r>
            <w:r w:rsidR="00011AAF" w:rsidRPr="008A0812">
              <w:rPr>
                <w:b/>
                <w:bCs/>
              </w:rPr>
              <w:t xml:space="preserve"> (%)</w:t>
            </w:r>
          </w:p>
        </w:tc>
      </w:tr>
      <w:tr w:rsidR="002D2A51" w:rsidRPr="008A0812" w14:paraId="5C9D574D" w14:textId="77777777" w:rsidTr="00011AAF">
        <w:trPr>
          <w:trHeight w:val="288"/>
        </w:trPr>
        <w:tc>
          <w:tcPr>
            <w:tcW w:w="1342" w:type="dxa"/>
            <w:vAlign w:val="center"/>
          </w:tcPr>
          <w:p w14:paraId="08CEE4F0" w14:textId="14981B17"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Concrete Vault</w:t>
            </w:r>
          </w:p>
        </w:tc>
        <w:tc>
          <w:tcPr>
            <w:tcW w:w="1333" w:type="dxa"/>
            <w:vAlign w:val="center"/>
          </w:tcPr>
          <w:p w14:paraId="04317CA5" w14:textId="728979F4"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65</w:t>
            </w:r>
          </w:p>
        </w:tc>
        <w:tc>
          <w:tcPr>
            <w:tcW w:w="1334" w:type="dxa"/>
            <w:vAlign w:val="center"/>
          </w:tcPr>
          <w:p w14:paraId="4B8C8E58" w14:textId="0A45CC2E"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w:t>
            </w:r>
          </w:p>
        </w:tc>
        <w:tc>
          <w:tcPr>
            <w:tcW w:w="1334" w:type="dxa"/>
            <w:vAlign w:val="center"/>
          </w:tcPr>
          <w:p w14:paraId="36FA323E" w14:textId="391A5694"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w:t>
            </w:r>
          </w:p>
        </w:tc>
        <w:tc>
          <w:tcPr>
            <w:tcW w:w="1333" w:type="dxa"/>
            <w:vAlign w:val="center"/>
          </w:tcPr>
          <w:p w14:paraId="36D406AC" w14:textId="3C027109"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100</w:t>
            </w:r>
          </w:p>
        </w:tc>
        <w:tc>
          <w:tcPr>
            <w:tcW w:w="1334" w:type="dxa"/>
            <w:vAlign w:val="center"/>
          </w:tcPr>
          <w:p w14:paraId="3FB7BECB" w14:textId="3BE51A39"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35</w:t>
            </w:r>
          </w:p>
        </w:tc>
        <w:tc>
          <w:tcPr>
            <w:tcW w:w="1334" w:type="dxa"/>
            <w:vAlign w:val="center"/>
          </w:tcPr>
          <w:p w14:paraId="798774EB" w14:textId="4D29C05E"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65</w:t>
            </w:r>
          </w:p>
        </w:tc>
      </w:tr>
      <w:tr w:rsidR="002D2A51" w:rsidRPr="008A0812" w14:paraId="1D4CE316" w14:textId="77777777" w:rsidTr="00011AAF">
        <w:trPr>
          <w:trHeight w:val="288"/>
        </w:trPr>
        <w:tc>
          <w:tcPr>
            <w:tcW w:w="1342" w:type="dxa"/>
            <w:vAlign w:val="center"/>
          </w:tcPr>
          <w:p w14:paraId="1B2B0F99" w14:textId="65F1873A"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Motor No. 1</w:t>
            </w:r>
          </w:p>
        </w:tc>
        <w:tc>
          <w:tcPr>
            <w:tcW w:w="1333" w:type="dxa"/>
            <w:vAlign w:val="center"/>
          </w:tcPr>
          <w:p w14:paraId="5E022644" w14:textId="1C9F4D8B"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12</w:t>
            </w:r>
          </w:p>
        </w:tc>
        <w:tc>
          <w:tcPr>
            <w:tcW w:w="1334" w:type="dxa"/>
            <w:vAlign w:val="center"/>
          </w:tcPr>
          <w:p w14:paraId="586242CB" w14:textId="32B6BEAE"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w:t>
            </w:r>
          </w:p>
        </w:tc>
        <w:tc>
          <w:tcPr>
            <w:tcW w:w="1334" w:type="dxa"/>
            <w:vAlign w:val="center"/>
          </w:tcPr>
          <w:p w14:paraId="6A96FA6E" w14:textId="4278424F"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w:t>
            </w:r>
          </w:p>
        </w:tc>
        <w:tc>
          <w:tcPr>
            <w:tcW w:w="1333" w:type="dxa"/>
            <w:vAlign w:val="center"/>
          </w:tcPr>
          <w:p w14:paraId="3EF6C3CC" w14:textId="41CAAA62"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20</w:t>
            </w:r>
          </w:p>
        </w:tc>
        <w:tc>
          <w:tcPr>
            <w:tcW w:w="1334" w:type="dxa"/>
            <w:vAlign w:val="center"/>
          </w:tcPr>
          <w:p w14:paraId="55B7D5C5" w14:textId="5F2BC22A"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8</w:t>
            </w:r>
          </w:p>
        </w:tc>
        <w:tc>
          <w:tcPr>
            <w:tcW w:w="1334" w:type="dxa"/>
            <w:vAlign w:val="center"/>
          </w:tcPr>
          <w:p w14:paraId="1382D5B3" w14:textId="65D0556D"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60</w:t>
            </w:r>
          </w:p>
        </w:tc>
      </w:tr>
      <w:tr w:rsidR="002D2A51" w:rsidRPr="008A0812" w14:paraId="3ED09352" w14:textId="77777777" w:rsidTr="00011AAF">
        <w:trPr>
          <w:trHeight w:val="288"/>
        </w:trPr>
        <w:tc>
          <w:tcPr>
            <w:tcW w:w="1342" w:type="dxa"/>
            <w:vAlign w:val="center"/>
          </w:tcPr>
          <w:p w14:paraId="29B0792B" w14:textId="2AF83E6A"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Motor No. 2</w:t>
            </w:r>
          </w:p>
        </w:tc>
        <w:tc>
          <w:tcPr>
            <w:tcW w:w="1333" w:type="dxa"/>
            <w:vAlign w:val="center"/>
          </w:tcPr>
          <w:p w14:paraId="7225269B" w14:textId="677212B9"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34</w:t>
            </w:r>
          </w:p>
        </w:tc>
        <w:tc>
          <w:tcPr>
            <w:tcW w:w="1334" w:type="dxa"/>
            <w:vAlign w:val="center"/>
          </w:tcPr>
          <w:p w14:paraId="164674A8" w14:textId="21D01CED"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4</w:t>
            </w:r>
          </w:p>
        </w:tc>
        <w:tc>
          <w:tcPr>
            <w:tcW w:w="1334" w:type="dxa"/>
            <w:vAlign w:val="center"/>
          </w:tcPr>
          <w:p w14:paraId="7F3136C0" w14:textId="53316F62"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84</w:t>
            </w:r>
          </w:p>
        </w:tc>
        <w:tc>
          <w:tcPr>
            <w:tcW w:w="1333" w:type="dxa"/>
            <w:vAlign w:val="center"/>
          </w:tcPr>
          <w:p w14:paraId="03C65607" w14:textId="2815FFB9"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20</w:t>
            </w:r>
          </w:p>
        </w:tc>
        <w:tc>
          <w:tcPr>
            <w:tcW w:w="1334" w:type="dxa"/>
            <w:vAlign w:val="center"/>
          </w:tcPr>
          <w:p w14:paraId="330734E7" w14:textId="2CC4ADB6"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3</w:t>
            </w:r>
          </w:p>
        </w:tc>
        <w:tc>
          <w:tcPr>
            <w:tcW w:w="1334" w:type="dxa"/>
            <w:vAlign w:val="center"/>
          </w:tcPr>
          <w:p w14:paraId="16470D29" w14:textId="1EAF2F8C"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84</w:t>
            </w:r>
          </w:p>
        </w:tc>
      </w:tr>
      <w:tr w:rsidR="002D2A51" w:rsidRPr="008A0812" w14:paraId="42CE15DA" w14:textId="77777777" w:rsidTr="00011AAF">
        <w:trPr>
          <w:trHeight w:val="288"/>
        </w:trPr>
        <w:tc>
          <w:tcPr>
            <w:tcW w:w="1342" w:type="dxa"/>
            <w:vAlign w:val="center"/>
          </w:tcPr>
          <w:p w14:paraId="62B077D2" w14:textId="5948557E"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Ball Valve</w:t>
            </w:r>
          </w:p>
        </w:tc>
        <w:tc>
          <w:tcPr>
            <w:tcW w:w="1333" w:type="dxa"/>
            <w:vAlign w:val="center"/>
          </w:tcPr>
          <w:p w14:paraId="26F1949F" w14:textId="4E6BA6E1"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36</w:t>
            </w:r>
          </w:p>
        </w:tc>
        <w:tc>
          <w:tcPr>
            <w:tcW w:w="1334" w:type="dxa"/>
            <w:vAlign w:val="center"/>
          </w:tcPr>
          <w:p w14:paraId="23E6E319" w14:textId="47F2818B"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5</w:t>
            </w:r>
          </w:p>
        </w:tc>
        <w:tc>
          <w:tcPr>
            <w:tcW w:w="1334" w:type="dxa"/>
            <w:vAlign w:val="center"/>
          </w:tcPr>
          <w:p w14:paraId="27A4CA42" w14:textId="7298B99D"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100</w:t>
            </w:r>
          </w:p>
        </w:tc>
        <w:tc>
          <w:tcPr>
            <w:tcW w:w="1333" w:type="dxa"/>
            <w:vAlign w:val="center"/>
          </w:tcPr>
          <w:p w14:paraId="05A1B010" w14:textId="7614FCCE"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30</w:t>
            </w:r>
          </w:p>
        </w:tc>
        <w:tc>
          <w:tcPr>
            <w:tcW w:w="1334" w:type="dxa"/>
            <w:vAlign w:val="center"/>
          </w:tcPr>
          <w:p w14:paraId="3609A88B" w14:textId="1048DA8A"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0</w:t>
            </w:r>
          </w:p>
        </w:tc>
        <w:tc>
          <w:tcPr>
            <w:tcW w:w="1334" w:type="dxa"/>
            <w:vAlign w:val="center"/>
          </w:tcPr>
          <w:p w14:paraId="1CDF6FBB" w14:textId="1D71AFCF"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100</w:t>
            </w:r>
          </w:p>
        </w:tc>
      </w:tr>
      <w:tr w:rsidR="002D2A51" w:rsidRPr="008A0812" w14:paraId="6E578FDB" w14:textId="77777777" w:rsidTr="00011AAF">
        <w:trPr>
          <w:trHeight w:val="288"/>
        </w:trPr>
        <w:tc>
          <w:tcPr>
            <w:tcW w:w="1342" w:type="dxa"/>
            <w:vAlign w:val="center"/>
          </w:tcPr>
          <w:p w14:paraId="77291985" w14:textId="6729885C"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MCC Cabinet</w:t>
            </w:r>
          </w:p>
        </w:tc>
        <w:tc>
          <w:tcPr>
            <w:tcW w:w="1333" w:type="dxa"/>
            <w:vAlign w:val="center"/>
          </w:tcPr>
          <w:p w14:paraId="7EC4EE89" w14:textId="5CF384D6"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27</w:t>
            </w:r>
          </w:p>
        </w:tc>
        <w:tc>
          <w:tcPr>
            <w:tcW w:w="1334" w:type="dxa"/>
            <w:vAlign w:val="center"/>
          </w:tcPr>
          <w:p w14:paraId="68958EB1" w14:textId="3D609C58"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3</w:t>
            </w:r>
          </w:p>
        </w:tc>
        <w:tc>
          <w:tcPr>
            <w:tcW w:w="1334" w:type="dxa"/>
            <w:vAlign w:val="center"/>
          </w:tcPr>
          <w:p w14:paraId="4C9AC4CE" w14:textId="2516FF95"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65</w:t>
            </w:r>
          </w:p>
        </w:tc>
        <w:tc>
          <w:tcPr>
            <w:tcW w:w="1333" w:type="dxa"/>
            <w:vAlign w:val="center"/>
          </w:tcPr>
          <w:p w14:paraId="4A77932C" w14:textId="3381C8B2"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20</w:t>
            </w:r>
          </w:p>
        </w:tc>
        <w:tc>
          <w:tcPr>
            <w:tcW w:w="1334" w:type="dxa"/>
            <w:vAlign w:val="center"/>
          </w:tcPr>
          <w:p w14:paraId="5DCF4704" w14:textId="55F4952E"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7</w:t>
            </w:r>
          </w:p>
        </w:tc>
        <w:tc>
          <w:tcPr>
            <w:tcW w:w="1334" w:type="dxa"/>
            <w:vAlign w:val="center"/>
          </w:tcPr>
          <w:p w14:paraId="63FFFB46" w14:textId="1906CCE5"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65</w:t>
            </w:r>
          </w:p>
        </w:tc>
      </w:tr>
      <w:tr w:rsidR="002D2A51" w:rsidRPr="008A0812" w14:paraId="2C2E7F52" w14:textId="77777777" w:rsidTr="00011AAF">
        <w:trPr>
          <w:trHeight w:val="288"/>
        </w:trPr>
        <w:tc>
          <w:tcPr>
            <w:tcW w:w="1342" w:type="dxa"/>
            <w:vAlign w:val="center"/>
          </w:tcPr>
          <w:p w14:paraId="40189502" w14:textId="1B75B2B9" w:rsidR="002D2A51" w:rsidRPr="008A0812" w:rsidRDefault="002D2A51" w:rsidP="002D2A51">
            <w:pPr>
              <w:overflowPunct/>
              <w:autoSpaceDE/>
              <w:autoSpaceDN/>
              <w:adjustRightInd/>
              <w:rPr>
                <w:rFonts w:asciiTheme="minorHAnsi" w:hAnsiTheme="minorHAnsi"/>
              </w:rPr>
            </w:pPr>
            <w:r w:rsidRPr="008A0812">
              <w:rPr>
                <w:rFonts w:asciiTheme="minorHAnsi" w:hAnsiTheme="minorHAnsi"/>
              </w:rPr>
              <w:t>VFD</w:t>
            </w:r>
          </w:p>
        </w:tc>
        <w:tc>
          <w:tcPr>
            <w:tcW w:w="1333" w:type="dxa"/>
            <w:vAlign w:val="center"/>
          </w:tcPr>
          <w:p w14:paraId="0A193CDB" w14:textId="0ED7334D" w:rsidR="002D2A51" w:rsidRPr="008A0812" w:rsidRDefault="002D2A51" w:rsidP="00011AAF">
            <w:pPr>
              <w:overflowPunct/>
              <w:autoSpaceDE/>
              <w:autoSpaceDN/>
              <w:adjustRightInd/>
              <w:jc w:val="center"/>
              <w:rPr>
                <w:rFonts w:asciiTheme="majorHAnsi" w:hAnsiTheme="majorHAnsi"/>
              </w:rPr>
            </w:pPr>
            <w:r w:rsidRPr="008A0812">
              <w:rPr>
                <w:rFonts w:asciiTheme="majorHAnsi" w:hAnsiTheme="majorHAnsi"/>
              </w:rPr>
              <w:t>2</w:t>
            </w:r>
          </w:p>
        </w:tc>
        <w:tc>
          <w:tcPr>
            <w:tcW w:w="1334" w:type="dxa"/>
            <w:vAlign w:val="center"/>
          </w:tcPr>
          <w:p w14:paraId="054049D8" w14:textId="3E5AB68F"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w:t>
            </w:r>
          </w:p>
        </w:tc>
        <w:tc>
          <w:tcPr>
            <w:tcW w:w="1334" w:type="dxa"/>
            <w:vAlign w:val="center"/>
          </w:tcPr>
          <w:p w14:paraId="0E5DA45C" w14:textId="7E57B3AB"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0</w:t>
            </w:r>
          </w:p>
        </w:tc>
        <w:tc>
          <w:tcPr>
            <w:tcW w:w="1333" w:type="dxa"/>
            <w:vAlign w:val="center"/>
          </w:tcPr>
          <w:p w14:paraId="39771C70" w14:textId="4C47A691"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15</w:t>
            </w:r>
          </w:p>
        </w:tc>
        <w:tc>
          <w:tcPr>
            <w:tcW w:w="1334" w:type="dxa"/>
            <w:vAlign w:val="center"/>
          </w:tcPr>
          <w:p w14:paraId="298AC550" w14:textId="1D014E11"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15</w:t>
            </w:r>
          </w:p>
        </w:tc>
        <w:tc>
          <w:tcPr>
            <w:tcW w:w="1334" w:type="dxa"/>
            <w:vAlign w:val="center"/>
          </w:tcPr>
          <w:p w14:paraId="4BC0529F" w14:textId="34EF3799" w:rsidR="002D2A51" w:rsidRPr="008A0812" w:rsidRDefault="00011AAF" w:rsidP="00011AAF">
            <w:pPr>
              <w:overflowPunct/>
              <w:autoSpaceDE/>
              <w:autoSpaceDN/>
              <w:adjustRightInd/>
              <w:jc w:val="center"/>
              <w:rPr>
                <w:rFonts w:asciiTheme="majorHAnsi" w:hAnsiTheme="majorHAnsi"/>
              </w:rPr>
            </w:pPr>
            <w:r w:rsidRPr="008A0812">
              <w:rPr>
                <w:rFonts w:asciiTheme="majorHAnsi" w:hAnsiTheme="majorHAnsi"/>
              </w:rPr>
              <w:t>0</w:t>
            </w:r>
          </w:p>
        </w:tc>
      </w:tr>
    </w:tbl>
    <w:p w14:paraId="7C5316B3" w14:textId="548B1DF1" w:rsidR="00BC2AD6" w:rsidRPr="008A0812" w:rsidRDefault="00011AAF" w:rsidP="00A1350D">
      <w:pPr>
        <w:pStyle w:val="BodyText"/>
      </w:pPr>
      <w:r w:rsidRPr="008A0812">
        <w:t xml:space="preserve">PoF thresholds for high, medium, low, and negligible categories were established as shown in </w:t>
      </w:r>
      <w:r w:rsidR="00EE5870" w:rsidRPr="008A0812">
        <w:fldChar w:fldCharType="begin"/>
      </w:r>
      <w:r w:rsidR="00EE5870" w:rsidRPr="008A0812">
        <w:instrText xml:space="preserve"> REF _Ref36231782 \h </w:instrText>
      </w:r>
      <w:r w:rsidR="008A0812">
        <w:instrText xml:space="preserve"> \* MERGEFORMAT </w:instrText>
      </w:r>
      <w:r w:rsidR="00EE5870" w:rsidRPr="008A0812">
        <w:fldChar w:fldCharType="separate"/>
      </w:r>
      <w:r w:rsidR="00AA68F8" w:rsidRPr="008A0812">
        <w:t xml:space="preserve">Table </w:t>
      </w:r>
      <w:r w:rsidR="00AA68F8">
        <w:rPr>
          <w:noProof/>
        </w:rPr>
        <w:t>4</w:t>
      </w:r>
      <w:r w:rsidR="00AA68F8" w:rsidRPr="008A0812">
        <w:rPr>
          <w:noProof/>
        </w:rPr>
        <w:noBreakHyphen/>
      </w:r>
      <w:r w:rsidR="00AA68F8">
        <w:rPr>
          <w:noProof/>
        </w:rPr>
        <w:t>6</w:t>
      </w:r>
      <w:r w:rsidR="00EE5870" w:rsidRPr="008A0812">
        <w:fldChar w:fldCharType="end"/>
      </w:r>
      <w:r w:rsidRPr="008A0812">
        <w:t xml:space="preserve"> and the PoF was calculated for each category.</w:t>
      </w:r>
    </w:p>
    <w:p w14:paraId="70CDF5D8" w14:textId="532335EC" w:rsidR="00EE5870" w:rsidRPr="008A0812" w:rsidRDefault="00EE5870" w:rsidP="00EE5870">
      <w:pPr>
        <w:pStyle w:val="TableHeading"/>
      </w:pPr>
      <w:bookmarkStart w:id="229" w:name="_Ref36231782"/>
      <w:bookmarkStart w:id="230" w:name="_Toc36414048"/>
      <w:bookmarkStart w:id="231" w:name="_Toc41684749"/>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229"/>
      <w:r w:rsidRPr="008A0812">
        <w:t xml:space="preserve">: </w:t>
      </w:r>
      <w:r w:rsidRPr="008A0812">
        <w:rPr>
          <w:bCs/>
        </w:rPr>
        <w:t>PoF Thresholds</w:t>
      </w:r>
      <w:bookmarkEnd w:id="230"/>
      <w:bookmarkEnd w:id="231"/>
    </w:p>
    <w:tbl>
      <w:tblPr>
        <w:tblW w:w="93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665"/>
        <w:gridCol w:w="4666"/>
      </w:tblGrid>
      <w:tr w:rsidR="00153FF7" w:rsidRPr="008A0812" w14:paraId="1EE792B3" w14:textId="77777777" w:rsidTr="0001683D">
        <w:trPr>
          <w:trHeight w:val="288"/>
        </w:trPr>
        <w:tc>
          <w:tcPr>
            <w:tcW w:w="4665" w:type="dxa"/>
            <w:shd w:val="clear" w:color="auto" w:fill="BFBFBF"/>
            <w:hideMark/>
          </w:tcPr>
          <w:p w14:paraId="1512417C" w14:textId="11E32991" w:rsidR="00153FF7" w:rsidRPr="008A0812" w:rsidRDefault="00153FF7" w:rsidP="0001683D">
            <w:pPr>
              <w:overflowPunct/>
              <w:autoSpaceDE/>
              <w:autoSpaceDN/>
              <w:adjustRightInd/>
              <w:jc w:val="center"/>
              <w:rPr>
                <w:b/>
                <w:bCs/>
              </w:rPr>
            </w:pPr>
            <w:r w:rsidRPr="008A0812">
              <w:rPr>
                <w:b/>
                <w:bCs/>
              </w:rPr>
              <w:t>PoF</w:t>
            </w:r>
          </w:p>
        </w:tc>
        <w:tc>
          <w:tcPr>
            <w:tcW w:w="4666" w:type="dxa"/>
            <w:shd w:val="clear" w:color="auto" w:fill="BFBFBF"/>
            <w:hideMark/>
          </w:tcPr>
          <w:p w14:paraId="7866E838" w14:textId="12EC08DC" w:rsidR="00153FF7" w:rsidRPr="008A0812" w:rsidRDefault="00153FF7" w:rsidP="0001683D">
            <w:pPr>
              <w:overflowPunct/>
              <w:autoSpaceDE/>
              <w:autoSpaceDN/>
              <w:adjustRightInd/>
              <w:jc w:val="center"/>
              <w:rPr>
                <w:rFonts w:ascii="Times New Roman" w:hAnsi="Times New Roman"/>
                <w:sz w:val="24"/>
                <w:szCs w:val="24"/>
              </w:rPr>
            </w:pPr>
            <w:r w:rsidRPr="008A0812">
              <w:rPr>
                <w:b/>
                <w:bCs/>
              </w:rPr>
              <w:t>Threshold Values</w:t>
            </w:r>
          </w:p>
        </w:tc>
      </w:tr>
      <w:tr w:rsidR="00153FF7" w:rsidRPr="008A0812" w14:paraId="2199B82A" w14:textId="77777777" w:rsidTr="0001683D">
        <w:trPr>
          <w:trHeight w:val="288"/>
        </w:trPr>
        <w:tc>
          <w:tcPr>
            <w:tcW w:w="4665" w:type="dxa"/>
          </w:tcPr>
          <w:p w14:paraId="34F3954D" w14:textId="581C6566" w:rsidR="00153FF7" w:rsidRPr="008A0812" w:rsidRDefault="00153FF7" w:rsidP="0001683D">
            <w:pPr>
              <w:overflowPunct/>
              <w:autoSpaceDE/>
              <w:autoSpaceDN/>
              <w:adjustRightInd/>
              <w:jc w:val="center"/>
              <w:rPr>
                <w:rFonts w:asciiTheme="minorHAnsi" w:hAnsiTheme="minorHAnsi"/>
              </w:rPr>
            </w:pPr>
            <w:r w:rsidRPr="008A0812">
              <w:rPr>
                <w:rFonts w:asciiTheme="minorHAnsi" w:hAnsiTheme="minorHAnsi"/>
              </w:rPr>
              <w:t>High</w:t>
            </w:r>
          </w:p>
        </w:tc>
        <w:tc>
          <w:tcPr>
            <w:tcW w:w="4666" w:type="dxa"/>
          </w:tcPr>
          <w:p w14:paraId="7FB36E41" w14:textId="16005FCF" w:rsidR="00153FF7" w:rsidRPr="008A0812" w:rsidRDefault="00153FF7" w:rsidP="0001683D">
            <w:pPr>
              <w:overflowPunct/>
              <w:autoSpaceDE/>
              <w:autoSpaceDN/>
              <w:adjustRightInd/>
              <w:jc w:val="center"/>
              <w:rPr>
                <w:rFonts w:asciiTheme="majorHAnsi" w:hAnsiTheme="majorHAnsi"/>
              </w:rPr>
            </w:pPr>
            <w:r w:rsidRPr="008A0812">
              <w:rPr>
                <w:rFonts w:asciiTheme="majorHAnsi" w:hAnsiTheme="majorHAnsi"/>
              </w:rPr>
              <w:t>Greater than 75%</w:t>
            </w:r>
          </w:p>
        </w:tc>
      </w:tr>
      <w:tr w:rsidR="00153FF7" w:rsidRPr="008A0812" w14:paraId="417C9C55" w14:textId="77777777" w:rsidTr="0001683D">
        <w:trPr>
          <w:trHeight w:val="288"/>
        </w:trPr>
        <w:tc>
          <w:tcPr>
            <w:tcW w:w="4665" w:type="dxa"/>
          </w:tcPr>
          <w:p w14:paraId="213AE32D" w14:textId="2F95825A" w:rsidR="00153FF7" w:rsidRPr="008A0812" w:rsidRDefault="00153FF7" w:rsidP="0001683D">
            <w:pPr>
              <w:overflowPunct/>
              <w:autoSpaceDE/>
              <w:autoSpaceDN/>
              <w:adjustRightInd/>
              <w:jc w:val="center"/>
              <w:rPr>
                <w:rFonts w:asciiTheme="minorHAnsi" w:hAnsiTheme="minorHAnsi"/>
              </w:rPr>
            </w:pPr>
            <w:r w:rsidRPr="008A0812">
              <w:rPr>
                <w:rFonts w:asciiTheme="minorHAnsi" w:hAnsiTheme="minorHAnsi"/>
              </w:rPr>
              <w:t>Medium</w:t>
            </w:r>
          </w:p>
        </w:tc>
        <w:tc>
          <w:tcPr>
            <w:tcW w:w="4666" w:type="dxa"/>
          </w:tcPr>
          <w:p w14:paraId="6B29E680" w14:textId="2CAC2948" w:rsidR="00153FF7" w:rsidRPr="008A0812" w:rsidRDefault="00153FF7" w:rsidP="0001683D">
            <w:pPr>
              <w:overflowPunct/>
              <w:autoSpaceDE/>
              <w:autoSpaceDN/>
              <w:adjustRightInd/>
              <w:jc w:val="center"/>
              <w:rPr>
                <w:rFonts w:asciiTheme="majorHAnsi" w:hAnsiTheme="majorHAnsi"/>
              </w:rPr>
            </w:pPr>
            <w:r w:rsidRPr="008A0812">
              <w:rPr>
                <w:rFonts w:asciiTheme="majorHAnsi" w:hAnsiTheme="majorHAnsi"/>
              </w:rPr>
              <w:t>Between 50% and 75% (including 75%)</w:t>
            </w:r>
          </w:p>
        </w:tc>
      </w:tr>
      <w:tr w:rsidR="00153FF7" w:rsidRPr="008A0812" w14:paraId="66E49D69" w14:textId="77777777" w:rsidTr="0001683D">
        <w:trPr>
          <w:trHeight w:val="288"/>
        </w:trPr>
        <w:tc>
          <w:tcPr>
            <w:tcW w:w="4665" w:type="dxa"/>
          </w:tcPr>
          <w:p w14:paraId="64864F01" w14:textId="34213B7A" w:rsidR="00153FF7" w:rsidRPr="008A0812" w:rsidRDefault="00153FF7" w:rsidP="0001683D">
            <w:pPr>
              <w:overflowPunct/>
              <w:autoSpaceDE/>
              <w:autoSpaceDN/>
              <w:adjustRightInd/>
              <w:jc w:val="center"/>
              <w:rPr>
                <w:rFonts w:asciiTheme="minorHAnsi" w:hAnsiTheme="minorHAnsi"/>
              </w:rPr>
            </w:pPr>
            <w:r w:rsidRPr="008A0812">
              <w:rPr>
                <w:rFonts w:asciiTheme="minorHAnsi" w:hAnsiTheme="minorHAnsi"/>
              </w:rPr>
              <w:t>Low</w:t>
            </w:r>
          </w:p>
        </w:tc>
        <w:tc>
          <w:tcPr>
            <w:tcW w:w="4666" w:type="dxa"/>
          </w:tcPr>
          <w:p w14:paraId="0F91C94F" w14:textId="140B24E0" w:rsidR="00153FF7" w:rsidRPr="008A0812" w:rsidRDefault="00153FF7" w:rsidP="0001683D">
            <w:pPr>
              <w:overflowPunct/>
              <w:autoSpaceDE/>
              <w:autoSpaceDN/>
              <w:adjustRightInd/>
              <w:jc w:val="center"/>
              <w:rPr>
                <w:rFonts w:asciiTheme="majorHAnsi" w:hAnsiTheme="majorHAnsi"/>
              </w:rPr>
            </w:pPr>
            <w:r w:rsidRPr="008A0812">
              <w:rPr>
                <w:rFonts w:asciiTheme="majorHAnsi" w:hAnsiTheme="majorHAnsi"/>
              </w:rPr>
              <w:t>25% to 50% (including 25% and 50%)</w:t>
            </w:r>
          </w:p>
        </w:tc>
      </w:tr>
      <w:tr w:rsidR="00153FF7" w:rsidRPr="008A0812" w14:paraId="7939B614" w14:textId="77777777" w:rsidTr="0001683D">
        <w:trPr>
          <w:trHeight w:val="288"/>
        </w:trPr>
        <w:tc>
          <w:tcPr>
            <w:tcW w:w="4665" w:type="dxa"/>
          </w:tcPr>
          <w:p w14:paraId="6B77AA72" w14:textId="19E0A8F5" w:rsidR="00153FF7" w:rsidRPr="008A0812" w:rsidRDefault="00153FF7" w:rsidP="0001683D">
            <w:pPr>
              <w:overflowPunct/>
              <w:autoSpaceDE/>
              <w:autoSpaceDN/>
              <w:adjustRightInd/>
              <w:jc w:val="center"/>
              <w:rPr>
                <w:rFonts w:asciiTheme="minorHAnsi" w:hAnsiTheme="minorHAnsi"/>
              </w:rPr>
            </w:pPr>
            <w:r w:rsidRPr="008A0812">
              <w:rPr>
                <w:rFonts w:asciiTheme="minorHAnsi" w:hAnsiTheme="minorHAnsi"/>
              </w:rPr>
              <w:t>Negligible</w:t>
            </w:r>
          </w:p>
        </w:tc>
        <w:tc>
          <w:tcPr>
            <w:tcW w:w="4666" w:type="dxa"/>
          </w:tcPr>
          <w:p w14:paraId="68D2C76E" w14:textId="0A317020" w:rsidR="00153FF7" w:rsidRPr="008A0812" w:rsidRDefault="00153FF7" w:rsidP="0001683D">
            <w:pPr>
              <w:overflowPunct/>
              <w:autoSpaceDE/>
              <w:autoSpaceDN/>
              <w:adjustRightInd/>
              <w:jc w:val="center"/>
              <w:rPr>
                <w:rFonts w:asciiTheme="majorHAnsi" w:hAnsiTheme="majorHAnsi"/>
              </w:rPr>
            </w:pPr>
            <w:r w:rsidRPr="008A0812">
              <w:rPr>
                <w:rFonts w:asciiTheme="majorHAnsi" w:hAnsiTheme="majorHAnsi"/>
              </w:rPr>
              <w:t>Less than 25%</w:t>
            </w:r>
          </w:p>
        </w:tc>
      </w:tr>
    </w:tbl>
    <w:p w14:paraId="3D5CF895" w14:textId="5D29DFCA" w:rsidR="00BC2AD6" w:rsidRPr="008A0812" w:rsidRDefault="00153FF7" w:rsidP="00A1350D">
      <w:pPr>
        <w:pStyle w:val="BodyText"/>
      </w:pPr>
      <w:r w:rsidRPr="008A0812">
        <w:t xml:space="preserve">Location-based results of the PoF assessment are shown on a map of the WRP in </w:t>
      </w:r>
      <w:r w:rsidR="0047478E" w:rsidRPr="008A0812">
        <w:fldChar w:fldCharType="begin"/>
      </w:r>
      <w:r w:rsidR="0047478E" w:rsidRPr="008A0812">
        <w:instrText xml:space="preserve"> REF _Ref36230930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4</w:t>
      </w:r>
      <w:r w:rsidR="0047478E" w:rsidRPr="008A0812">
        <w:fldChar w:fldCharType="end"/>
      </w:r>
      <w:r w:rsidR="0047478E" w:rsidRPr="008A0812">
        <w:t xml:space="preserve"> </w:t>
      </w:r>
      <w:r w:rsidRPr="008A0812">
        <w:t xml:space="preserve">and </w:t>
      </w:r>
      <w:r w:rsidR="0047478E" w:rsidRPr="008A0812">
        <w:fldChar w:fldCharType="begin"/>
      </w:r>
      <w:r w:rsidR="0047478E" w:rsidRPr="008A0812">
        <w:instrText xml:space="preserve"> REF _Ref36230957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5</w:t>
      </w:r>
      <w:r w:rsidR="0047478E" w:rsidRPr="008A0812">
        <w:fldChar w:fldCharType="end"/>
      </w:r>
      <w:r w:rsidRPr="008A0812">
        <w:t>.  The results indicated a majority of the WRP assets with “Medium” or “High” PoF scores are scattered throughout the WRP versus being concentrated in one area.</w:t>
      </w:r>
    </w:p>
    <w:p w14:paraId="0E581C2F" w14:textId="4A97EF81" w:rsidR="0047478E" w:rsidRPr="008A0812" w:rsidRDefault="0047478E" w:rsidP="0047478E">
      <w:pPr>
        <w:pStyle w:val="FigureHeading"/>
      </w:pPr>
      <w:bookmarkStart w:id="232" w:name="_Ref36230930"/>
      <w:bookmarkStart w:id="233" w:name="_Toc36413935"/>
      <w:bookmarkStart w:id="234" w:name="_Toc41684681"/>
      <w:r w:rsidRPr="008A0812">
        <w:t xml:space="preserve">Figure </w:t>
      </w:r>
      <w:fldSimple w:instr=" STYLEREF 1 \s ">
        <w:r w:rsidR="00AA68F8">
          <w:rPr>
            <w:noProof/>
          </w:rPr>
          <w:t>4</w:t>
        </w:r>
      </w:fldSimple>
      <w:r w:rsidR="00B233D1">
        <w:noBreakHyphen/>
      </w:r>
      <w:fldSimple w:instr=" SEQ Figure \* ARABIC \s 1 ">
        <w:r w:rsidR="00AA68F8">
          <w:rPr>
            <w:noProof/>
          </w:rPr>
          <w:t>4</w:t>
        </w:r>
      </w:fldSimple>
      <w:bookmarkEnd w:id="232"/>
      <w:r w:rsidRPr="008A0812">
        <w:t>: Summary of PoF Results (Colored Map)</w:t>
      </w:r>
      <w:bookmarkEnd w:id="233"/>
      <w:bookmarkEnd w:id="234"/>
    </w:p>
    <w:p w14:paraId="5984E779" w14:textId="1CC66FCB" w:rsidR="00153FF7" w:rsidRPr="008A0812" w:rsidRDefault="00153FF7" w:rsidP="00A1350D">
      <w:pPr>
        <w:pStyle w:val="BodyText"/>
      </w:pPr>
      <w:r>
        <w:rPr>
          <w:noProof/>
        </w:rPr>
        <w:drawing>
          <wp:inline distT="0" distB="0" distL="0" distR="0" wp14:anchorId="03BB796B" wp14:editId="3E186FAE">
            <wp:extent cx="5831206" cy="3475355"/>
            <wp:effectExtent l="0" t="0" r="0" b="0"/>
            <wp:docPr id="1626419060"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58">
                      <a:extLst>
                        <a:ext uri="{28A0092B-C50C-407E-A947-70E740481C1C}">
                          <a14:useLocalDpi xmlns:a14="http://schemas.microsoft.com/office/drawing/2010/main" val="0"/>
                        </a:ext>
                      </a:extLst>
                    </a:blip>
                    <a:stretch>
                      <a:fillRect/>
                    </a:stretch>
                  </pic:blipFill>
                  <pic:spPr>
                    <a:xfrm>
                      <a:off x="0" y="0"/>
                      <a:ext cx="5831206" cy="3475355"/>
                    </a:xfrm>
                    <a:prstGeom prst="rect">
                      <a:avLst/>
                    </a:prstGeom>
                  </pic:spPr>
                </pic:pic>
              </a:graphicData>
            </a:graphic>
          </wp:inline>
        </w:drawing>
      </w:r>
    </w:p>
    <w:p w14:paraId="55C0C0A5" w14:textId="41DEC9F3" w:rsidR="0047478E" w:rsidRPr="008A0812" w:rsidRDefault="0047478E" w:rsidP="0047478E">
      <w:pPr>
        <w:pStyle w:val="FigureHeading"/>
      </w:pPr>
      <w:bookmarkStart w:id="235" w:name="_Ref36230957"/>
      <w:bookmarkStart w:id="236" w:name="_Toc36413936"/>
      <w:bookmarkStart w:id="237" w:name="_Toc41684682"/>
      <w:r w:rsidRPr="008A0812">
        <w:t xml:space="preserve">Figure </w:t>
      </w:r>
      <w:fldSimple w:instr=" STYLEREF 1 \s ">
        <w:r w:rsidR="00AA68F8">
          <w:rPr>
            <w:noProof/>
          </w:rPr>
          <w:t>4</w:t>
        </w:r>
      </w:fldSimple>
      <w:r w:rsidR="00B233D1">
        <w:noBreakHyphen/>
      </w:r>
      <w:fldSimple w:instr=" SEQ Figure \* ARABIC \s 1 ">
        <w:r w:rsidR="00AA68F8">
          <w:rPr>
            <w:noProof/>
          </w:rPr>
          <w:t>5</w:t>
        </w:r>
      </w:fldSimple>
      <w:bookmarkEnd w:id="235"/>
      <w:r w:rsidRPr="008A0812">
        <w:t xml:space="preserve">: Summary of </w:t>
      </w:r>
      <w:r w:rsidR="00E6664F">
        <w:t xml:space="preserve">PoF </w:t>
      </w:r>
      <w:r w:rsidRPr="008A0812">
        <w:t>Results (Grayscale Map)</w:t>
      </w:r>
      <w:bookmarkEnd w:id="236"/>
      <w:bookmarkEnd w:id="237"/>
    </w:p>
    <w:p w14:paraId="2653F82B" w14:textId="5BBB389D" w:rsidR="00153FF7" w:rsidRPr="008A0812" w:rsidRDefault="00153FF7" w:rsidP="00153FF7">
      <w:pPr>
        <w:pStyle w:val="BodyText"/>
      </w:pPr>
      <w:r>
        <w:rPr>
          <w:noProof/>
        </w:rPr>
        <w:drawing>
          <wp:inline distT="0" distB="0" distL="0" distR="0" wp14:anchorId="3877C324" wp14:editId="7DCD5575">
            <wp:extent cx="5857240" cy="3550920"/>
            <wp:effectExtent l="0" t="0" r="0" b="0"/>
            <wp:docPr id="433015693"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59">
                      <a:extLst>
                        <a:ext uri="{28A0092B-C50C-407E-A947-70E740481C1C}">
                          <a14:useLocalDpi xmlns:a14="http://schemas.microsoft.com/office/drawing/2010/main" val="0"/>
                        </a:ext>
                      </a:extLst>
                    </a:blip>
                    <a:stretch>
                      <a:fillRect/>
                    </a:stretch>
                  </pic:blipFill>
                  <pic:spPr>
                    <a:xfrm>
                      <a:off x="0" y="0"/>
                      <a:ext cx="5857240" cy="3550920"/>
                    </a:xfrm>
                    <a:prstGeom prst="rect">
                      <a:avLst/>
                    </a:prstGeom>
                  </pic:spPr>
                </pic:pic>
              </a:graphicData>
            </a:graphic>
          </wp:inline>
        </w:drawing>
      </w:r>
    </w:p>
    <w:p w14:paraId="23E8F2BA" w14:textId="261DECF0" w:rsidR="000860EA" w:rsidRPr="008A0812" w:rsidRDefault="0047478E" w:rsidP="00153FF7">
      <w:pPr>
        <w:pStyle w:val="BodyText"/>
      </w:pPr>
      <w:r w:rsidRPr="008A0812">
        <w:fldChar w:fldCharType="begin"/>
      </w:r>
      <w:r w:rsidRPr="008A0812">
        <w:instrText xml:space="preserve"> REF _Ref36230995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6</w:t>
      </w:r>
      <w:r w:rsidRPr="008A0812">
        <w:fldChar w:fldCharType="end"/>
      </w:r>
      <w:r w:rsidRPr="008A0812">
        <w:t xml:space="preserve"> </w:t>
      </w:r>
      <w:r w:rsidR="00153FF7" w:rsidRPr="008A0812">
        <w:t>presents examples of assets that are reaching the end of their useful life and have the highest PoF score.</w:t>
      </w:r>
    </w:p>
    <w:p w14:paraId="23A0C0FF" w14:textId="28D09987" w:rsidR="0047478E" w:rsidRPr="008A0812" w:rsidRDefault="0047478E" w:rsidP="0047478E">
      <w:pPr>
        <w:pStyle w:val="FigureHeading"/>
      </w:pPr>
      <w:bookmarkStart w:id="238" w:name="_Ref36230995"/>
      <w:bookmarkStart w:id="239" w:name="_Toc36413937"/>
      <w:bookmarkStart w:id="240" w:name="_Toc41684683"/>
      <w:r w:rsidRPr="008A0812">
        <w:t xml:space="preserve">Figure </w:t>
      </w:r>
      <w:fldSimple w:instr=" STYLEREF 1 \s ">
        <w:r w:rsidR="00AA68F8">
          <w:rPr>
            <w:noProof/>
          </w:rPr>
          <w:t>4</w:t>
        </w:r>
      </w:fldSimple>
      <w:r w:rsidR="00B233D1">
        <w:noBreakHyphen/>
      </w:r>
      <w:fldSimple w:instr=" SEQ Figure \* ARABIC \s 1 ">
        <w:r w:rsidR="00AA68F8">
          <w:rPr>
            <w:noProof/>
          </w:rPr>
          <w:t>6</w:t>
        </w:r>
      </w:fldSimple>
      <w:bookmarkEnd w:id="238"/>
      <w:r w:rsidRPr="008A0812">
        <w:t>: Examples of Assets with Highest PoF</w:t>
      </w:r>
      <w:bookmarkEnd w:id="239"/>
      <w:bookmarkEnd w:id="240"/>
    </w:p>
    <w:p w14:paraId="3BDDA6CB" w14:textId="66E2D524" w:rsidR="00153FF7" w:rsidRPr="008A0812" w:rsidRDefault="00153FF7" w:rsidP="00153FF7">
      <w:pPr>
        <w:pStyle w:val="BodyText"/>
      </w:pPr>
      <w:r>
        <w:rPr>
          <w:noProof/>
        </w:rPr>
        <w:drawing>
          <wp:inline distT="0" distB="0" distL="0" distR="0" wp14:anchorId="2717AB02" wp14:editId="0EEB1FB3">
            <wp:extent cx="5943600" cy="1760220"/>
            <wp:effectExtent l="0" t="0" r="0" b="0"/>
            <wp:docPr id="211468438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0">
                      <a:extLst>
                        <a:ext uri="{FF2B5EF4-FFF2-40B4-BE49-F238E27FC236}">
                          <a16:creationId xmlns:arto="http://schemas.microsoft.com/office/word/2006/arto" xmlns:a16="http://schemas.microsoft.com/office/drawing/2014/main" xmlns:dgm="http://schemas.openxmlformats.org/drawingml/2006/diagram"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3F68E035-FDB9-4DAA-AF81-D09C62625C93}"/>
                        </a:ext>
                      </a:extLst>
                    </a:blip>
                    <a:stretch>
                      <a:fillRect/>
                    </a:stretch>
                  </pic:blipFill>
                  <pic:spPr>
                    <a:xfrm>
                      <a:off x="0" y="0"/>
                      <a:ext cx="5943600" cy="1760220"/>
                    </a:xfrm>
                    <a:prstGeom prst="rect">
                      <a:avLst/>
                    </a:prstGeom>
                  </pic:spPr>
                </pic:pic>
              </a:graphicData>
            </a:graphic>
          </wp:inline>
        </w:drawing>
      </w:r>
    </w:p>
    <w:p w14:paraId="63F0FBB3" w14:textId="1C6109DD" w:rsidR="00153FF7" w:rsidRPr="008A0812" w:rsidRDefault="00EE5870" w:rsidP="00A1350D">
      <w:pPr>
        <w:pStyle w:val="BodyText"/>
      </w:pPr>
      <w:r w:rsidRPr="008A0812">
        <w:fldChar w:fldCharType="begin"/>
      </w:r>
      <w:r w:rsidRPr="008A0812">
        <w:instrText xml:space="preserve"> REF _Ref36231783 \h </w:instrText>
      </w:r>
      <w:r w:rsidR="008A0812">
        <w:instrText xml:space="preserve"> \* MERGEFORMAT </w:instrText>
      </w:r>
      <w:r w:rsidRPr="008A0812">
        <w:fldChar w:fldCharType="separate"/>
      </w:r>
      <w:r w:rsidR="00AA68F8" w:rsidRPr="008A0812">
        <w:t xml:space="preserve">Table </w:t>
      </w:r>
      <w:r w:rsidR="00AA68F8">
        <w:rPr>
          <w:noProof/>
        </w:rPr>
        <w:t>4</w:t>
      </w:r>
      <w:r w:rsidR="00AA68F8" w:rsidRPr="008A0812">
        <w:rPr>
          <w:noProof/>
        </w:rPr>
        <w:noBreakHyphen/>
      </w:r>
      <w:r w:rsidR="00AA68F8">
        <w:rPr>
          <w:noProof/>
        </w:rPr>
        <w:t>7</w:t>
      </w:r>
      <w:r w:rsidRPr="008A0812">
        <w:fldChar w:fldCharType="end"/>
      </w:r>
      <w:r w:rsidR="00153FF7" w:rsidRPr="008A0812">
        <w:t xml:space="preserve"> presents the number of assets with high PoF at each of the different plant processes. A list of high PoF assets can be found in</w:t>
      </w:r>
      <w:r w:rsidR="007A6DB8" w:rsidRPr="008A0812">
        <w:t xml:space="preserve"> Appendix C</w:t>
      </w:r>
      <w:r w:rsidR="00153FF7" w:rsidRPr="008A0812">
        <w:t>.</w:t>
      </w:r>
    </w:p>
    <w:p w14:paraId="05B27C22" w14:textId="14E7581A" w:rsidR="00EE5870" w:rsidRPr="008A0812" w:rsidRDefault="00EE5870" w:rsidP="00EE5870">
      <w:pPr>
        <w:pStyle w:val="TableHeading"/>
      </w:pPr>
      <w:bookmarkStart w:id="241" w:name="_Ref36231783"/>
      <w:bookmarkStart w:id="242" w:name="_Toc36414049"/>
      <w:bookmarkStart w:id="243" w:name="_Toc41684750"/>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241"/>
      <w:r w:rsidRPr="008A0812">
        <w:t>: High PoF Assets per Process</w:t>
      </w:r>
      <w:bookmarkEnd w:id="242"/>
      <w:bookmarkEnd w:id="243"/>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114"/>
        <w:gridCol w:w="3115"/>
        <w:gridCol w:w="3115"/>
      </w:tblGrid>
      <w:tr w:rsidR="00153FF7" w:rsidRPr="008A0812" w14:paraId="4C4CB7AA" w14:textId="77777777" w:rsidTr="00A55B7D">
        <w:trPr>
          <w:trHeight w:val="288"/>
        </w:trPr>
        <w:tc>
          <w:tcPr>
            <w:tcW w:w="3114" w:type="dxa"/>
            <w:shd w:val="clear" w:color="auto" w:fill="BFBFBF"/>
            <w:hideMark/>
          </w:tcPr>
          <w:p w14:paraId="2517A6E0" w14:textId="4D90E6FF" w:rsidR="00153FF7" w:rsidRPr="008A0812" w:rsidRDefault="00153FF7" w:rsidP="0001683D">
            <w:pPr>
              <w:overflowPunct/>
              <w:autoSpaceDE/>
              <w:autoSpaceDN/>
              <w:adjustRightInd/>
              <w:jc w:val="center"/>
              <w:rPr>
                <w:b/>
                <w:bCs/>
              </w:rPr>
            </w:pPr>
            <w:r w:rsidRPr="008A0812">
              <w:rPr>
                <w:b/>
                <w:bCs/>
              </w:rPr>
              <w:t>Process</w:t>
            </w:r>
          </w:p>
        </w:tc>
        <w:tc>
          <w:tcPr>
            <w:tcW w:w="3115" w:type="dxa"/>
            <w:shd w:val="clear" w:color="auto" w:fill="BFBFBF"/>
          </w:tcPr>
          <w:p w14:paraId="787757D4" w14:textId="45B64BD1" w:rsidR="00153FF7" w:rsidRPr="008A0812" w:rsidRDefault="00153FF7" w:rsidP="0001683D">
            <w:pPr>
              <w:overflowPunct/>
              <w:autoSpaceDE/>
              <w:autoSpaceDN/>
              <w:adjustRightInd/>
              <w:jc w:val="center"/>
              <w:rPr>
                <w:b/>
                <w:bCs/>
              </w:rPr>
            </w:pPr>
            <w:r w:rsidRPr="008A0812">
              <w:rPr>
                <w:b/>
                <w:bCs/>
              </w:rPr>
              <w:t>No. of Assets with High PoF</w:t>
            </w:r>
          </w:p>
        </w:tc>
        <w:tc>
          <w:tcPr>
            <w:tcW w:w="3115" w:type="dxa"/>
            <w:shd w:val="clear" w:color="auto" w:fill="BFBFBF"/>
            <w:hideMark/>
          </w:tcPr>
          <w:p w14:paraId="1769AE34" w14:textId="2C16B7C0" w:rsidR="00153FF7" w:rsidRPr="008A0812" w:rsidRDefault="00153FF7" w:rsidP="0001683D">
            <w:pPr>
              <w:overflowPunct/>
              <w:autoSpaceDE/>
              <w:autoSpaceDN/>
              <w:adjustRightInd/>
              <w:jc w:val="center"/>
              <w:rPr>
                <w:rFonts w:ascii="Times New Roman" w:hAnsi="Times New Roman"/>
                <w:sz w:val="24"/>
                <w:szCs w:val="24"/>
              </w:rPr>
            </w:pPr>
            <w:r w:rsidRPr="008A0812">
              <w:rPr>
                <w:b/>
                <w:bCs/>
              </w:rPr>
              <w:t>Percentage of Assets with High PoF</w:t>
            </w:r>
          </w:p>
        </w:tc>
      </w:tr>
      <w:tr w:rsidR="00A55B7D" w:rsidRPr="008A0812" w14:paraId="632DFA5B" w14:textId="77777777" w:rsidTr="00A55B7D">
        <w:trPr>
          <w:trHeight w:val="288"/>
        </w:trPr>
        <w:tc>
          <w:tcPr>
            <w:tcW w:w="3114" w:type="dxa"/>
          </w:tcPr>
          <w:p w14:paraId="362EC622" w14:textId="4B9B92D2" w:rsidR="00A55B7D" w:rsidRPr="008A0812" w:rsidRDefault="00A55B7D" w:rsidP="00A55B7D">
            <w:pPr>
              <w:overflowPunct/>
              <w:autoSpaceDE/>
              <w:autoSpaceDN/>
              <w:adjustRightInd/>
              <w:rPr>
                <w:rFonts w:asciiTheme="minorHAnsi" w:hAnsiTheme="minorHAnsi"/>
              </w:rPr>
            </w:pPr>
            <w:r w:rsidRPr="008A0812">
              <w:t>Headworks Chemical</w:t>
            </w:r>
          </w:p>
        </w:tc>
        <w:tc>
          <w:tcPr>
            <w:tcW w:w="3115" w:type="dxa"/>
          </w:tcPr>
          <w:p w14:paraId="38E41D55" w14:textId="07C345D8" w:rsidR="00A55B7D" w:rsidRPr="008A0812" w:rsidRDefault="00A55B7D" w:rsidP="00A55B7D">
            <w:pPr>
              <w:overflowPunct/>
              <w:autoSpaceDE/>
              <w:autoSpaceDN/>
              <w:adjustRightInd/>
              <w:jc w:val="center"/>
              <w:rPr>
                <w:rFonts w:asciiTheme="majorHAnsi" w:hAnsiTheme="majorHAnsi"/>
              </w:rPr>
            </w:pPr>
            <w:r w:rsidRPr="008A0812">
              <w:t>1</w:t>
            </w:r>
          </w:p>
        </w:tc>
        <w:tc>
          <w:tcPr>
            <w:tcW w:w="3115" w:type="dxa"/>
          </w:tcPr>
          <w:p w14:paraId="3B73C3DE" w14:textId="685D0C5E" w:rsidR="00A55B7D" w:rsidRPr="008A0812" w:rsidRDefault="00A55B7D" w:rsidP="00A55B7D">
            <w:pPr>
              <w:overflowPunct/>
              <w:autoSpaceDE/>
              <w:autoSpaceDN/>
              <w:adjustRightInd/>
              <w:jc w:val="center"/>
              <w:rPr>
                <w:rFonts w:asciiTheme="majorHAnsi" w:hAnsiTheme="majorHAnsi"/>
              </w:rPr>
            </w:pPr>
            <w:r w:rsidRPr="008A0812">
              <w:t>13</w:t>
            </w:r>
          </w:p>
        </w:tc>
      </w:tr>
      <w:tr w:rsidR="00A55B7D" w:rsidRPr="008A0812" w14:paraId="1CBC232F" w14:textId="77777777" w:rsidTr="00A55B7D">
        <w:trPr>
          <w:trHeight w:val="288"/>
        </w:trPr>
        <w:tc>
          <w:tcPr>
            <w:tcW w:w="3114" w:type="dxa"/>
          </w:tcPr>
          <w:p w14:paraId="438EA1D2" w14:textId="2A5C4E7E" w:rsidR="00A55B7D" w:rsidRPr="008A0812" w:rsidRDefault="00A55B7D" w:rsidP="00A55B7D">
            <w:pPr>
              <w:overflowPunct/>
              <w:autoSpaceDE/>
              <w:autoSpaceDN/>
              <w:adjustRightInd/>
              <w:rPr>
                <w:rFonts w:asciiTheme="minorHAnsi" w:hAnsiTheme="minorHAnsi"/>
              </w:rPr>
            </w:pPr>
            <w:r w:rsidRPr="008A0812">
              <w:t>Solids Chemical</w:t>
            </w:r>
          </w:p>
        </w:tc>
        <w:tc>
          <w:tcPr>
            <w:tcW w:w="3115" w:type="dxa"/>
          </w:tcPr>
          <w:p w14:paraId="51E2DB31" w14:textId="695B34A0" w:rsidR="00A55B7D" w:rsidRPr="008A0812" w:rsidRDefault="00A55B7D" w:rsidP="00A55B7D">
            <w:pPr>
              <w:overflowPunct/>
              <w:autoSpaceDE/>
              <w:autoSpaceDN/>
              <w:adjustRightInd/>
              <w:jc w:val="center"/>
              <w:rPr>
                <w:rFonts w:asciiTheme="majorHAnsi" w:hAnsiTheme="majorHAnsi"/>
              </w:rPr>
            </w:pPr>
            <w:r w:rsidRPr="008A0812">
              <w:t>1</w:t>
            </w:r>
          </w:p>
        </w:tc>
        <w:tc>
          <w:tcPr>
            <w:tcW w:w="3115" w:type="dxa"/>
          </w:tcPr>
          <w:p w14:paraId="06FFC1D8" w14:textId="54B0562D" w:rsidR="00A55B7D" w:rsidRPr="008A0812" w:rsidRDefault="00A55B7D" w:rsidP="00A55B7D">
            <w:pPr>
              <w:overflowPunct/>
              <w:autoSpaceDE/>
              <w:autoSpaceDN/>
              <w:adjustRightInd/>
              <w:jc w:val="center"/>
              <w:rPr>
                <w:rFonts w:asciiTheme="majorHAnsi" w:hAnsiTheme="majorHAnsi"/>
              </w:rPr>
            </w:pPr>
            <w:r w:rsidRPr="008A0812">
              <w:t>7</w:t>
            </w:r>
          </w:p>
        </w:tc>
      </w:tr>
      <w:tr w:rsidR="00A55B7D" w:rsidRPr="008A0812" w14:paraId="5267789E" w14:textId="77777777" w:rsidTr="00A55B7D">
        <w:trPr>
          <w:trHeight w:val="288"/>
        </w:trPr>
        <w:tc>
          <w:tcPr>
            <w:tcW w:w="3114" w:type="dxa"/>
          </w:tcPr>
          <w:p w14:paraId="679D3A6C" w14:textId="323C0733" w:rsidR="00A55B7D" w:rsidRPr="008A0812" w:rsidRDefault="00A55B7D" w:rsidP="00A55B7D">
            <w:pPr>
              <w:overflowPunct/>
              <w:autoSpaceDE/>
              <w:autoSpaceDN/>
              <w:adjustRightInd/>
              <w:rPr>
                <w:rFonts w:asciiTheme="minorHAnsi" w:hAnsiTheme="minorHAnsi"/>
              </w:rPr>
            </w:pPr>
            <w:r w:rsidRPr="008A0812">
              <w:t>Recycled Water</w:t>
            </w:r>
          </w:p>
        </w:tc>
        <w:tc>
          <w:tcPr>
            <w:tcW w:w="3115" w:type="dxa"/>
          </w:tcPr>
          <w:p w14:paraId="15D7348D" w14:textId="6AFED110" w:rsidR="00A55B7D" w:rsidRPr="008A0812" w:rsidRDefault="00A55B7D" w:rsidP="00A55B7D">
            <w:pPr>
              <w:overflowPunct/>
              <w:autoSpaceDE/>
              <w:autoSpaceDN/>
              <w:adjustRightInd/>
              <w:jc w:val="center"/>
              <w:rPr>
                <w:rFonts w:asciiTheme="majorHAnsi" w:hAnsiTheme="majorHAnsi"/>
              </w:rPr>
            </w:pPr>
            <w:r w:rsidRPr="008A0812">
              <w:t>3</w:t>
            </w:r>
          </w:p>
        </w:tc>
        <w:tc>
          <w:tcPr>
            <w:tcW w:w="3115" w:type="dxa"/>
          </w:tcPr>
          <w:p w14:paraId="7C07CD9A" w14:textId="0BE6E8FF" w:rsidR="00A55B7D" w:rsidRPr="008A0812" w:rsidRDefault="00A55B7D" w:rsidP="00A55B7D">
            <w:pPr>
              <w:overflowPunct/>
              <w:autoSpaceDE/>
              <w:autoSpaceDN/>
              <w:adjustRightInd/>
              <w:jc w:val="center"/>
              <w:rPr>
                <w:rFonts w:asciiTheme="majorHAnsi" w:hAnsiTheme="majorHAnsi"/>
              </w:rPr>
            </w:pPr>
            <w:r w:rsidRPr="008A0812">
              <w:t>6</w:t>
            </w:r>
          </w:p>
        </w:tc>
      </w:tr>
      <w:tr w:rsidR="00A55B7D" w:rsidRPr="008A0812" w14:paraId="7BB20FC3" w14:textId="77777777" w:rsidTr="00A55B7D">
        <w:trPr>
          <w:trHeight w:val="288"/>
        </w:trPr>
        <w:tc>
          <w:tcPr>
            <w:tcW w:w="3114" w:type="dxa"/>
          </w:tcPr>
          <w:p w14:paraId="621AE247" w14:textId="43ECF7AF" w:rsidR="00A55B7D" w:rsidRPr="008A0812" w:rsidRDefault="00A55B7D" w:rsidP="00A55B7D">
            <w:pPr>
              <w:overflowPunct/>
              <w:autoSpaceDE/>
              <w:autoSpaceDN/>
              <w:adjustRightInd/>
              <w:rPr>
                <w:rFonts w:asciiTheme="minorHAnsi" w:hAnsiTheme="minorHAnsi"/>
              </w:rPr>
            </w:pPr>
            <w:r w:rsidRPr="008A0812">
              <w:t>Electrical</w:t>
            </w:r>
          </w:p>
        </w:tc>
        <w:tc>
          <w:tcPr>
            <w:tcW w:w="3115" w:type="dxa"/>
          </w:tcPr>
          <w:p w14:paraId="3C67ABB7" w14:textId="4CA74514" w:rsidR="00A55B7D" w:rsidRPr="008A0812" w:rsidRDefault="00A55B7D" w:rsidP="00A55B7D">
            <w:pPr>
              <w:overflowPunct/>
              <w:autoSpaceDE/>
              <w:autoSpaceDN/>
              <w:adjustRightInd/>
              <w:jc w:val="center"/>
              <w:rPr>
                <w:rFonts w:asciiTheme="majorHAnsi" w:hAnsiTheme="majorHAnsi"/>
              </w:rPr>
            </w:pPr>
            <w:r w:rsidRPr="008A0812">
              <w:t>7</w:t>
            </w:r>
          </w:p>
        </w:tc>
        <w:tc>
          <w:tcPr>
            <w:tcW w:w="3115" w:type="dxa"/>
          </w:tcPr>
          <w:p w14:paraId="703350DD" w14:textId="348540A6" w:rsidR="00A55B7D" w:rsidRPr="008A0812" w:rsidRDefault="00A55B7D" w:rsidP="00A55B7D">
            <w:pPr>
              <w:overflowPunct/>
              <w:autoSpaceDE/>
              <w:autoSpaceDN/>
              <w:adjustRightInd/>
              <w:jc w:val="center"/>
              <w:rPr>
                <w:rFonts w:asciiTheme="majorHAnsi" w:hAnsiTheme="majorHAnsi"/>
              </w:rPr>
            </w:pPr>
            <w:r w:rsidRPr="008A0812">
              <w:t>14</w:t>
            </w:r>
          </w:p>
        </w:tc>
      </w:tr>
      <w:tr w:rsidR="00A55B7D" w:rsidRPr="008A0812" w14:paraId="39D582AA" w14:textId="77777777" w:rsidTr="00A55B7D">
        <w:trPr>
          <w:trHeight w:val="288"/>
        </w:trPr>
        <w:tc>
          <w:tcPr>
            <w:tcW w:w="3114" w:type="dxa"/>
          </w:tcPr>
          <w:p w14:paraId="3BA5BCC3" w14:textId="74E6CB57" w:rsidR="00A55B7D" w:rsidRPr="008A0812" w:rsidRDefault="00A55B7D" w:rsidP="00A55B7D">
            <w:pPr>
              <w:overflowPunct/>
              <w:autoSpaceDE/>
              <w:autoSpaceDN/>
              <w:adjustRightInd/>
              <w:rPr>
                <w:rFonts w:asciiTheme="minorHAnsi" w:hAnsiTheme="minorHAnsi"/>
              </w:rPr>
            </w:pPr>
            <w:r w:rsidRPr="008A0812">
              <w:t>Odor Scrubber Chemical</w:t>
            </w:r>
          </w:p>
        </w:tc>
        <w:tc>
          <w:tcPr>
            <w:tcW w:w="3115" w:type="dxa"/>
          </w:tcPr>
          <w:p w14:paraId="60475E15" w14:textId="4811EA41" w:rsidR="00A55B7D" w:rsidRPr="008A0812" w:rsidRDefault="00A55B7D" w:rsidP="00A55B7D">
            <w:pPr>
              <w:overflowPunct/>
              <w:autoSpaceDE/>
              <w:autoSpaceDN/>
              <w:adjustRightInd/>
              <w:jc w:val="center"/>
              <w:rPr>
                <w:rFonts w:asciiTheme="majorHAnsi" w:hAnsiTheme="majorHAnsi"/>
              </w:rPr>
            </w:pPr>
            <w:r w:rsidRPr="008A0812">
              <w:t>7</w:t>
            </w:r>
          </w:p>
        </w:tc>
        <w:tc>
          <w:tcPr>
            <w:tcW w:w="3115" w:type="dxa"/>
          </w:tcPr>
          <w:p w14:paraId="2CF122EC" w14:textId="770DFB1D" w:rsidR="00A55B7D" w:rsidRPr="008A0812" w:rsidRDefault="00A55B7D" w:rsidP="00A55B7D">
            <w:pPr>
              <w:overflowPunct/>
              <w:autoSpaceDE/>
              <w:autoSpaceDN/>
              <w:adjustRightInd/>
              <w:jc w:val="center"/>
              <w:rPr>
                <w:rFonts w:asciiTheme="majorHAnsi" w:hAnsiTheme="majorHAnsi"/>
              </w:rPr>
            </w:pPr>
            <w:r w:rsidRPr="008A0812">
              <w:t>9</w:t>
            </w:r>
          </w:p>
        </w:tc>
      </w:tr>
      <w:tr w:rsidR="00A55B7D" w:rsidRPr="008A0812" w14:paraId="450F392B" w14:textId="77777777" w:rsidTr="00A55B7D">
        <w:trPr>
          <w:trHeight w:val="288"/>
        </w:trPr>
        <w:tc>
          <w:tcPr>
            <w:tcW w:w="3114" w:type="dxa"/>
          </w:tcPr>
          <w:p w14:paraId="542592F4" w14:textId="5513AF7B" w:rsidR="00A55B7D" w:rsidRPr="008A0812" w:rsidRDefault="00A55B7D" w:rsidP="00A55B7D">
            <w:pPr>
              <w:overflowPunct/>
              <w:autoSpaceDE/>
              <w:autoSpaceDN/>
              <w:adjustRightInd/>
              <w:rPr>
                <w:rFonts w:asciiTheme="minorHAnsi" w:hAnsiTheme="minorHAnsi"/>
              </w:rPr>
            </w:pPr>
            <w:r w:rsidRPr="008A0812">
              <w:t>Outfall</w:t>
            </w:r>
          </w:p>
        </w:tc>
        <w:tc>
          <w:tcPr>
            <w:tcW w:w="3115" w:type="dxa"/>
          </w:tcPr>
          <w:p w14:paraId="408376BA" w14:textId="72549F38" w:rsidR="00A55B7D" w:rsidRPr="008A0812" w:rsidRDefault="00A55B7D" w:rsidP="00A55B7D">
            <w:pPr>
              <w:overflowPunct/>
              <w:autoSpaceDE/>
              <w:autoSpaceDN/>
              <w:adjustRightInd/>
              <w:jc w:val="center"/>
              <w:rPr>
                <w:rFonts w:asciiTheme="majorHAnsi" w:hAnsiTheme="majorHAnsi"/>
              </w:rPr>
            </w:pPr>
            <w:r w:rsidRPr="008A0812">
              <w:t>8</w:t>
            </w:r>
          </w:p>
        </w:tc>
        <w:tc>
          <w:tcPr>
            <w:tcW w:w="3115" w:type="dxa"/>
          </w:tcPr>
          <w:p w14:paraId="0E6EA07B" w14:textId="61E9D522" w:rsidR="00A55B7D" w:rsidRPr="008A0812" w:rsidRDefault="00A55B7D" w:rsidP="00A55B7D">
            <w:pPr>
              <w:overflowPunct/>
              <w:autoSpaceDE/>
              <w:autoSpaceDN/>
              <w:adjustRightInd/>
              <w:jc w:val="center"/>
              <w:rPr>
                <w:rFonts w:asciiTheme="majorHAnsi" w:hAnsiTheme="majorHAnsi"/>
              </w:rPr>
            </w:pPr>
            <w:r w:rsidRPr="008A0812">
              <w:t>21</w:t>
            </w:r>
          </w:p>
        </w:tc>
      </w:tr>
      <w:tr w:rsidR="00A55B7D" w:rsidRPr="008A0812" w14:paraId="1E8F6B1D" w14:textId="77777777" w:rsidTr="00A55B7D">
        <w:trPr>
          <w:trHeight w:val="288"/>
        </w:trPr>
        <w:tc>
          <w:tcPr>
            <w:tcW w:w="3114" w:type="dxa"/>
          </w:tcPr>
          <w:p w14:paraId="49FD495B" w14:textId="6F3FEAA8" w:rsidR="00A55B7D" w:rsidRPr="008A0812" w:rsidRDefault="00A55B7D" w:rsidP="00A55B7D">
            <w:pPr>
              <w:overflowPunct/>
              <w:autoSpaceDE/>
              <w:autoSpaceDN/>
              <w:adjustRightInd/>
              <w:rPr>
                <w:rFonts w:asciiTheme="minorHAnsi" w:hAnsiTheme="minorHAnsi"/>
              </w:rPr>
            </w:pPr>
            <w:r w:rsidRPr="008A0812">
              <w:t>Lift Stations</w:t>
            </w:r>
          </w:p>
        </w:tc>
        <w:tc>
          <w:tcPr>
            <w:tcW w:w="3115" w:type="dxa"/>
          </w:tcPr>
          <w:p w14:paraId="14F3F7DC" w14:textId="336D1EDB" w:rsidR="00A55B7D" w:rsidRPr="008A0812" w:rsidRDefault="00A55B7D" w:rsidP="00A55B7D">
            <w:pPr>
              <w:overflowPunct/>
              <w:autoSpaceDE/>
              <w:autoSpaceDN/>
              <w:adjustRightInd/>
              <w:jc w:val="center"/>
              <w:rPr>
                <w:rFonts w:asciiTheme="majorHAnsi" w:hAnsiTheme="majorHAnsi"/>
              </w:rPr>
            </w:pPr>
            <w:r w:rsidRPr="008A0812">
              <w:t>10</w:t>
            </w:r>
          </w:p>
        </w:tc>
        <w:tc>
          <w:tcPr>
            <w:tcW w:w="3115" w:type="dxa"/>
          </w:tcPr>
          <w:p w14:paraId="6E78778E" w14:textId="62A26F70" w:rsidR="00A55B7D" w:rsidRPr="008A0812" w:rsidRDefault="00A55B7D" w:rsidP="00A55B7D">
            <w:pPr>
              <w:overflowPunct/>
              <w:autoSpaceDE/>
              <w:autoSpaceDN/>
              <w:adjustRightInd/>
              <w:jc w:val="center"/>
              <w:rPr>
                <w:rFonts w:asciiTheme="majorHAnsi" w:hAnsiTheme="majorHAnsi"/>
              </w:rPr>
            </w:pPr>
            <w:r w:rsidRPr="008A0812">
              <w:t>9</w:t>
            </w:r>
          </w:p>
        </w:tc>
      </w:tr>
      <w:tr w:rsidR="00A55B7D" w:rsidRPr="008A0812" w14:paraId="2638F6BF" w14:textId="77777777" w:rsidTr="00A55B7D">
        <w:trPr>
          <w:trHeight w:val="288"/>
        </w:trPr>
        <w:tc>
          <w:tcPr>
            <w:tcW w:w="3114" w:type="dxa"/>
          </w:tcPr>
          <w:p w14:paraId="51AF9E25" w14:textId="021A1B3B" w:rsidR="00A55B7D" w:rsidRPr="008A0812" w:rsidRDefault="00A55B7D" w:rsidP="00A55B7D">
            <w:pPr>
              <w:overflowPunct/>
              <w:autoSpaceDE/>
              <w:autoSpaceDN/>
              <w:adjustRightInd/>
              <w:rPr>
                <w:rFonts w:asciiTheme="minorHAnsi" w:hAnsiTheme="minorHAnsi"/>
              </w:rPr>
            </w:pPr>
            <w:r w:rsidRPr="008A0812">
              <w:t>Non-Process</w:t>
            </w:r>
          </w:p>
        </w:tc>
        <w:tc>
          <w:tcPr>
            <w:tcW w:w="3115" w:type="dxa"/>
          </w:tcPr>
          <w:p w14:paraId="5952DE3C" w14:textId="7C45869B" w:rsidR="00A55B7D" w:rsidRPr="008A0812" w:rsidRDefault="00A55B7D" w:rsidP="00A55B7D">
            <w:pPr>
              <w:overflowPunct/>
              <w:autoSpaceDE/>
              <w:autoSpaceDN/>
              <w:adjustRightInd/>
              <w:jc w:val="center"/>
              <w:rPr>
                <w:rFonts w:asciiTheme="majorHAnsi" w:hAnsiTheme="majorHAnsi"/>
              </w:rPr>
            </w:pPr>
            <w:r w:rsidRPr="008A0812">
              <w:t>13</w:t>
            </w:r>
          </w:p>
        </w:tc>
        <w:tc>
          <w:tcPr>
            <w:tcW w:w="3115" w:type="dxa"/>
          </w:tcPr>
          <w:p w14:paraId="5B249A1B" w14:textId="0C99FFB8" w:rsidR="00A55B7D" w:rsidRPr="008A0812" w:rsidRDefault="00A55B7D" w:rsidP="00A55B7D">
            <w:pPr>
              <w:overflowPunct/>
              <w:autoSpaceDE/>
              <w:autoSpaceDN/>
              <w:adjustRightInd/>
              <w:jc w:val="center"/>
              <w:rPr>
                <w:rFonts w:asciiTheme="majorHAnsi" w:hAnsiTheme="majorHAnsi"/>
              </w:rPr>
            </w:pPr>
            <w:r w:rsidRPr="008A0812">
              <w:t>14</w:t>
            </w:r>
          </w:p>
        </w:tc>
      </w:tr>
      <w:tr w:rsidR="00A55B7D" w:rsidRPr="008A0812" w14:paraId="5AD11D46" w14:textId="77777777" w:rsidTr="00A55B7D">
        <w:trPr>
          <w:trHeight w:val="288"/>
        </w:trPr>
        <w:tc>
          <w:tcPr>
            <w:tcW w:w="3114" w:type="dxa"/>
          </w:tcPr>
          <w:p w14:paraId="5C5BEC41" w14:textId="3E936500" w:rsidR="00A55B7D" w:rsidRPr="008A0812" w:rsidRDefault="00A55B7D" w:rsidP="00A55B7D">
            <w:pPr>
              <w:overflowPunct/>
              <w:autoSpaceDE/>
              <w:autoSpaceDN/>
              <w:adjustRightInd/>
              <w:rPr>
                <w:rFonts w:asciiTheme="minorHAnsi" w:hAnsiTheme="minorHAnsi"/>
              </w:rPr>
            </w:pPr>
            <w:r w:rsidRPr="008A0812">
              <w:t>Preliminary</w:t>
            </w:r>
          </w:p>
        </w:tc>
        <w:tc>
          <w:tcPr>
            <w:tcW w:w="3115" w:type="dxa"/>
          </w:tcPr>
          <w:p w14:paraId="4D836A88" w14:textId="1249DA5A" w:rsidR="00A55B7D" w:rsidRPr="008A0812" w:rsidRDefault="00A55B7D" w:rsidP="00A55B7D">
            <w:pPr>
              <w:overflowPunct/>
              <w:autoSpaceDE/>
              <w:autoSpaceDN/>
              <w:adjustRightInd/>
              <w:jc w:val="center"/>
              <w:rPr>
                <w:rFonts w:asciiTheme="majorHAnsi" w:hAnsiTheme="majorHAnsi"/>
              </w:rPr>
            </w:pPr>
            <w:r w:rsidRPr="008A0812">
              <w:t>28</w:t>
            </w:r>
          </w:p>
        </w:tc>
        <w:tc>
          <w:tcPr>
            <w:tcW w:w="3115" w:type="dxa"/>
          </w:tcPr>
          <w:p w14:paraId="459AB2FB" w14:textId="0AF3FC21" w:rsidR="00A55B7D" w:rsidRPr="008A0812" w:rsidRDefault="00A55B7D" w:rsidP="00A55B7D">
            <w:pPr>
              <w:overflowPunct/>
              <w:autoSpaceDE/>
              <w:autoSpaceDN/>
              <w:adjustRightInd/>
              <w:jc w:val="center"/>
              <w:rPr>
                <w:rFonts w:asciiTheme="majorHAnsi" w:hAnsiTheme="majorHAnsi"/>
              </w:rPr>
            </w:pPr>
            <w:r w:rsidRPr="008A0812">
              <w:t>7</w:t>
            </w:r>
          </w:p>
        </w:tc>
      </w:tr>
      <w:tr w:rsidR="00A55B7D" w:rsidRPr="008A0812" w14:paraId="53F24633" w14:textId="77777777" w:rsidTr="00A55B7D">
        <w:trPr>
          <w:trHeight w:val="288"/>
        </w:trPr>
        <w:tc>
          <w:tcPr>
            <w:tcW w:w="3114" w:type="dxa"/>
          </w:tcPr>
          <w:p w14:paraId="41296D4C" w14:textId="37967E2E" w:rsidR="00A55B7D" w:rsidRPr="008A0812" w:rsidRDefault="00A55B7D" w:rsidP="00A55B7D">
            <w:pPr>
              <w:overflowPunct/>
              <w:autoSpaceDE/>
              <w:autoSpaceDN/>
              <w:adjustRightInd/>
              <w:rPr>
                <w:rFonts w:asciiTheme="minorHAnsi" w:hAnsiTheme="minorHAnsi"/>
              </w:rPr>
            </w:pPr>
            <w:r w:rsidRPr="008A0812">
              <w:t>Solids Treatment</w:t>
            </w:r>
          </w:p>
        </w:tc>
        <w:tc>
          <w:tcPr>
            <w:tcW w:w="3115" w:type="dxa"/>
          </w:tcPr>
          <w:p w14:paraId="6D52D7CB" w14:textId="364A73DB" w:rsidR="00A55B7D" w:rsidRPr="008A0812" w:rsidRDefault="00A55B7D" w:rsidP="00A55B7D">
            <w:pPr>
              <w:overflowPunct/>
              <w:autoSpaceDE/>
              <w:autoSpaceDN/>
              <w:adjustRightInd/>
              <w:jc w:val="center"/>
              <w:rPr>
                <w:rFonts w:asciiTheme="majorHAnsi" w:hAnsiTheme="majorHAnsi"/>
              </w:rPr>
            </w:pPr>
            <w:r w:rsidRPr="008A0812">
              <w:t>46</w:t>
            </w:r>
          </w:p>
        </w:tc>
        <w:tc>
          <w:tcPr>
            <w:tcW w:w="3115" w:type="dxa"/>
          </w:tcPr>
          <w:p w14:paraId="1E2D8920" w14:textId="4D1C4000" w:rsidR="00A55B7D" w:rsidRPr="008A0812" w:rsidRDefault="00A55B7D" w:rsidP="00A55B7D">
            <w:pPr>
              <w:overflowPunct/>
              <w:autoSpaceDE/>
              <w:autoSpaceDN/>
              <w:adjustRightInd/>
              <w:jc w:val="center"/>
              <w:rPr>
                <w:rFonts w:asciiTheme="majorHAnsi" w:hAnsiTheme="majorHAnsi"/>
              </w:rPr>
            </w:pPr>
            <w:r w:rsidRPr="008A0812">
              <w:t>24</w:t>
            </w:r>
          </w:p>
        </w:tc>
      </w:tr>
      <w:tr w:rsidR="00A55B7D" w:rsidRPr="008A0812" w14:paraId="3358E4F9" w14:textId="77777777" w:rsidTr="00A55B7D">
        <w:trPr>
          <w:trHeight w:val="288"/>
        </w:trPr>
        <w:tc>
          <w:tcPr>
            <w:tcW w:w="3114" w:type="dxa"/>
          </w:tcPr>
          <w:p w14:paraId="4E2278FA" w14:textId="237378A3" w:rsidR="00A55B7D" w:rsidRPr="008A0812" w:rsidRDefault="00A55B7D" w:rsidP="00A55B7D">
            <w:pPr>
              <w:overflowPunct/>
              <w:autoSpaceDE/>
              <w:autoSpaceDN/>
              <w:adjustRightInd/>
              <w:rPr>
                <w:rFonts w:asciiTheme="minorHAnsi" w:hAnsiTheme="minorHAnsi"/>
              </w:rPr>
            </w:pPr>
            <w:r w:rsidRPr="008A0812">
              <w:t>Solids Handling</w:t>
            </w:r>
          </w:p>
        </w:tc>
        <w:tc>
          <w:tcPr>
            <w:tcW w:w="3115" w:type="dxa"/>
          </w:tcPr>
          <w:p w14:paraId="1B87E703" w14:textId="614B6522" w:rsidR="00A55B7D" w:rsidRPr="008A0812" w:rsidRDefault="00A55B7D" w:rsidP="00A55B7D">
            <w:pPr>
              <w:overflowPunct/>
              <w:autoSpaceDE/>
              <w:autoSpaceDN/>
              <w:adjustRightInd/>
              <w:jc w:val="center"/>
              <w:rPr>
                <w:rFonts w:asciiTheme="majorHAnsi" w:hAnsiTheme="majorHAnsi"/>
              </w:rPr>
            </w:pPr>
            <w:r w:rsidRPr="008A0812">
              <w:t>48</w:t>
            </w:r>
          </w:p>
        </w:tc>
        <w:tc>
          <w:tcPr>
            <w:tcW w:w="3115" w:type="dxa"/>
          </w:tcPr>
          <w:p w14:paraId="47B62FE9" w14:textId="4FD01AD0" w:rsidR="00A55B7D" w:rsidRPr="008A0812" w:rsidRDefault="00A55B7D" w:rsidP="00A55B7D">
            <w:pPr>
              <w:overflowPunct/>
              <w:autoSpaceDE/>
              <w:autoSpaceDN/>
              <w:adjustRightInd/>
              <w:jc w:val="center"/>
              <w:rPr>
                <w:rFonts w:asciiTheme="majorHAnsi" w:hAnsiTheme="majorHAnsi"/>
              </w:rPr>
            </w:pPr>
            <w:r w:rsidRPr="008A0812">
              <w:t>11</w:t>
            </w:r>
          </w:p>
        </w:tc>
      </w:tr>
      <w:tr w:rsidR="00A55B7D" w:rsidRPr="008A0812" w14:paraId="36440C5F" w14:textId="77777777" w:rsidTr="00A55B7D">
        <w:trPr>
          <w:trHeight w:val="288"/>
        </w:trPr>
        <w:tc>
          <w:tcPr>
            <w:tcW w:w="3114" w:type="dxa"/>
          </w:tcPr>
          <w:p w14:paraId="75EA65AC" w14:textId="1FE7DB76" w:rsidR="00A55B7D" w:rsidRPr="008A0812" w:rsidRDefault="00A55B7D" w:rsidP="00A55B7D">
            <w:pPr>
              <w:overflowPunct/>
              <w:autoSpaceDE/>
              <w:autoSpaceDN/>
              <w:adjustRightInd/>
              <w:rPr>
                <w:rFonts w:asciiTheme="minorHAnsi" w:hAnsiTheme="minorHAnsi"/>
              </w:rPr>
            </w:pPr>
            <w:r w:rsidRPr="008A0812">
              <w:t>Primary</w:t>
            </w:r>
          </w:p>
        </w:tc>
        <w:tc>
          <w:tcPr>
            <w:tcW w:w="3115" w:type="dxa"/>
          </w:tcPr>
          <w:p w14:paraId="784CBB3A" w14:textId="2473BB9F" w:rsidR="00A55B7D" w:rsidRPr="008A0812" w:rsidRDefault="00A55B7D" w:rsidP="00A55B7D">
            <w:pPr>
              <w:overflowPunct/>
              <w:autoSpaceDE/>
              <w:autoSpaceDN/>
              <w:adjustRightInd/>
              <w:jc w:val="center"/>
              <w:rPr>
                <w:rFonts w:asciiTheme="majorHAnsi" w:hAnsiTheme="majorHAnsi"/>
              </w:rPr>
            </w:pPr>
            <w:r w:rsidRPr="008A0812">
              <w:t>50</w:t>
            </w:r>
          </w:p>
        </w:tc>
        <w:tc>
          <w:tcPr>
            <w:tcW w:w="3115" w:type="dxa"/>
          </w:tcPr>
          <w:p w14:paraId="3C4B77E9" w14:textId="7DA17D18" w:rsidR="00A55B7D" w:rsidRPr="008A0812" w:rsidRDefault="00A55B7D" w:rsidP="00A55B7D">
            <w:pPr>
              <w:overflowPunct/>
              <w:autoSpaceDE/>
              <w:autoSpaceDN/>
              <w:adjustRightInd/>
              <w:jc w:val="center"/>
              <w:rPr>
                <w:rFonts w:asciiTheme="majorHAnsi" w:hAnsiTheme="majorHAnsi"/>
              </w:rPr>
            </w:pPr>
            <w:r w:rsidRPr="008A0812">
              <w:t>17</w:t>
            </w:r>
          </w:p>
        </w:tc>
      </w:tr>
      <w:tr w:rsidR="00A55B7D" w:rsidRPr="008A0812" w14:paraId="1F93FBFA" w14:textId="77777777" w:rsidTr="00A55B7D">
        <w:trPr>
          <w:trHeight w:val="288"/>
        </w:trPr>
        <w:tc>
          <w:tcPr>
            <w:tcW w:w="3114" w:type="dxa"/>
          </w:tcPr>
          <w:p w14:paraId="6B9B7379" w14:textId="1CDAF3F8" w:rsidR="00A55B7D" w:rsidRPr="008A0812" w:rsidRDefault="00A55B7D" w:rsidP="00A55B7D">
            <w:pPr>
              <w:overflowPunct/>
              <w:autoSpaceDE/>
              <w:autoSpaceDN/>
              <w:adjustRightInd/>
              <w:rPr>
                <w:rFonts w:asciiTheme="minorHAnsi" w:hAnsiTheme="minorHAnsi"/>
              </w:rPr>
            </w:pPr>
            <w:r w:rsidRPr="008A0812">
              <w:t>Secondary</w:t>
            </w:r>
          </w:p>
        </w:tc>
        <w:tc>
          <w:tcPr>
            <w:tcW w:w="3115" w:type="dxa"/>
          </w:tcPr>
          <w:p w14:paraId="484D5D75" w14:textId="06F17651" w:rsidR="00A55B7D" w:rsidRPr="008A0812" w:rsidRDefault="00A55B7D" w:rsidP="00A55B7D">
            <w:pPr>
              <w:overflowPunct/>
              <w:autoSpaceDE/>
              <w:autoSpaceDN/>
              <w:adjustRightInd/>
              <w:jc w:val="center"/>
              <w:rPr>
                <w:rFonts w:asciiTheme="majorHAnsi" w:hAnsiTheme="majorHAnsi"/>
              </w:rPr>
            </w:pPr>
            <w:r w:rsidRPr="008A0812">
              <w:t>104</w:t>
            </w:r>
          </w:p>
        </w:tc>
        <w:tc>
          <w:tcPr>
            <w:tcW w:w="3115" w:type="dxa"/>
          </w:tcPr>
          <w:p w14:paraId="45A9D66D" w14:textId="3748F243" w:rsidR="00A55B7D" w:rsidRPr="008A0812" w:rsidRDefault="00A55B7D" w:rsidP="00A55B7D">
            <w:pPr>
              <w:overflowPunct/>
              <w:autoSpaceDE/>
              <w:autoSpaceDN/>
              <w:adjustRightInd/>
              <w:jc w:val="center"/>
              <w:rPr>
                <w:rFonts w:asciiTheme="majorHAnsi" w:hAnsiTheme="majorHAnsi"/>
              </w:rPr>
            </w:pPr>
            <w:r w:rsidRPr="008A0812">
              <w:t>12</w:t>
            </w:r>
          </w:p>
        </w:tc>
      </w:tr>
      <w:tr w:rsidR="00A55B7D" w:rsidRPr="008A0812" w14:paraId="78B5261F" w14:textId="77777777" w:rsidTr="00A55B7D">
        <w:trPr>
          <w:trHeight w:val="288"/>
        </w:trPr>
        <w:tc>
          <w:tcPr>
            <w:tcW w:w="3114" w:type="dxa"/>
          </w:tcPr>
          <w:p w14:paraId="0B365A46" w14:textId="16CE2A1E" w:rsidR="00A55B7D" w:rsidRPr="008A0812" w:rsidRDefault="00A55B7D" w:rsidP="00A55B7D">
            <w:pPr>
              <w:overflowPunct/>
              <w:autoSpaceDE/>
              <w:autoSpaceDN/>
              <w:adjustRightInd/>
              <w:jc w:val="right"/>
              <w:rPr>
                <w:rFonts w:asciiTheme="minorHAnsi" w:hAnsiTheme="minorHAnsi"/>
                <w:b/>
                <w:bCs/>
              </w:rPr>
            </w:pPr>
            <w:r w:rsidRPr="008A0812">
              <w:rPr>
                <w:b/>
                <w:bCs/>
              </w:rPr>
              <w:t>Total</w:t>
            </w:r>
          </w:p>
        </w:tc>
        <w:tc>
          <w:tcPr>
            <w:tcW w:w="3115" w:type="dxa"/>
          </w:tcPr>
          <w:p w14:paraId="3C954676" w14:textId="7854B3B3" w:rsidR="00A55B7D" w:rsidRPr="008A0812" w:rsidRDefault="00A55B7D" w:rsidP="00A55B7D">
            <w:pPr>
              <w:overflowPunct/>
              <w:autoSpaceDE/>
              <w:autoSpaceDN/>
              <w:adjustRightInd/>
              <w:jc w:val="center"/>
              <w:rPr>
                <w:rFonts w:asciiTheme="majorHAnsi" w:hAnsiTheme="majorHAnsi"/>
                <w:b/>
                <w:bCs/>
              </w:rPr>
            </w:pPr>
            <w:r w:rsidRPr="008A0812">
              <w:rPr>
                <w:b/>
                <w:bCs/>
              </w:rPr>
              <w:t>326</w:t>
            </w:r>
          </w:p>
        </w:tc>
        <w:tc>
          <w:tcPr>
            <w:tcW w:w="3115" w:type="dxa"/>
          </w:tcPr>
          <w:p w14:paraId="3F31E89A" w14:textId="0482C797" w:rsidR="00A55B7D" w:rsidRPr="008A0812" w:rsidRDefault="00A55B7D" w:rsidP="00A55B7D">
            <w:pPr>
              <w:overflowPunct/>
              <w:autoSpaceDE/>
              <w:autoSpaceDN/>
              <w:adjustRightInd/>
              <w:jc w:val="center"/>
              <w:rPr>
                <w:rFonts w:asciiTheme="majorHAnsi" w:hAnsiTheme="majorHAnsi"/>
              </w:rPr>
            </w:pPr>
            <w:r w:rsidRPr="008A0812">
              <w:rPr>
                <w:b/>
                <w:bCs/>
              </w:rPr>
              <w:t>12</w:t>
            </w:r>
          </w:p>
        </w:tc>
      </w:tr>
    </w:tbl>
    <w:p w14:paraId="55217B4E" w14:textId="4EAD469A" w:rsidR="00153FF7" w:rsidRPr="008A0812" w:rsidRDefault="0047478E" w:rsidP="00A1350D">
      <w:pPr>
        <w:pStyle w:val="BodyText"/>
      </w:pPr>
      <w:r w:rsidRPr="008A0812">
        <w:fldChar w:fldCharType="begin"/>
      </w:r>
      <w:r w:rsidRPr="008A0812">
        <w:instrText xml:space="preserve"> REF _Ref36231024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7</w:t>
      </w:r>
      <w:r w:rsidRPr="008A0812">
        <w:fldChar w:fldCharType="end"/>
      </w:r>
      <w:r w:rsidR="00A55B7D" w:rsidRPr="008A0812">
        <w:t xml:space="preserve"> summarizes the findings of PoF risk scores by showing the probability of failure and number of assets.</w:t>
      </w:r>
    </w:p>
    <w:p w14:paraId="4CCD93F0" w14:textId="62A42BD2" w:rsidR="0047478E" w:rsidRPr="008A0812" w:rsidRDefault="0047478E" w:rsidP="0047478E">
      <w:pPr>
        <w:pStyle w:val="FigureHeading"/>
      </w:pPr>
      <w:bookmarkStart w:id="244" w:name="_Ref36231024"/>
      <w:bookmarkStart w:id="245" w:name="_Toc36413938"/>
      <w:bookmarkStart w:id="246" w:name="_Toc41684684"/>
      <w:r w:rsidRPr="008A0812">
        <w:t xml:space="preserve">Figure </w:t>
      </w:r>
      <w:fldSimple w:instr=" STYLEREF 1 \s ">
        <w:r w:rsidR="00AA68F8">
          <w:rPr>
            <w:noProof/>
          </w:rPr>
          <w:t>4</w:t>
        </w:r>
      </w:fldSimple>
      <w:r w:rsidR="00B233D1">
        <w:noBreakHyphen/>
      </w:r>
      <w:fldSimple w:instr=" SEQ Figure \* ARABIC \s 1 ">
        <w:r w:rsidR="00AA68F8">
          <w:rPr>
            <w:noProof/>
          </w:rPr>
          <w:t>7</w:t>
        </w:r>
      </w:fldSimple>
      <w:bookmarkEnd w:id="244"/>
      <w:r w:rsidRPr="008A0812">
        <w:t>: Summary of PoF Results</w:t>
      </w:r>
      <w:bookmarkEnd w:id="245"/>
      <w:bookmarkEnd w:id="246"/>
    </w:p>
    <w:p w14:paraId="666C385E" w14:textId="57889C76" w:rsidR="00A55B7D" w:rsidRPr="008A0812" w:rsidRDefault="00A55B7D" w:rsidP="00A55B7D">
      <w:pPr>
        <w:pStyle w:val="BodyText"/>
        <w:jc w:val="center"/>
      </w:pPr>
      <w:r>
        <w:rPr>
          <w:noProof/>
        </w:rPr>
        <w:drawing>
          <wp:inline distT="0" distB="0" distL="0" distR="0" wp14:anchorId="2EE72CEA" wp14:editId="22DFD9E2">
            <wp:extent cx="4584701" cy="2755900"/>
            <wp:effectExtent l="0" t="0" r="6350" b="6350"/>
            <wp:docPr id="1767070302"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61">
                      <a:extLst>
                        <a:ext uri="{28A0092B-C50C-407E-A947-70E740481C1C}">
                          <a14:useLocalDpi xmlns:a14="http://schemas.microsoft.com/office/drawing/2010/main" val="0"/>
                        </a:ext>
                      </a:extLst>
                    </a:blip>
                    <a:stretch>
                      <a:fillRect/>
                    </a:stretch>
                  </pic:blipFill>
                  <pic:spPr>
                    <a:xfrm>
                      <a:off x="0" y="0"/>
                      <a:ext cx="4584701" cy="2755900"/>
                    </a:xfrm>
                    <a:prstGeom prst="rect">
                      <a:avLst/>
                    </a:prstGeom>
                  </pic:spPr>
                </pic:pic>
              </a:graphicData>
            </a:graphic>
          </wp:inline>
        </w:drawing>
      </w:r>
    </w:p>
    <w:p w14:paraId="0316A027" w14:textId="57BF729B" w:rsidR="00153FF7" w:rsidRPr="008A0812" w:rsidRDefault="00A55B7D" w:rsidP="00A55B7D">
      <w:pPr>
        <w:pStyle w:val="Heading3"/>
      </w:pPr>
      <w:bookmarkStart w:id="247" w:name="_Toc41680846"/>
      <w:r w:rsidRPr="008A0812">
        <w:t>Consequence of Failure Summary Results</w:t>
      </w:r>
      <w:bookmarkEnd w:id="247"/>
    </w:p>
    <w:p w14:paraId="669C80C5" w14:textId="7F2AA174" w:rsidR="00A55B7D" w:rsidRPr="008A0812" w:rsidRDefault="00A55B7D" w:rsidP="00A55B7D">
      <w:pPr>
        <w:pStyle w:val="BodyText"/>
      </w:pPr>
      <w:r w:rsidRPr="008A0812">
        <w:t xml:space="preserve">The process level and asset level CoF scores were combined using the formula presented in </w:t>
      </w:r>
      <w:r w:rsidR="0047478E" w:rsidRPr="008A0812">
        <w:fldChar w:fldCharType="begin"/>
      </w:r>
      <w:r w:rsidR="0047478E" w:rsidRPr="008A0812">
        <w:instrText xml:space="preserve"> REF _Ref36231051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8</w:t>
      </w:r>
      <w:r w:rsidR="0047478E" w:rsidRPr="008A0812">
        <w:fldChar w:fldCharType="end"/>
      </w:r>
      <w:r w:rsidRPr="008A0812">
        <w:t xml:space="preserve"> to come up with an overall CoF score. The product of Process-Level CoF and Asset-Level CoF were divided by 2.5 to adjust the final CoF score from 1-25 to 1-10. </w:t>
      </w:r>
      <w:r w:rsidR="00EE5870" w:rsidRPr="008A0812">
        <w:fldChar w:fldCharType="begin"/>
      </w:r>
      <w:r w:rsidR="00EE5870" w:rsidRPr="008A0812">
        <w:instrText xml:space="preserve"> REF _Ref36231784 \h </w:instrText>
      </w:r>
      <w:r w:rsidR="008A0812">
        <w:instrText xml:space="preserve"> \* MERGEFORMAT </w:instrText>
      </w:r>
      <w:r w:rsidR="00EE5870" w:rsidRPr="008A0812">
        <w:fldChar w:fldCharType="separate"/>
      </w:r>
      <w:r w:rsidR="00AA68F8" w:rsidRPr="008A0812">
        <w:t xml:space="preserve">Table </w:t>
      </w:r>
      <w:r w:rsidR="00AA68F8">
        <w:rPr>
          <w:noProof/>
        </w:rPr>
        <w:t>4</w:t>
      </w:r>
      <w:r w:rsidR="00AA68F8" w:rsidRPr="008A0812">
        <w:rPr>
          <w:noProof/>
        </w:rPr>
        <w:noBreakHyphen/>
      </w:r>
      <w:r w:rsidR="00AA68F8">
        <w:rPr>
          <w:noProof/>
        </w:rPr>
        <w:t>8</w:t>
      </w:r>
      <w:r w:rsidR="00EE5870" w:rsidRPr="008A0812">
        <w:fldChar w:fldCharType="end"/>
      </w:r>
      <w:r w:rsidRPr="008A0812">
        <w:t xml:space="preserve"> presents the process/location level CoF results.</w:t>
      </w:r>
    </w:p>
    <w:p w14:paraId="246AE5AC" w14:textId="47E9DF57" w:rsidR="0047478E" w:rsidRPr="008A0812" w:rsidRDefault="0047478E" w:rsidP="0047478E">
      <w:pPr>
        <w:pStyle w:val="FigureHeading"/>
      </w:pPr>
      <w:bookmarkStart w:id="248" w:name="_Ref36231051"/>
      <w:bookmarkStart w:id="249" w:name="_Toc36413939"/>
      <w:bookmarkStart w:id="250" w:name="_Toc41684685"/>
      <w:r w:rsidRPr="008A0812">
        <w:t xml:space="preserve">Figure </w:t>
      </w:r>
      <w:fldSimple w:instr=" STYLEREF 1 \s ">
        <w:r w:rsidR="00AA68F8">
          <w:rPr>
            <w:noProof/>
          </w:rPr>
          <w:t>4</w:t>
        </w:r>
      </w:fldSimple>
      <w:r w:rsidR="00B233D1">
        <w:noBreakHyphen/>
      </w:r>
      <w:fldSimple w:instr=" SEQ Figure \* ARABIC \s 1 ">
        <w:r w:rsidR="00AA68F8">
          <w:rPr>
            <w:noProof/>
          </w:rPr>
          <w:t>8</w:t>
        </w:r>
      </w:fldSimple>
      <w:bookmarkEnd w:id="248"/>
      <w:r w:rsidRPr="008A0812">
        <w:t>: Final CoF Formula</w:t>
      </w:r>
      <w:bookmarkEnd w:id="249"/>
      <w:bookmarkEnd w:id="250"/>
    </w:p>
    <w:p w14:paraId="27DD190B" w14:textId="1F7DF3F4" w:rsidR="00A55B7D" w:rsidRPr="008A0812" w:rsidRDefault="00A55B7D" w:rsidP="00A55B7D">
      <w:pPr>
        <w:pStyle w:val="BodyText"/>
      </w:pPr>
      <w:r w:rsidRPr="008A0812">
        <w:rPr>
          <w:noProof/>
        </w:rPr>
        <w:drawing>
          <wp:inline distT="0" distB="0" distL="0" distR="0" wp14:anchorId="3E049409" wp14:editId="50AFE02E">
            <wp:extent cx="5643245" cy="2033270"/>
            <wp:effectExtent l="0" t="0" r="0" b="24130"/>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2E0EB754" w14:textId="4E162F66" w:rsidR="00EE5870" w:rsidRPr="008A0812" w:rsidRDefault="00EE5870" w:rsidP="00EE5870">
      <w:pPr>
        <w:pStyle w:val="TableHeading"/>
      </w:pPr>
      <w:bookmarkStart w:id="251" w:name="_Ref36231784"/>
      <w:bookmarkStart w:id="252" w:name="_Toc36414050"/>
      <w:bookmarkStart w:id="253" w:name="_Toc41684751"/>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251"/>
      <w:r w:rsidRPr="008A0812">
        <w:t>: Process/Location Level CoF</w:t>
      </w:r>
      <w:bookmarkEnd w:id="252"/>
      <w:bookmarkEnd w:id="253"/>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602"/>
        <w:gridCol w:w="5220"/>
        <w:gridCol w:w="1522"/>
      </w:tblGrid>
      <w:tr w:rsidR="00A55B7D" w:rsidRPr="008A0812" w14:paraId="33B41467" w14:textId="77777777" w:rsidTr="0047478E">
        <w:trPr>
          <w:cantSplit/>
          <w:trHeight w:val="288"/>
          <w:tblHeader/>
        </w:trPr>
        <w:tc>
          <w:tcPr>
            <w:tcW w:w="2602" w:type="dxa"/>
            <w:shd w:val="clear" w:color="auto" w:fill="BFBFBF"/>
            <w:vAlign w:val="center"/>
            <w:hideMark/>
          </w:tcPr>
          <w:p w14:paraId="387DD188" w14:textId="7BDA52C9" w:rsidR="00A55B7D" w:rsidRPr="008A0812" w:rsidRDefault="00A55B7D" w:rsidP="0001683D">
            <w:pPr>
              <w:overflowPunct/>
              <w:autoSpaceDE/>
              <w:autoSpaceDN/>
              <w:adjustRightInd/>
              <w:jc w:val="center"/>
              <w:rPr>
                <w:b/>
                <w:bCs/>
              </w:rPr>
            </w:pPr>
            <w:r w:rsidRPr="008A0812">
              <w:rPr>
                <w:b/>
                <w:bCs/>
              </w:rPr>
              <w:t>Process</w:t>
            </w:r>
          </w:p>
        </w:tc>
        <w:tc>
          <w:tcPr>
            <w:tcW w:w="5220" w:type="dxa"/>
            <w:shd w:val="clear" w:color="auto" w:fill="BFBFBF"/>
          </w:tcPr>
          <w:p w14:paraId="4DDC2626" w14:textId="1EEF500F" w:rsidR="00A55B7D" w:rsidRPr="008A0812" w:rsidRDefault="00A55B7D" w:rsidP="0001683D">
            <w:pPr>
              <w:overflowPunct/>
              <w:autoSpaceDE/>
              <w:autoSpaceDN/>
              <w:adjustRightInd/>
              <w:jc w:val="center"/>
              <w:rPr>
                <w:b/>
                <w:bCs/>
              </w:rPr>
            </w:pPr>
            <w:r w:rsidRPr="008A0812">
              <w:rPr>
                <w:b/>
                <w:bCs/>
              </w:rPr>
              <w:t>Location</w:t>
            </w:r>
          </w:p>
        </w:tc>
        <w:tc>
          <w:tcPr>
            <w:tcW w:w="1522" w:type="dxa"/>
            <w:shd w:val="clear" w:color="auto" w:fill="BFBFBF"/>
            <w:vAlign w:val="center"/>
            <w:hideMark/>
          </w:tcPr>
          <w:p w14:paraId="11B04E2F" w14:textId="648FD1D2" w:rsidR="00A55B7D" w:rsidRPr="008A0812" w:rsidRDefault="00A55B7D" w:rsidP="0001683D">
            <w:pPr>
              <w:overflowPunct/>
              <w:autoSpaceDE/>
              <w:autoSpaceDN/>
              <w:adjustRightInd/>
              <w:jc w:val="center"/>
              <w:rPr>
                <w:rFonts w:ascii="Times New Roman" w:hAnsi="Times New Roman"/>
                <w:sz w:val="24"/>
                <w:szCs w:val="24"/>
              </w:rPr>
            </w:pPr>
            <w:r w:rsidRPr="008A0812">
              <w:rPr>
                <w:b/>
                <w:bCs/>
              </w:rPr>
              <w:t>CoF</w:t>
            </w:r>
          </w:p>
        </w:tc>
      </w:tr>
      <w:tr w:rsidR="00A55B7D" w:rsidRPr="008A0812" w14:paraId="4D7C2213" w14:textId="77777777" w:rsidTr="00A55B7D">
        <w:trPr>
          <w:trHeight w:val="288"/>
        </w:trPr>
        <w:tc>
          <w:tcPr>
            <w:tcW w:w="2602" w:type="dxa"/>
            <w:vAlign w:val="center"/>
          </w:tcPr>
          <w:p w14:paraId="1E7F7728" w14:textId="3D526D00" w:rsidR="00A55B7D" w:rsidRPr="008A0812" w:rsidRDefault="00A55B7D" w:rsidP="00A55B7D">
            <w:pPr>
              <w:overflowPunct/>
              <w:autoSpaceDE/>
              <w:autoSpaceDN/>
              <w:adjustRightInd/>
              <w:rPr>
                <w:rFonts w:asciiTheme="minorHAnsi" w:hAnsiTheme="minorHAnsi"/>
              </w:rPr>
            </w:pPr>
            <w:r w:rsidRPr="008A0812">
              <w:t>Electrical</w:t>
            </w:r>
          </w:p>
        </w:tc>
        <w:tc>
          <w:tcPr>
            <w:tcW w:w="5220" w:type="dxa"/>
            <w:vAlign w:val="center"/>
          </w:tcPr>
          <w:p w14:paraId="1B0AF4CD" w14:textId="3651A4D3" w:rsidR="00A55B7D" w:rsidRPr="008A0812" w:rsidRDefault="00A55B7D" w:rsidP="00A55B7D">
            <w:pPr>
              <w:overflowPunct/>
              <w:autoSpaceDE/>
              <w:autoSpaceDN/>
              <w:adjustRightInd/>
            </w:pPr>
            <w:r w:rsidRPr="008A0812">
              <w:t>Burner Building</w:t>
            </w:r>
          </w:p>
        </w:tc>
        <w:tc>
          <w:tcPr>
            <w:tcW w:w="1522" w:type="dxa"/>
          </w:tcPr>
          <w:p w14:paraId="0E5E29F4" w14:textId="3918349F"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6AEDDD81" w14:textId="77777777" w:rsidTr="00A55B7D">
        <w:trPr>
          <w:trHeight w:val="288"/>
        </w:trPr>
        <w:tc>
          <w:tcPr>
            <w:tcW w:w="2602" w:type="dxa"/>
            <w:vAlign w:val="center"/>
          </w:tcPr>
          <w:p w14:paraId="2E3401BA" w14:textId="2B7AA58E" w:rsidR="00A55B7D" w:rsidRPr="008A0812" w:rsidRDefault="00A55B7D" w:rsidP="00A55B7D">
            <w:pPr>
              <w:overflowPunct/>
              <w:autoSpaceDE/>
              <w:autoSpaceDN/>
              <w:adjustRightInd/>
              <w:rPr>
                <w:rFonts w:asciiTheme="minorHAnsi" w:hAnsiTheme="minorHAnsi"/>
              </w:rPr>
            </w:pPr>
            <w:r w:rsidRPr="008A0812">
              <w:t>Electrical</w:t>
            </w:r>
          </w:p>
        </w:tc>
        <w:tc>
          <w:tcPr>
            <w:tcW w:w="5220" w:type="dxa"/>
            <w:vAlign w:val="center"/>
          </w:tcPr>
          <w:p w14:paraId="1C3319B5" w14:textId="59C6EC28" w:rsidR="00A55B7D" w:rsidRPr="008A0812" w:rsidRDefault="00A55B7D" w:rsidP="00A55B7D">
            <w:pPr>
              <w:overflowPunct/>
              <w:autoSpaceDE/>
              <w:autoSpaceDN/>
              <w:adjustRightInd/>
            </w:pPr>
            <w:r w:rsidRPr="008A0812">
              <w:t>Cogeneration Building</w:t>
            </w:r>
          </w:p>
        </w:tc>
        <w:tc>
          <w:tcPr>
            <w:tcW w:w="1522" w:type="dxa"/>
          </w:tcPr>
          <w:p w14:paraId="6F6E0620" w14:textId="70A79079"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58B64963" w14:textId="77777777" w:rsidTr="00A55B7D">
        <w:trPr>
          <w:trHeight w:val="288"/>
        </w:trPr>
        <w:tc>
          <w:tcPr>
            <w:tcW w:w="2602" w:type="dxa"/>
            <w:vAlign w:val="center"/>
          </w:tcPr>
          <w:p w14:paraId="42577CA6" w14:textId="4CC2E81A" w:rsidR="00A55B7D" w:rsidRPr="008A0812" w:rsidRDefault="00A55B7D" w:rsidP="00A55B7D">
            <w:pPr>
              <w:overflowPunct/>
              <w:autoSpaceDE/>
              <w:autoSpaceDN/>
              <w:adjustRightInd/>
              <w:rPr>
                <w:rFonts w:asciiTheme="minorHAnsi" w:hAnsiTheme="minorHAnsi"/>
              </w:rPr>
            </w:pPr>
            <w:r w:rsidRPr="008A0812">
              <w:t>Electrical</w:t>
            </w:r>
          </w:p>
        </w:tc>
        <w:tc>
          <w:tcPr>
            <w:tcW w:w="5220" w:type="dxa"/>
            <w:vAlign w:val="center"/>
          </w:tcPr>
          <w:p w14:paraId="3155BD9A" w14:textId="297D5D0C" w:rsidR="00A55B7D" w:rsidRPr="008A0812" w:rsidRDefault="00A55B7D" w:rsidP="00A55B7D">
            <w:pPr>
              <w:overflowPunct/>
              <w:autoSpaceDE/>
              <w:autoSpaceDN/>
              <w:adjustRightInd/>
            </w:pPr>
            <w:r w:rsidRPr="008A0812">
              <w:t>Hoffman Building</w:t>
            </w:r>
          </w:p>
        </w:tc>
        <w:tc>
          <w:tcPr>
            <w:tcW w:w="1522" w:type="dxa"/>
          </w:tcPr>
          <w:p w14:paraId="415799DB" w14:textId="675E748E"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4C2CE040" w14:textId="77777777" w:rsidTr="00A55B7D">
        <w:trPr>
          <w:trHeight w:val="288"/>
        </w:trPr>
        <w:tc>
          <w:tcPr>
            <w:tcW w:w="2602" w:type="dxa"/>
            <w:vAlign w:val="center"/>
          </w:tcPr>
          <w:p w14:paraId="642A4B35" w14:textId="31EAE9C2" w:rsidR="00A55B7D" w:rsidRPr="008A0812" w:rsidRDefault="00A55B7D" w:rsidP="00A55B7D">
            <w:pPr>
              <w:overflowPunct/>
              <w:autoSpaceDE/>
              <w:autoSpaceDN/>
              <w:adjustRightInd/>
              <w:rPr>
                <w:rFonts w:asciiTheme="minorHAnsi" w:hAnsiTheme="minorHAnsi"/>
              </w:rPr>
            </w:pPr>
            <w:r w:rsidRPr="008A0812">
              <w:t>Electrical</w:t>
            </w:r>
          </w:p>
        </w:tc>
        <w:tc>
          <w:tcPr>
            <w:tcW w:w="5220" w:type="dxa"/>
            <w:vAlign w:val="center"/>
          </w:tcPr>
          <w:p w14:paraId="45940DD7" w14:textId="2033086D" w:rsidR="00A55B7D" w:rsidRPr="008A0812" w:rsidRDefault="00A55B7D" w:rsidP="00A55B7D">
            <w:pPr>
              <w:overflowPunct/>
              <w:autoSpaceDE/>
              <w:autoSpaceDN/>
              <w:adjustRightInd/>
            </w:pPr>
            <w:r w:rsidRPr="008A0812">
              <w:t>Main Switchgear (BLM)</w:t>
            </w:r>
          </w:p>
        </w:tc>
        <w:tc>
          <w:tcPr>
            <w:tcW w:w="1522" w:type="dxa"/>
          </w:tcPr>
          <w:p w14:paraId="5BE3C5EC" w14:textId="2DAA5C81"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2803EC2F" w14:textId="77777777" w:rsidTr="00A55B7D">
        <w:trPr>
          <w:trHeight w:val="288"/>
        </w:trPr>
        <w:tc>
          <w:tcPr>
            <w:tcW w:w="2602" w:type="dxa"/>
            <w:vAlign w:val="center"/>
          </w:tcPr>
          <w:p w14:paraId="70A3D834" w14:textId="26423F96" w:rsidR="00A55B7D" w:rsidRPr="008A0812" w:rsidRDefault="00A55B7D" w:rsidP="00A55B7D">
            <w:pPr>
              <w:overflowPunct/>
              <w:autoSpaceDE/>
              <w:autoSpaceDN/>
              <w:adjustRightInd/>
              <w:rPr>
                <w:rFonts w:asciiTheme="minorHAnsi" w:hAnsiTheme="minorHAnsi"/>
              </w:rPr>
            </w:pPr>
            <w:r w:rsidRPr="008A0812">
              <w:t>Electrical</w:t>
            </w:r>
          </w:p>
        </w:tc>
        <w:tc>
          <w:tcPr>
            <w:tcW w:w="5220" w:type="dxa"/>
            <w:vAlign w:val="center"/>
          </w:tcPr>
          <w:p w14:paraId="58AA44BD" w14:textId="32E520D0" w:rsidR="00A55B7D" w:rsidRPr="008A0812" w:rsidRDefault="00A55B7D" w:rsidP="00A55B7D">
            <w:pPr>
              <w:overflowPunct/>
              <w:autoSpaceDE/>
              <w:autoSpaceDN/>
              <w:adjustRightInd/>
            </w:pPr>
            <w:r w:rsidRPr="008A0812">
              <w:t>Old Blue Generator Building</w:t>
            </w:r>
          </w:p>
        </w:tc>
        <w:tc>
          <w:tcPr>
            <w:tcW w:w="1522" w:type="dxa"/>
          </w:tcPr>
          <w:p w14:paraId="171BFEA0" w14:textId="7BAB906F"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6916FF79" w14:textId="77777777" w:rsidTr="00A55B7D">
        <w:trPr>
          <w:trHeight w:val="288"/>
        </w:trPr>
        <w:tc>
          <w:tcPr>
            <w:tcW w:w="2602" w:type="dxa"/>
            <w:vAlign w:val="center"/>
          </w:tcPr>
          <w:p w14:paraId="51C5C268" w14:textId="568E2366" w:rsidR="00A55B7D" w:rsidRPr="008A0812" w:rsidRDefault="00A55B7D" w:rsidP="00A55B7D">
            <w:pPr>
              <w:overflowPunct/>
              <w:autoSpaceDE/>
              <w:autoSpaceDN/>
              <w:adjustRightInd/>
              <w:rPr>
                <w:rFonts w:asciiTheme="minorHAnsi" w:hAnsiTheme="minorHAnsi"/>
              </w:rPr>
            </w:pPr>
            <w:r w:rsidRPr="008A0812">
              <w:t>Gas Handling</w:t>
            </w:r>
          </w:p>
        </w:tc>
        <w:tc>
          <w:tcPr>
            <w:tcW w:w="5220" w:type="dxa"/>
            <w:vAlign w:val="center"/>
          </w:tcPr>
          <w:p w14:paraId="2ABFE44D" w14:textId="1B28A88D" w:rsidR="00A55B7D" w:rsidRPr="008A0812" w:rsidRDefault="00A55B7D" w:rsidP="00A55B7D">
            <w:pPr>
              <w:overflowPunct/>
              <w:autoSpaceDE/>
              <w:autoSpaceDN/>
              <w:adjustRightInd/>
            </w:pPr>
            <w:r w:rsidRPr="008A0812">
              <w:t>Existing 0.06 Flare</w:t>
            </w:r>
          </w:p>
        </w:tc>
        <w:tc>
          <w:tcPr>
            <w:tcW w:w="1522" w:type="dxa"/>
          </w:tcPr>
          <w:p w14:paraId="1EA6339E" w14:textId="7FD0EEC7"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775845DA" w14:textId="77777777" w:rsidTr="00A55B7D">
        <w:trPr>
          <w:trHeight w:val="288"/>
        </w:trPr>
        <w:tc>
          <w:tcPr>
            <w:tcW w:w="2602" w:type="dxa"/>
            <w:vAlign w:val="center"/>
          </w:tcPr>
          <w:p w14:paraId="5733EFC4" w14:textId="25F0EBF4" w:rsidR="00A55B7D" w:rsidRPr="008A0812" w:rsidRDefault="00A55B7D" w:rsidP="00A55B7D">
            <w:pPr>
              <w:overflowPunct/>
              <w:autoSpaceDE/>
              <w:autoSpaceDN/>
              <w:adjustRightInd/>
              <w:rPr>
                <w:rFonts w:asciiTheme="minorHAnsi" w:hAnsiTheme="minorHAnsi"/>
              </w:rPr>
            </w:pPr>
            <w:r w:rsidRPr="008A0812">
              <w:t>Gas Handling</w:t>
            </w:r>
          </w:p>
        </w:tc>
        <w:tc>
          <w:tcPr>
            <w:tcW w:w="5220" w:type="dxa"/>
            <w:vAlign w:val="center"/>
          </w:tcPr>
          <w:p w14:paraId="7E8218ED" w14:textId="01D6ECAA" w:rsidR="00A55B7D" w:rsidRPr="008A0812" w:rsidRDefault="00A55B7D" w:rsidP="00A55B7D">
            <w:pPr>
              <w:overflowPunct/>
              <w:autoSpaceDE/>
              <w:autoSpaceDN/>
              <w:adjustRightInd/>
            </w:pPr>
            <w:r w:rsidRPr="008A0812">
              <w:t>Gas Compression Area</w:t>
            </w:r>
          </w:p>
        </w:tc>
        <w:tc>
          <w:tcPr>
            <w:tcW w:w="1522" w:type="dxa"/>
          </w:tcPr>
          <w:p w14:paraId="60033D6C" w14:textId="0D653D42"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062C055E" w14:textId="77777777" w:rsidTr="00A55B7D">
        <w:trPr>
          <w:trHeight w:val="288"/>
        </w:trPr>
        <w:tc>
          <w:tcPr>
            <w:tcW w:w="2602" w:type="dxa"/>
            <w:vAlign w:val="center"/>
          </w:tcPr>
          <w:p w14:paraId="6AB1D096" w14:textId="2698B8B3" w:rsidR="00A55B7D" w:rsidRPr="008A0812" w:rsidRDefault="00A55B7D" w:rsidP="00A55B7D">
            <w:pPr>
              <w:overflowPunct/>
              <w:autoSpaceDE/>
              <w:autoSpaceDN/>
              <w:adjustRightInd/>
              <w:rPr>
                <w:rFonts w:asciiTheme="minorHAnsi" w:hAnsiTheme="minorHAnsi"/>
              </w:rPr>
            </w:pPr>
            <w:r w:rsidRPr="008A0812">
              <w:t>Gas Handling</w:t>
            </w:r>
          </w:p>
        </w:tc>
        <w:tc>
          <w:tcPr>
            <w:tcW w:w="5220" w:type="dxa"/>
            <w:vAlign w:val="center"/>
          </w:tcPr>
          <w:p w14:paraId="429C08D2" w14:textId="2D41D527" w:rsidR="00A55B7D" w:rsidRPr="008A0812" w:rsidRDefault="00A55B7D" w:rsidP="00A55B7D">
            <w:pPr>
              <w:overflowPunct/>
              <w:autoSpaceDE/>
              <w:autoSpaceDN/>
              <w:adjustRightInd/>
            </w:pPr>
            <w:r w:rsidRPr="008A0812">
              <w:t>High Pressure Storage Tank (HPST)</w:t>
            </w:r>
          </w:p>
        </w:tc>
        <w:tc>
          <w:tcPr>
            <w:tcW w:w="1522" w:type="dxa"/>
          </w:tcPr>
          <w:p w14:paraId="770B4391" w14:textId="7FEBD547"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0BFC0A04" w14:textId="77777777" w:rsidTr="00A55B7D">
        <w:trPr>
          <w:trHeight w:val="288"/>
        </w:trPr>
        <w:tc>
          <w:tcPr>
            <w:tcW w:w="2602" w:type="dxa"/>
            <w:vAlign w:val="center"/>
          </w:tcPr>
          <w:p w14:paraId="229D6173" w14:textId="4BF26253" w:rsidR="00A55B7D" w:rsidRPr="008A0812" w:rsidRDefault="00A55B7D" w:rsidP="00A55B7D">
            <w:pPr>
              <w:overflowPunct/>
              <w:autoSpaceDE/>
              <w:autoSpaceDN/>
              <w:adjustRightInd/>
              <w:rPr>
                <w:rFonts w:asciiTheme="minorHAnsi" w:hAnsiTheme="minorHAnsi"/>
              </w:rPr>
            </w:pPr>
            <w:r w:rsidRPr="008A0812">
              <w:t>Gas Handling</w:t>
            </w:r>
          </w:p>
        </w:tc>
        <w:tc>
          <w:tcPr>
            <w:tcW w:w="5220" w:type="dxa"/>
            <w:vAlign w:val="center"/>
          </w:tcPr>
          <w:p w14:paraId="0AB03EB0" w14:textId="519B1721" w:rsidR="00A55B7D" w:rsidRPr="008A0812" w:rsidRDefault="00A55B7D" w:rsidP="00A55B7D">
            <w:pPr>
              <w:overflowPunct/>
              <w:autoSpaceDE/>
              <w:autoSpaceDN/>
              <w:adjustRightInd/>
            </w:pPr>
            <w:r w:rsidRPr="008A0812">
              <w:t>Low Pressure Holding Tank (LPHT)</w:t>
            </w:r>
          </w:p>
        </w:tc>
        <w:tc>
          <w:tcPr>
            <w:tcW w:w="1522" w:type="dxa"/>
          </w:tcPr>
          <w:p w14:paraId="2661AB79" w14:textId="15620FDD" w:rsidR="00A55B7D" w:rsidRPr="008A0812" w:rsidRDefault="00A55B7D" w:rsidP="00A55B7D">
            <w:pPr>
              <w:overflowPunct/>
              <w:autoSpaceDE/>
              <w:autoSpaceDN/>
              <w:adjustRightInd/>
              <w:jc w:val="center"/>
              <w:rPr>
                <w:rFonts w:asciiTheme="majorHAnsi" w:hAnsiTheme="majorHAnsi"/>
              </w:rPr>
            </w:pPr>
            <w:r w:rsidRPr="008A0812">
              <w:t>3</w:t>
            </w:r>
          </w:p>
        </w:tc>
      </w:tr>
      <w:tr w:rsidR="00A55B7D" w:rsidRPr="008A0812" w14:paraId="7B810023" w14:textId="77777777" w:rsidTr="00A55B7D">
        <w:trPr>
          <w:trHeight w:val="288"/>
        </w:trPr>
        <w:tc>
          <w:tcPr>
            <w:tcW w:w="2602" w:type="dxa"/>
            <w:vAlign w:val="center"/>
          </w:tcPr>
          <w:p w14:paraId="1DC66D8F" w14:textId="2CB2E5F1" w:rsidR="00A55B7D" w:rsidRPr="008A0812" w:rsidRDefault="00A55B7D" w:rsidP="00A55B7D">
            <w:pPr>
              <w:overflowPunct/>
              <w:autoSpaceDE/>
              <w:autoSpaceDN/>
              <w:adjustRightInd/>
              <w:rPr>
                <w:rFonts w:asciiTheme="minorHAnsi" w:hAnsiTheme="minorHAnsi"/>
              </w:rPr>
            </w:pPr>
            <w:r w:rsidRPr="008A0812">
              <w:t>Headworks Chemical</w:t>
            </w:r>
          </w:p>
        </w:tc>
        <w:tc>
          <w:tcPr>
            <w:tcW w:w="5220" w:type="dxa"/>
            <w:vAlign w:val="center"/>
          </w:tcPr>
          <w:p w14:paraId="6065D2A0" w14:textId="45D3354A" w:rsidR="00A55B7D" w:rsidRPr="008A0812" w:rsidRDefault="00A55B7D" w:rsidP="00A55B7D">
            <w:pPr>
              <w:overflowPunct/>
              <w:autoSpaceDE/>
              <w:autoSpaceDN/>
              <w:adjustRightInd/>
            </w:pPr>
            <w:r w:rsidRPr="008A0812">
              <w:t>Ferric Chloride Storage Tank</w:t>
            </w:r>
          </w:p>
        </w:tc>
        <w:tc>
          <w:tcPr>
            <w:tcW w:w="1522" w:type="dxa"/>
          </w:tcPr>
          <w:p w14:paraId="3D4E2F7F" w14:textId="6E07498E" w:rsidR="00A55B7D" w:rsidRPr="008A0812" w:rsidRDefault="00A55B7D" w:rsidP="00A55B7D">
            <w:pPr>
              <w:overflowPunct/>
              <w:autoSpaceDE/>
              <w:autoSpaceDN/>
              <w:adjustRightInd/>
              <w:jc w:val="center"/>
              <w:rPr>
                <w:rFonts w:asciiTheme="majorHAnsi" w:hAnsiTheme="majorHAnsi"/>
              </w:rPr>
            </w:pPr>
            <w:r w:rsidRPr="008A0812">
              <w:t>2</w:t>
            </w:r>
          </w:p>
        </w:tc>
      </w:tr>
      <w:tr w:rsidR="00A55B7D" w:rsidRPr="008A0812" w14:paraId="252D7D7A" w14:textId="77777777" w:rsidTr="00A55B7D">
        <w:trPr>
          <w:trHeight w:val="288"/>
        </w:trPr>
        <w:tc>
          <w:tcPr>
            <w:tcW w:w="2602" w:type="dxa"/>
            <w:vAlign w:val="center"/>
          </w:tcPr>
          <w:p w14:paraId="21AF38E8" w14:textId="662C1595" w:rsidR="00A55B7D" w:rsidRPr="008A0812" w:rsidRDefault="00A55B7D" w:rsidP="00A55B7D">
            <w:pPr>
              <w:overflowPunct/>
              <w:autoSpaceDE/>
              <w:autoSpaceDN/>
              <w:adjustRightInd/>
              <w:rPr>
                <w:rFonts w:asciiTheme="minorHAnsi" w:hAnsiTheme="minorHAnsi"/>
              </w:rPr>
            </w:pPr>
            <w:r w:rsidRPr="008A0812">
              <w:t>Lift Stations</w:t>
            </w:r>
          </w:p>
        </w:tc>
        <w:tc>
          <w:tcPr>
            <w:tcW w:w="5220" w:type="dxa"/>
            <w:vAlign w:val="center"/>
          </w:tcPr>
          <w:p w14:paraId="5A26CD82" w14:textId="52B02BBA" w:rsidR="00A55B7D" w:rsidRPr="008A0812" w:rsidRDefault="00A55B7D" w:rsidP="00A55B7D">
            <w:pPr>
              <w:overflowPunct/>
              <w:autoSpaceDE/>
              <w:autoSpaceDN/>
              <w:adjustRightInd/>
            </w:pPr>
            <w:r w:rsidRPr="008A0812">
              <w:t>Arrowhead Lift Station</w:t>
            </w:r>
          </w:p>
        </w:tc>
        <w:tc>
          <w:tcPr>
            <w:tcW w:w="1522" w:type="dxa"/>
          </w:tcPr>
          <w:p w14:paraId="1DA6DB08" w14:textId="289DB63D"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2AEBC909" w14:textId="77777777" w:rsidTr="00A55B7D">
        <w:trPr>
          <w:trHeight w:val="288"/>
        </w:trPr>
        <w:tc>
          <w:tcPr>
            <w:tcW w:w="2602" w:type="dxa"/>
            <w:vAlign w:val="center"/>
          </w:tcPr>
          <w:p w14:paraId="2C59962E" w14:textId="4444D676" w:rsidR="00A55B7D" w:rsidRPr="008A0812" w:rsidRDefault="00A55B7D" w:rsidP="00A55B7D">
            <w:pPr>
              <w:overflowPunct/>
              <w:autoSpaceDE/>
              <w:autoSpaceDN/>
              <w:adjustRightInd/>
              <w:rPr>
                <w:rFonts w:asciiTheme="minorHAnsi" w:hAnsiTheme="minorHAnsi"/>
              </w:rPr>
            </w:pPr>
            <w:r w:rsidRPr="008A0812">
              <w:t>Lift Stations</w:t>
            </w:r>
          </w:p>
        </w:tc>
        <w:tc>
          <w:tcPr>
            <w:tcW w:w="5220" w:type="dxa"/>
            <w:vAlign w:val="center"/>
          </w:tcPr>
          <w:p w14:paraId="03E33822" w14:textId="6D0C371C" w:rsidR="00A55B7D" w:rsidRPr="008A0812" w:rsidRDefault="00A55B7D" w:rsidP="00A55B7D">
            <w:pPr>
              <w:overflowPunct/>
              <w:autoSpaceDE/>
              <w:autoSpaceDN/>
              <w:adjustRightInd/>
            </w:pPr>
            <w:r w:rsidRPr="008A0812">
              <w:t xml:space="preserve">East </w:t>
            </w:r>
            <w:r w:rsidR="00CC2A20">
              <w:t xml:space="preserve">Influent </w:t>
            </w:r>
            <w:r w:rsidRPr="008A0812">
              <w:t>Lift Station</w:t>
            </w:r>
          </w:p>
        </w:tc>
        <w:tc>
          <w:tcPr>
            <w:tcW w:w="1522" w:type="dxa"/>
          </w:tcPr>
          <w:p w14:paraId="3EED2686" w14:textId="4564FA22"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1335ED58" w14:textId="77777777" w:rsidTr="00A55B7D">
        <w:trPr>
          <w:trHeight w:val="288"/>
        </w:trPr>
        <w:tc>
          <w:tcPr>
            <w:tcW w:w="2602" w:type="dxa"/>
            <w:vAlign w:val="center"/>
          </w:tcPr>
          <w:p w14:paraId="373BBDCF" w14:textId="1FE444D6"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09ED7310" w14:textId="16E714E1" w:rsidR="00A55B7D" w:rsidRPr="008A0812" w:rsidRDefault="00A55B7D" w:rsidP="00A55B7D">
            <w:pPr>
              <w:overflowPunct/>
              <w:autoSpaceDE/>
              <w:autoSpaceDN/>
              <w:adjustRightInd/>
            </w:pPr>
            <w:r w:rsidRPr="008A0812">
              <w:t>Emergency Storage Container</w:t>
            </w:r>
          </w:p>
        </w:tc>
        <w:tc>
          <w:tcPr>
            <w:tcW w:w="1522" w:type="dxa"/>
          </w:tcPr>
          <w:p w14:paraId="7563DD83" w14:textId="4DDCB820"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32825068" w14:textId="77777777" w:rsidTr="00A55B7D">
        <w:trPr>
          <w:trHeight w:val="288"/>
        </w:trPr>
        <w:tc>
          <w:tcPr>
            <w:tcW w:w="2602" w:type="dxa"/>
            <w:vAlign w:val="center"/>
          </w:tcPr>
          <w:p w14:paraId="4BDAF4BE" w14:textId="133182A9"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29EBEDF3" w14:textId="3A18ABFE" w:rsidR="00A55B7D" w:rsidRPr="008A0812" w:rsidRDefault="00A55B7D" w:rsidP="00A55B7D">
            <w:pPr>
              <w:overflowPunct/>
              <w:autoSpaceDE/>
              <w:autoSpaceDN/>
              <w:adjustRightInd/>
            </w:pPr>
            <w:r w:rsidRPr="008A0812">
              <w:t>Unit 1 Chlorine Contact Basins</w:t>
            </w:r>
          </w:p>
        </w:tc>
        <w:tc>
          <w:tcPr>
            <w:tcW w:w="1522" w:type="dxa"/>
          </w:tcPr>
          <w:p w14:paraId="5B143D58" w14:textId="2790924C"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6591B092" w14:textId="77777777" w:rsidTr="00A55B7D">
        <w:trPr>
          <w:trHeight w:val="288"/>
        </w:trPr>
        <w:tc>
          <w:tcPr>
            <w:tcW w:w="2602" w:type="dxa"/>
            <w:vAlign w:val="center"/>
          </w:tcPr>
          <w:p w14:paraId="04C0F245" w14:textId="6D6E5AB8"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791AF643" w14:textId="5F8B0836" w:rsidR="00A55B7D" w:rsidRPr="008A0812" w:rsidRDefault="00A55B7D" w:rsidP="00A55B7D">
            <w:pPr>
              <w:overflowPunct/>
              <w:autoSpaceDE/>
              <w:autoSpaceDN/>
              <w:adjustRightInd/>
            </w:pPr>
            <w:r w:rsidRPr="008A0812">
              <w:t>Unit 2 Chlorine Contact Basins</w:t>
            </w:r>
          </w:p>
        </w:tc>
        <w:tc>
          <w:tcPr>
            <w:tcW w:w="1522" w:type="dxa"/>
          </w:tcPr>
          <w:p w14:paraId="1A666732" w14:textId="70492BF2" w:rsidR="00A55B7D" w:rsidRPr="008A0812" w:rsidRDefault="00A55B7D" w:rsidP="00A55B7D">
            <w:pPr>
              <w:overflowPunct/>
              <w:autoSpaceDE/>
              <w:autoSpaceDN/>
              <w:adjustRightInd/>
              <w:jc w:val="center"/>
              <w:rPr>
                <w:rFonts w:asciiTheme="majorHAnsi" w:hAnsiTheme="majorHAnsi"/>
              </w:rPr>
            </w:pPr>
            <w:r w:rsidRPr="008A0812">
              <w:t>5</w:t>
            </w:r>
          </w:p>
        </w:tc>
      </w:tr>
      <w:tr w:rsidR="00A55B7D" w:rsidRPr="008A0812" w14:paraId="115C9A27" w14:textId="77777777" w:rsidTr="00A55B7D">
        <w:trPr>
          <w:trHeight w:val="288"/>
        </w:trPr>
        <w:tc>
          <w:tcPr>
            <w:tcW w:w="2602" w:type="dxa"/>
            <w:vAlign w:val="center"/>
          </w:tcPr>
          <w:p w14:paraId="0F9AD5FE" w14:textId="3D9B3011"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4210357F" w14:textId="73C6F0C2" w:rsidR="00A55B7D" w:rsidRPr="008A0812" w:rsidRDefault="00A55B7D" w:rsidP="00A55B7D">
            <w:pPr>
              <w:overflowPunct/>
              <w:autoSpaceDE/>
              <w:autoSpaceDN/>
              <w:adjustRightInd/>
            </w:pPr>
            <w:r w:rsidRPr="008A0812">
              <w:t>Admin Bldg</w:t>
            </w:r>
          </w:p>
        </w:tc>
        <w:tc>
          <w:tcPr>
            <w:tcW w:w="1522" w:type="dxa"/>
          </w:tcPr>
          <w:p w14:paraId="02E11E86" w14:textId="4227E7E9" w:rsidR="00A55B7D" w:rsidRPr="008A0812" w:rsidRDefault="00A55B7D" w:rsidP="00A55B7D">
            <w:pPr>
              <w:overflowPunct/>
              <w:autoSpaceDE/>
              <w:autoSpaceDN/>
              <w:adjustRightInd/>
              <w:jc w:val="center"/>
              <w:rPr>
                <w:rFonts w:asciiTheme="majorHAnsi" w:hAnsiTheme="majorHAnsi"/>
              </w:rPr>
            </w:pPr>
            <w:r w:rsidRPr="008A0812">
              <w:t>2</w:t>
            </w:r>
          </w:p>
        </w:tc>
      </w:tr>
      <w:tr w:rsidR="00A55B7D" w:rsidRPr="008A0812" w14:paraId="78C9E8A3" w14:textId="77777777" w:rsidTr="00A55B7D">
        <w:trPr>
          <w:trHeight w:val="288"/>
        </w:trPr>
        <w:tc>
          <w:tcPr>
            <w:tcW w:w="2602" w:type="dxa"/>
            <w:vAlign w:val="center"/>
          </w:tcPr>
          <w:p w14:paraId="5772FB11" w14:textId="058FD352"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7116996F" w14:textId="320F26F5" w:rsidR="00A55B7D" w:rsidRPr="008A0812" w:rsidRDefault="00A55B7D" w:rsidP="00A55B7D">
            <w:pPr>
              <w:overflowPunct/>
              <w:autoSpaceDE/>
              <w:autoSpaceDN/>
              <w:adjustRightInd/>
            </w:pPr>
            <w:r w:rsidRPr="008A0812">
              <w:t>Boneyard</w:t>
            </w:r>
          </w:p>
        </w:tc>
        <w:tc>
          <w:tcPr>
            <w:tcW w:w="1522" w:type="dxa"/>
          </w:tcPr>
          <w:p w14:paraId="0B092480" w14:textId="0FF8BF5F"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6BD45FC0" w14:textId="77777777" w:rsidTr="00A55B7D">
        <w:trPr>
          <w:trHeight w:val="288"/>
        </w:trPr>
        <w:tc>
          <w:tcPr>
            <w:tcW w:w="2602" w:type="dxa"/>
            <w:vAlign w:val="center"/>
          </w:tcPr>
          <w:p w14:paraId="7551B935" w14:textId="79AAADC7"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5B3B2255" w14:textId="0A564ED0" w:rsidR="00A55B7D" w:rsidRPr="008A0812" w:rsidRDefault="00A55B7D" w:rsidP="00A55B7D">
            <w:pPr>
              <w:overflowPunct/>
              <w:autoSpaceDE/>
              <w:autoSpaceDN/>
              <w:adjustRightInd/>
            </w:pPr>
            <w:r w:rsidRPr="008A0812">
              <w:t>Brine Ponds</w:t>
            </w:r>
          </w:p>
        </w:tc>
        <w:tc>
          <w:tcPr>
            <w:tcW w:w="1522" w:type="dxa"/>
          </w:tcPr>
          <w:p w14:paraId="06A10F4B" w14:textId="54D25E4D"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4A6E3E2F" w14:textId="77777777" w:rsidTr="00A55B7D">
        <w:trPr>
          <w:trHeight w:val="288"/>
        </w:trPr>
        <w:tc>
          <w:tcPr>
            <w:tcW w:w="2602" w:type="dxa"/>
            <w:vAlign w:val="center"/>
          </w:tcPr>
          <w:p w14:paraId="7F62B570" w14:textId="23D9A5F4"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08D797E8" w14:textId="2C1A31D1" w:rsidR="00A55B7D" w:rsidRPr="008A0812" w:rsidRDefault="00A55B7D" w:rsidP="00A55B7D">
            <w:pPr>
              <w:overflowPunct/>
              <w:autoSpaceDE/>
              <w:autoSpaceDN/>
              <w:adjustRightInd/>
            </w:pPr>
            <w:r w:rsidRPr="008A0812">
              <w:t>Collections Parking Area</w:t>
            </w:r>
          </w:p>
        </w:tc>
        <w:tc>
          <w:tcPr>
            <w:tcW w:w="1522" w:type="dxa"/>
          </w:tcPr>
          <w:p w14:paraId="51EB4977" w14:textId="2578920E"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5F4C1079" w14:textId="77777777" w:rsidTr="00A55B7D">
        <w:trPr>
          <w:trHeight w:val="288"/>
        </w:trPr>
        <w:tc>
          <w:tcPr>
            <w:tcW w:w="2602" w:type="dxa"/>
            <w:vAlign w:val="center"/>
          </w:tcPr>
          <w:p w14:paraId="20959388" w14:textId="6FC04273"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25499523" w14:textId="03F5F7DF" w:rsidR="00A55B7D" w:rsidRPr="008A0812" w:rsidRDefault="00A55B7D" w:rsidP="00A55B7D">
            <w:pPr>
              <w:overflowPunct/>
              <w:autoSpaceDE/>
              <w:autoSpaceDN/>
              <w:adjustRightInd/>
            </w:pPr>
            <w:r w:rsidRPr="008A0812">
              <w:t>Collections Storage Building (Old Chlorine Building)</w:t>
            </w:r>
          </w:p>
        </w:tc>
        <w:tc>
          <w:tcPr>
            <w:tcW w:w="1522" w:type="dxa"/>
          </w:tcPr>
          <w:p w14:paraId="12EB1332" w14:textId="1D87F403"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709FB16B" w14:textId="77777777" w:rsidTr="00A55B7D">
        <w:trPr>
          <w:trHeight w:val="288"/>
        </w:trPr>
        <w:tc>
          <w:tcPr>
            <w:tcW w:w="2602" w:type="dxa"/>
            <w:vAlign w:val="center"/>
          </w:tcPr>
          <w:p w14:paraId="256FDD4E" w14:textId="3DC23A8D"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4F89AD56" w14:textId="0E32CA6E" w:rsidR="00A55B7D" w:rsidRPr="008A0812" w:rsidRDefault="00A55B7D" w:rsidP="00A55B7D">
            <w:pPr>
              <w:overflowPunct/>
              <w:autoSpaceDE/>
              <w:autoSpaceDN/>
              <w:adjustRightInd/>
            </w:pPr>
            <w:r w:rsidRPr="008A0812">
              <w:t>Electrical Administration Building</w:t>
            </w:r>
          </w:p>
        </w:tc>
        <w:tc>
          <w:tcPr>
            <w:tcW w:w="1522" w:type="dxa"/>
          </w:tcPr>
          <w:p w14:paraId="6FCB9854" w14:textId="03A8D12A"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589443EC" w14:textId="77777777" w:rsidTr="00A55B7D">
        <w:trPr>
          <w:trHeight w:val="288"/>
        </w:trPr>
        <w:tc>
          <w:tcPr>
            <w:tcW w:w="2602" w:type="dxa"/>
            <w:vAlign w:val="center"/>
          </w:tcPr>
          <w:p w14:paraId="7739C2EE" w14:textId="5F4D07F7" w:rsidR="00A55B7D" w:rsidRPr="008A0812" w:rsidRDefault="00A55B7D" w:rsidP="00A55B7D">
            <w:pPr>
              <w:overflowPunct/>
              <w:autoSpaceDE/>
              <w:autoSpaceDN/>
              <w:adjustRightInd/>
              <w:rPr>
                <w:rFonts w:asciiTheme="minorHAnsi" w:hAnsiTheme="minorHAnsi"/>
              </w:rPr>
            </w:pPr>
            <w:r w:rsidRPr="008A0812">
              <w:t>Non-Process</w:t>
            </w:r>
          </w:p>
        </w:tc>
        <w:tc>
          <w:tcPr>
            <w:tcW w:w="5220" w:type="dxa"/>
            <w:vAlign w:val="center"/>
          </w:tcPr>
          <w:p w14:paraId="7DF827A8" w14:textId="4D8C9C13" w:rsidR="00A55B7D" w:rsidRPr="008A0812" w:rsidRDefault="00A55B7D" w:rsidP="00A55B7D">
            <w:pPr>
              <w:overflowPunct/>
              <w:autoSpaceDE/>
              <w:autoSpaceDN/>
              <w:adjustRightInd/>
            </w:pPr>
            <w:r w:rsidRPr="008A0812">
              <w:t>Electrical Supply Building</w:t>
            </w:r>
          </w:p>
        </w:tc>
        <w:tc>
          <w:tcPr>
            <w:tcW w:w="1522" w:type="dxa"/>
          </w:tcPr>
          <w:p w14:paraId="34165A55" w14:textId="7E6CE2F7" w:rsidR="00A55B7D" w:rsidRPr="008A0812" w:rsidRDefault="00A55B7D" w:rsidP="00A55B7D">
            <w:pPr>
              <w:overflowPunct/>
              <w:autoSpaceDE/>
              <w:autoSpaceDN/>
              <w:adjustRightInd/>
              <w:jc w:val="center"/>
              <w:rPr>
                <w:rFonts w:asciiTheme="majorHAnsi" w:hAnsiTheme="majorHAnsi"/>
              </w:rPr>
            </w:pPr>
            <w:r w:rsidRPr="008A0812">
              <w:t>1</w:t>
            </w:r>
          </w:p>
        </w:tc>
      </w:tr>
      <w:tr w:rsidR="00A55B7D" w:rsidRPr="008A0812" w14:paraId="54EE2F26" w14:textId="77777777" w:rsidTr="0001683D">
        <w:trPr>
          <w:trHeight w:val="288"/>
        </w:trPr>
        <w:tc>
          <w:tcPr>
            <w:tcW w:w="2602" w:type="dxa"/>
          </w:tcPr>
          <w:p w14:paraId="40A0CC1F" w14:textId="4625D2EF" w:rsidR="00A55B7D" w:rsidRPr="008A0812" w:rsidRDefault="00A55B7D" w:rsidP="00A55B7D">
            <w:pPr>
              <w:overflowPunct/>
              <w:autoSpaceDE/>
              <w:autoSpaceDN/>
              <w:adjustRightInd/>
            </w:pPr>
            <w:r w:rsidRPr="008A0812">
              <w:t>Non-Process</w:t>
            </w:r>
          </w:p>
        </w:tc>
        <w:tc>
          <w:tcPr>
            <w:tcW w:w="5220" w:type="dxa"/>
          </w:tcPr>
          <w:p w14:paraId="73C388BE" w14:textId="12C3A12A" w:rsidR="00A55B7D" w:rsidRPr="008A0812" w:rsidRDefault="00A55B7D" w:rsidP="00A55B7D">
            <w:pPr>
              <w:overflowPunct/>
              <w:autoSpaceDE/>
              <w:autoSpaceDN/>
              <w:adjustRightInd/>
            </w:pPr>
            <w:r w:rsidRPr="008A0812">
              <w:t>Employee Parking Lot</w:t>
            </w:r>
          </w:p>
        </w:tc>
        <w:tc>
          <w:tcPr>
            <w:tcW w:w="1522" w:type="dxa"/>
          </w:tcPr>
          <w:p w14:paraId="2F61C5CE" w14:textId="24A16CDD" w:rsidR="00A55B7D" w:rsidRPr="008A0812" w:rsidRDefault="00A55B7D" w:rsidP="00A55B7D">
            <w:pPr>
              <w:overflowPunct/>
              <w:autoSpaceDE/>
              <w:autoSpaceDN/>
              <w:adjustRightInd/>
              <w:jc w:val="center"/>
            </w:pPr>
            <w:r w:rsidRPr="008A0812">
              <w:t>1</w:t>
            </w:r>
          </w:p>
        </w:tc>
      </w:tr>
      <w:tr w:rsidR="00A55B7D" w:rsidRPr="008A0812" w14:paraId="0C343E41" w14:textId="77777777" w:rsidTr="0001683D">
        <w:trPr>
          <w:trHeight w:val="288"/>
        </w:trPr>
        <w:tc>
          <w:tcPr>
            <w:tcW w:w="2602" w:type="dxa"/>
          </w:tcPr>
          <w:p w14:paraId="1CE36510" w14:textId="3419F3FD" w:rsidR="00A55B7D" w:rsidRPr="008A0812" w:rsidRDefault="00A55B7D" w:rsidP="00A55B7D">
            <w:pPr>
              <w:overflowPunct/>
              <w:autoSpaceDE/>
              <w:autoSpaceDN/>
              <w:adjustRightInd/>
            </w:pPr>
            <w:r w:rsidRPr="008A0812">
              <w:t>Non-Process</w:t>
            </w:r>
          </w:p>
        </w:tc>
        <w:tc>
          <w:tcPr>
            <w:tcW w:w="5220" w:type="dxa"/>
          </w:tcPr>
          <w:p w14:paraId="5AA8DF57" w14:textId="760A8B2A" w:rsidR="00A55B7D" w:rsidRPr="008A0812" w:rsidRDefault="00A55B7D" w:rsidP="00A55B7D">
            <w:pPr>
              <w:overflowPunct/>
              <w:autoSpaceDE/>
              <w:autoSpaceDN/>
              <w:adjustRightInd/>
            </w:pPr>
            <w:r w:rsidRPr="008A0812">
              <w:t>Equipment Storage Area</w:t>
            </w:r>
          </w:p>
        </w:tc>
        <w:tc>
          <w:tcPr>
            <w:tcW w:w="1522" w:type="dxa"/>
          </w:tcPr>
          <w:p w14:paraId="1B8D0637" w14:textId="5FDA1507" w:rsidR="00A55B7D" w:rsidRPr="008A0812" w:rsidRDefault="00A55B7D" w:rsidP="00A55B7D">
            <w:pPr>
              <w:overflowPunct/>
              <w:autoSpaceDE/>
              <w:autoSpaceDN/>
              <w:adjustRightInd/>
              <w:jc w:val="center"/>
            </w:pPr>
            <w:r w:rsidRPr="008A0812">
              <w:t>1</w:t>
            </w:r>
          </w:p>
        </w:tc>
      </w:tr>
      <w:tr w:rsidR="00A55B7D" w:rsidRPr="008A0812" w14:paraId="3E766881" w14:textId="77777777" w:rsidTr="0001683D">
        <w:trPr>
          <w:trHeight w:val="288"/>
        </w:trPr>
        <w:tc>
          <w:tcPr>
            <w:tcW w:w="2602" w:type="dxa"/>
          </w:tcPr>
          <w:p w14:paraId="56C04577" w14:textId="62B21097" w:rsidR="00A55B7D" w:rsidRPr="008A0812" w:rsidRDefault="00A55B7D" w:rsidP="00A55B7D">
            <w:pPr>
              <w:overflowPunct/>
              <w:autoSpaceDE/>
              <w:autoSpaceDN/>
              <w:adjustRightInd/>
            </w:pPr>
            <w:r w:rsidRPr="008A0812">
              <w:t>Non-Process</w:t>
            </w:r>
          </w:p>
        </w:tc>
        <w:tc>
          <w:tcPr>
            <w:tcW w:w="5220" w:type="dxa"/>
          </w:tcPr>
          <w:p w14:paraId="2935BDAC" w14:textId="0D89D255" w:rsidR="00A55B7D" w:rsidRPr="008A0812" w:rsidRDefault="00A55B7D" w:rsidP="00A55B7D">
            <w:pPr>
              <w:overflowPunct/>
              <w:autoSpaceDE/>
              <w:autoSpaceDN/>
              <w:adjustRightInd/>
            </w:pPr>
            <w:r w:rsidRPr="008A0812">
              <w:t>Facilities Shop</w:t>
            </w:r>
          </w:p>
        </w:tc>
        <w:tc>
          <w:tcPr>
            <w:tcW w:w="1522" w:type="dxa"/>
          </w:tcPr>
          <w:p w14:paraId="0DBA485A" w14:textId="4C6596F7" w:rsidR="00A55B7D" w:rsidRPr="008A0812" w:rsidRDefault="00A55B7D" w:rsidP="00A55B7D">
            <w:pPr>
              <w:overflowPunct/>
              <w:autoSpaceDE/>
              <w:autoSpaceDN/>
              <w:adjustRightInd/>
              <w:jc w:val="center"/>
            </w:pPr>
            <w:r w:rsidRPr="008A0812">
              <w:t>1</w:t>
            </w:r>
          </w:p>
        </w:tc>
      </w:tr>
      <w:tr w:rsidR="00A55B7D" w:rsidRPr="008A0812" w14:paraId="14D7BD48" w14:textId="77777777" w:rsidTr="0001683D">
        <w:trPr>
          <w:trHeight w:val="288"/>
        </w:trPr>
        <w:tc>
          <w:tcPr>
            <w:tcW w:w="2602" w:type="dxa"/>
          </w:tcPr>
          <w:p w14:paraId="1822D1F6" w14:textId="64336F55" w:rsidR="00A55B7D" w:rsidRPr="008A0812" w:rsidRDefault="00A55B7D" w:rsidP="00A55B7D">
            <w:pPr>
              <w:overflowPunct/>
              <w:autoSpaceDE/>
              <w:autoSpaceDN/>
              <w:adjustRightInd/>
            </w:pPr>
            <w:r w:rsidRPr="008A0812">
              <w:t>Non-Process</w:t>
            </w:r>
          </w:p>
        </w:tc>
        <w:tc>
          <w:tcPr>
            <w:tcW w:w="5220" w:type="dxa"/>
          </w:tcPr>
          <w:p w14:paraId="0ADD96A6" w14:textId="7B56B4F5" w:rsidR="00A55B7D" w:rsidRPr="008A0812" w:rsidRDefault="00A55B7D" w:rsidP="00A55B7D">
            <w:pPr>
              <w:overflowPunct/>
              <w:autoSpaceDE/>
              <w:autoSpaceDN/>
              <w:adjustRightInd/>
            </w:pPr>
            <w:r w:rsidRPr="008A0812">
              <w:t>Instrumentation and Control Trailer</w:t>
            </w:r>
          </w:p>
        </w:tc>
        <w:tc>
          <w:tcPr>
            <w:tcW w:w="1522" w:type="dxa"/>
          </w:tcPr>
          <w:p w14:paraId="71E90E55" w14:textId="705D715F" w:rsidR="00A55B7D" w:rsidRPr="008A0812" w:rsidRDefault="00A55B7D" w:rsidP="00A55B7D">
            <w:pPr>
              <w:overflowPunct/>
              <w:autoSpaceDE/>
              <w:autoSpaceDN/>
              <w:adjustRightInd/>
              <w:jc w:val="center"/>
            </w:pPr>
            <w:r w:rsidRPr="008A0812">
              <w:t>1</w:t>
            </w:r>
          </w:p>
        </w:tc>
      </w:tr>
      <w:tr w:rsidR="00A55B7D" w:rsidRPr="008A0812" w14:paraId="46EC3893" w14:textId="77777777" w:rsidTr="0001683D">
        <w:trPr>
          <w:trHeight w:val="288"/>
        </w:trPr>
        <w:tc>
          <w:tcPr>
            <w:tcW w:w="2602" w:type="dxa"/>
          </w:tcPr>
          <w:p w14:paraId="28F5354D" w14:textId="24430119" w:rsidR="00A55B7D" w:rsidRPr="008A0812" w:rsidRDefault="00A55B7D" w:rsidP="00A55B7D">
            <w:pPr>
              <w:overflowPunct/>
              <w:autoSpaceDE/>
              <w:autoSpaceDN/>
              <w:adjustRightInd/>
            </w:pPr>
            <w:r w:rsidRPr="008A0812">
              <w:t>Non-Process</w:t>
            </w:r>
          </w:p>
        </w:tc>
        <w:tc>
          <w:tcPr>
            <w:tcW w:w="5220" w:type="dxa"/>
          </w:tcPr>
          <w:p w14:paraId="620A9DB1" w14:textId="4869100B" w:rsidR="00A55B7D" w:rsidRPr="008A0812" w:rsidRDefault="00A55B7D" w:rsidP="00A55B7D">
            <w:pPr>
              <w:overflowPunct/>
              <w:autoSpaceDE/>
              <w:autoSpaceDN/>
              <w:adjustRightInd/>
            </w:pPr>
            <w:r w:rsidRPr="008A0812">
              <w:t>Irrigation Control Building</w:t>
            </w:r>
          </w:p>
        </w:tc>
        <w:tc>
          <w:tcPr>
            <w:tcW w:w="1522" w:type="dxa"/>
          </w:tcPr>
          <w:p w14:paraId="4C507D85" w14:textId="4BD33C14" w:rsidR="00A55B7D" w:rsidRPr="008A0812" w:rsidRDefault="00A55B7D" w:rsidP="00A55B7D">
            <w:pPr>
              <w:overflowPunct/>
              <w:autoSpaceDE/>
              <w:autoSpaceDN/>
              <w:adjustRightInd/>
              <w:jc w:val="center"/>
            </w:pPr>
            <w:r w:rsidRPr="008A0812">
              <w:t>1</w:t>
            </w:r>
          </w:p>
        </w:tc>
      </w:tr>
      <w:tr w:rsidR="00A55B7D" w:rsidRPr="008A0812" w14:paraId="4A357A2B" w14:textId="77777777" w:rsidTr="0001683D">
        <w:trPr>
          <w:trHeight w:val="288"/>
        </w:trPr>
        <w:tc>
          <w:tcPr>
            <w:tcW w:w="2602" w:type="dxa"/>
          </w:tcPr>
          <w:p w14:paraId="16953513" w14:textId="398DE12B" w:rsidR="00A55B7D" w:rsidRPr="008A0812" w:rsidRDefault="00A55B7D" w:rsidP="00A55B7D">
            <w:pPr>
              <w:overflowPunct/>
              <w:autoSpaceDE/>
              <w:autoSpaceDN/>
              <w:adjustRightInd/>
            </w:pPr>
            <w:r w:rsidRPr="008A0812">
              <w:t>Non-Process</w:t>
            </w:r>
          </w:p>
        </w:tc>
        <w:tc>
          <w:tcPr>
            <w:tcW w:w="5220" w:type="dxa"/>
          </w:tcPr>
          <w:p w14:paraId="7521E294" w14:textId="01994559" w:rsidR="00A55B7D" w:rsidRPr="008A0812" w:rsidRDefault="00A55B7D" w:rsidP="00A55B7D">
            <w:pPr>
              <w:overflowPunct/>
              <w:autoSpaceDE/>
              <w:autoSpaceDN/>
              <w:adjustRightInd/>
            </w:pPr>
            <w:r w:rsidRPr="008A0812">
              <w:t>Maintenance Shop</w:t>
            </w:r>
          </w:p>
        </w:tc>
        <w:tc>
          <w:tcPr>
            <w:tcW w:w="1522" w:type="dxa"/>
          </w:tcPr>
          <w:p w14:paraId="2FFE4F50" w14:textId="01B49AC5" w:rsidR="00A55B7D" w:rsidRPr="008A0812" w:rsidRDefault="00A55B7D" w:rsidP="00A55B7D">
            <w:pPr>
              <w:overflowPunct/>
              <w:autoSpaceDE/>
              <w:autoSpaceDN/>
              <w:adjustRightInd/>
              <w:jc w:val="center"/>
            </w:pPr>
            <w:r w:rsidRPr="008A0812">
              <w:t>1</w:t>
            </w:r>
          </w:p>
        </w:tc>
      </w:tr>
      <w:tr w:rsidR="00A55B7D" w:rsidRPr="008A0812" w14:paraId="185A2F66" w14:textId="77777777" w:rsidTr="0001683D">
        <w:trPr>
          <w:trHeight w:val="288"/>
        </w:trPr>
        <w:tc>
          <w:tcPr>
            <w:tcW w:w="2602" w:type="dxa"/>
          </w:tcPr>
          <w:p w14:paraId="5B79B0B6" w14:textId="1303F43C" w:rsidR="00A55B7D" w:rsidRPr="008A0812" w:rsidRDefault="00A55B7D" w:rsidP="00A55B7D">
            <w:pPr>
              <w:overflowPunct/>
              <w:autoSpaceDE/>
              <w:autoSpaceDN/>
              <w:adjustRightInd/>
            </w:pPr>
            <w:r w:rsidRPr="008A0812">
              <w:t>Non-Process</w:t>
            </w:r>
          </w:p>
        </w:tc>
        <w:tc>
          <w:tcPr>
            <w:tcW w:w="5220" w:type="dxa"/>
          </w:tcPr>
          <w:p w14:paraId="667D16B3" w14:textId="70062884" w:rsidR="00A55B7D" w:rsidRPr="008A0812" w:rsidRDefault="00A55B7D" w:rsidP="00A55B7D">
            <w:pPr>
              <w:overflowPunct/>
              <w:autoSpaceDE/>
              <w:autoSpaceDN/>
              <w:adjustRightInd/>
            </w:pPr>
            <w:r w:rsidRPr="008A0812">
              <w:t>Perimeter Fencing</w:t>
            </w:r>
          </w:p>
        </w:tc>
        <w:tc>
          <w:tcPr>
            <w:tcW w:w="1522" w:type="dxa"/>
          </w:tcPr>
          <w:p w14:paraId="67DCB009" w14:textId="08A22055" w:rsidR="00A55B7D" w:rsidRPr="008A0812" w:rsidRDefault="00A55B7D" w:rsidP="00A55B7D">
            <w:pPr>
              <w:overflowPunct/>
              <w:autoSpaceDE/>
              <w:autoSpaceDN/>
              <w:adjustRightInd/>
              <w:jc w:val="center"/>
            </w:pPr>
            <w:r w:rsidRPr="008A0812">
              <w:t>1</w:t>
            </w:r>
          </w:p>
        </w:tc>
      </w:tr>
      <w:tr w:rsidR="00A55B7D" w:rsidRPr="008A0812" w14:paraId="5D3EFDAE" w14:textId="77777777" w:rsidTr="0001683D">
        <w:trPr>
          <w:trHeight w:val="288"/>
        </w:trPr>
        <w:tc>
          <w:tcPr>
            <w:tcW w:w="2602" w:type="dxa"/>
          </w:tcPr>
          <w:p w14:paraId="6BCBD091" w14:textId="19BD4B76" w:rsidR="00A55B7D" w:rsidRPr="008A0812" w:rsidRDefault="00A55B7D" w:rsidP="00A55B7D">
            <w:pPr>
              <w:overflowPunct/>
              <w:autoSpaceDE/>
              <w:autoSpaceDN/>
              <w:adjustRightInd/>
            </w:pPr>
            <w:r w:rsidRPr="008A0812">
              <w:t>Non-Process</w:t>
            </w:r>
          </w:p>
        </w:tc>
        <w:tc>
          <w:tcPr>
            <w:tcW w:w="5220" w:type="dxa"/>
          </w:tcPr>
          <w:p w14:paraId="050D2D23" w14:textId="374D5135" w:rsidR="00A55B7D" w:rsidRPr="008A0812" w:rsidRDefault="00A55B7D" w:rsidP="00A55B7D">
            <w:pPr>
              <w:overflowPunct/>
              <w:autoSpaceDE/>
              <w:autoSpaceDN/>
              <w:adjustRightInd/>
            </w:pPr>
            <w:r w:rsidRPr="008A0812">
              <w:t>Personnel Building</w:t>
            </w:r>
          </w:p>
        </w:tc>
        <w:tc>
          <w:tcPr>
            <w:tcW w:w="1522" w:type="dxa"/>
          </w:tcPr>
          <w:p w14:paraId="65893EE6" w14:textId="4EBF092A" w:rsidR="00A55B7D" w:rsidRPr="008A0812" w:rsidRDefault="00A55B7D" w:rsidP="00A55B7D">
            <w:pPr>
              <w:overflowPunct/>
              <w:autoSpaceDE/>
              <w:autoSpaceDN/>
              <w:adjustRightInd/>
              <w:jc w:val="center"/>
            </w:pPr>
            <w:r w:rsidRPr="008A0812">
              <w:t>1</w:t>
            </w:r>
          </w:p>
        </w:tc>
      </w:tr>
      <w:tr w:rsidR="00A55B7D" w:rsidRPr="008A0812" w14:paraId="48180C3D" w14:textId="77777777" w:rsidTr="0001683D">
        <w:trPr>
          <w:trHeight w:val="288"/>
        </w:trPr>
        <w:tc>
          <w:tcPr>
            <w:tcW w:w="2602" w:type="dxa"/>
          </w:tcPr>
          <w:p w14:paraId="6CB6E381" w14:textId="0E04A10C" w:rsidR="00A55B7D" w:rsidRPr="008A0812" w:rsidRDefault="00A55B7D" w:rsidP="00A55B7D">
            <w:pPr>
              <w:overflowPunct/>
              <w:autoSpaceDE/>
              <w:autoSpaceDN/>
              <w:adjustRightInd/>
            </w:pPr>
            <w:r w:rsidRPr="008A0812">
              <w:t>Non-Process</w:t>
            </w:r>
          </w:p>
        </w:tc>
        <w:tc>
          <w:tcPr>
            <w:tcW w:w="5220" w:type="dxa"/>
          </w:tcPr>
          <w:p w14:paraId="3F42CCBE" w14:textId="2C312A02" w:rsidR="00A55B7D" w:rsidRPr="008A0812" w:rsidRDefault="00A55B7D" w:rsidP="00A55B7D">
            <w:pPr>
              <w:overflowPunct/>
              <w:autoSpaceDE/>
              <w:autoSpaceDN/>
              <w:adjustRightInd/>
            </w:pPr>
            <w:r w:rsidRPr="008A0812">
              <w:t>Secondary Administration Building</w:t>
            </w:r>
          </w:p>
        </w:tc>
        <w:tc>
          <w:tcPr>
            <w:tcW w:w="1522" w:type="dxa"/>
          </w:tcPr>
          <w:p w14:paraId="00B558B0" w14:textId="11CF6824" w:rsidR="00A55B7D" w:rsidRPr="008A0812" w:rsidRDefault="00A55B7D" w:rsidP="00A55B7D">
            <w:pPr>
              <w:overflowPunct/>
              <w:autoSpaceDE/>
              <w:autoSpaceDN/>
              <w:adjustRightInd/>
              <w:jc w:val="center"/>
            </w:pPr>
            <w:r w:rsidRPr="008A0812">
              <w:t>1</w:t>
            </w:r>
          </w:p>
        </w:tc>
      </w:tr>
      <w:tr w:rsidR="00A55B7D" w:rsidRPr="008A0812" w14:paraId="73994B73" w14:textId="77777777" w:rsidTr="0001683D">
        <w:trPr>
          <w:trHeight w:val="288"/>
        </w:trPr>
        <w:tc>
          <w:tcPr>
            <w:tcW w:w="2602" w:type="dxa"/>
          </w:tcPr>
          <w:p w14:paraId="3B3CA4D5" w14:textId="62A2FF28" w:rsidR="00A55B7D" w:rsidRPr="008A0812" w:rsidRDefault="00A55B7D" w:rsidP="00A55B7D">
            <w:pPr>
              <w:overflowPunct/>
              <w:autoSpaceDE/>
              <w:autoSpaceDN/>
              <w:adjustRightInd/>
            </w:pPr>
            <w:r w:rsidRPr="008A0812">
              <w:t>Non-Process</w:t>
            </w:r>
          </w:p>
        </w:tc>
        <w:tc>
          <w:tcPr>
            <w:tcW w:w="5220" w:type="dxa"/>
          </w:tcPr>
          <w:p w14:paraId="208C56BF" w14:textId="75255AB3" w:rsidR="00A55B7D" w:rsidRPr="008A0812" w:rsidRDefault="00A55B7D" w:rsidP="00A55B7D">
            <w:pPr>
              <w:overflowPunct/>
              <w:autoSpaceDE/>
              <w:autoSpaceDN/>
              <w:adjustRightInd/>
            </w:pPr>
            <w:r w:rsidRPr="008A0812">
              <w:t>Tertiary Clarifier (Abandoned)</w:t>
            </w:r>
          </w:p>
        </w:tc>
        <w:tc>
          <w:tcPr>
            <w:tcW w:w="1522" w:type="dxa"/>
          </w:tcPr>
          <w:p w14:paraId="42E8AF49" w14:textId="5CDAFA1A" w:rsidR="00A55B7D" w:rsidRPr="008A0812" w:rsidRDefault="00A55B7D" w:rsidP="00A55B7D">
            <w:pPr>
              <w:overflowPunct/>
              <w:autoSpaceDE/>
              <w:autoSpaceDN/>
              <w:adjustRightInd/>
              <w:jc w:val="center"/>
            </w:pPr>
            <w:r w:rsidRPr="008A0812">
              <w:t>1</w:t>
            </w:r>
          </w:p>
        </w:tc>
      </w:tr>
      <w:tr w:rsidR="00A55B7D" w:rsidRPr="008A0812" w14:paraId="3A6C3A9D" w14:textId="77777777" w:rsidTr="0001683D">
        <w:trPr>
          <w:trHeight w:val="288"/>
        </w:trPr>
        <w:tc>
          <w:tcPr>
            <w:tcW w:w="2602" w:type="dxa"/>
          </w:tcPr>
          <w:p w14:paraId="1221DA18" w14:textId="22238B68" w:rsidR="00A55B7D" w:rsidRPr="008A0812" w:rsidRDefault="00A55B7D" w:rsidP="00A55B7D">
            <w:pPr>
              <w:overflowPunct/>
              <w:autoSpaceDE/>
              <w:autoSpaceDN/>
              <w:adjustRightInd/>
            </w:pPr>
            <w:r w:rsidRPr="008A0812">
              <w:t>Non-Process</w:t>
            </w:r>
          </w:p>
        </w:tc>
        <w:tc>
          <w:tcPr>
            <w:tcW w:w="5220" w:type="dxa"/>
          </w:tcPr>
          <w:p w14:paraId="37B8926D" w14:textId="35158C46" w:rsidR="00A55B7D" w:rsidRPr="008A0812" w:rsidRDefault="00A55B7D" w:rsidP="00A55B7D">
            <w:pPr>
              <w:overflowPunct/>
              <w:autoSpaceDE/>
              <w:autoSpaceDN/>
              <w:adjustRightInd/>
            </w:pPr>
            <w:r w:rsidRPr="008A0812">
              <w:t>Tertiary Pump Building</w:t>
            </w:r>
          </w:p>
        </w:tc>
        <w:tc>
          <w:tcPr>
            <w:tcW w:w="1522" w:type="dxa"/>
          </w:tcPr>
          <w:p w14:paraId="3ED632EB" w14:textId="57B9AD28" w:rsidR="00A55B7D" w:rsidRPr="008A0812" w:rsidRDefault="00A55B7D" w:rsidP="00A55B7D">
            <w:pPr>
              <w:overflowPunct/>
              <w:autoSpaceDE/>
              <w:autoSpaceDN/>
              <w:adjustRightInd/>
              <w:jc w:val="center"/>
            </w:pPr>
            <w:r w:rsidRPr="008A0812">
              <w:t>1</w:t>
            </w:r>
          </w:p>
        </w:tc>
      </w:tr>
      <w:tr w:rsidR="00A55B7D" w:rsidRPr="008A0812" w14:paraId="2B73554A" w14:textId="77777777" w:rsidTr="0001683D">
        <w:trPr>
          <w:trHeight w:val="288"/>
        </w:trPr>
        <w:tc>
          <w:tcPr>
            <w:tcW w:w="2602" w:type="dxa"/>
          </w:tcPr>
          <w:p w14:paraId="4F300918" w14:textId="48A7E182" w:rsidR="00A55B7D" w:rsidRPr="008A0812" w:rsidRDefault="00A55B7D" w:rsidP="00A55B7D">
            <w:pPr>
              <w:overflowPunct/>
              <w:autoSpaceDE/>
              <w:autoSpaceDN/>
              <w:adjustRightInd/>
            </w:pPr>
            <w:r w:rsidRPr="008A0812">
              <w:t>Odor Scrubber Chemical</w:t>
            </w:r>
          </w:p>
        </w:tc>
        <w:tc>
          <w:tcPr>
            <w:tcW w:w="5220" w:type="dxa"/>
          </w:tcPr>
          <w:p w14:paraId="00D9AF3F" w14:textId="16B32E07" w:rsidR="00A55B7D" w:rsidRPr="008A0812" w:rsidRDefault="00A55B7D" w:rsidP="00A55B7D">
            <w:pPr>
              <w:overflowPunct/>
              <w:autoSpaceDE/>
              <w:autoSpaceDN/>
              <w:adjustRightInd/>
            </w:pPr>
            <w:r w:rsidRPr="008A0812">
              <w:t>Sludge Storage Odor Scrubber</w:t>
            </w:r>
          </w:p>
        </w:tc>
        <w:tc>
          <w:tcPr>
            <w:tcW w:w="1522" w:type="dxa"/>
          </w:tcPr>
          <w:p w14:paraId="3A24A8FA" w14:textId="0934BF16" w:rsidR="00A55B7D" w:rsidRPr="008A0812" w:rsidRDefault="00A55B7D" w:rsidP="00A55B7D">
            <w:pPr>
              <w:overflowPunct/>
              <w:autoSpaceDE/>
              <w:autoSpaceDN/>
              <w:adjustRightInd/>
              <w:jc w:val="center"/>
            </w:pPr>
            <w:r w:rsidRPr="008A0812">
              <w:t>4</w:t>
            </w:r>
          </w:p>
        </w:tc>
      </w:tr>
      <w:tr w:rsidR="00A55B7D" w:rsidRPr="008A0812" w14:paraId="6F5D1D10" w14:textId="77777777" w:rsidTr="0001683D">
        <w:trPr>
          <w:trHeight w:val="288"/>
        </w:trPr>
        <w:tc>
          <w:tcPr>
            <w:tcW w:w="2602" w:type="dxa"/>
          </w:tcPr>
          <w:p w14:paraId="5CBB334D" w14:textId="6B831210" w:rsidR="00A55B7D" w:rsidRPr="008A0812" w:rsidRDefault="00A55B7D" w:rsidP="00A55B7D">
            <w:pPr>
              <w:overflowPunct/>
              <w:autoSpaceDE/>
              <w:autoSpaceDN/>
              <w:adjustRightInd/>
            </w:pPr>
            <w:r w:rsidRPr="008A0812">
              <w:t>Odor Scrubber Chemical</w:t>
            </w:r>
          </w:p>
        </w:tc>
        <w:tc>
          <w:tcPr>
            <w:tcW w:w="5220" w:type="dxa"/>
          </w:tcPr>
          <w:p w14:paraId="14ABF3CE" w14:textId="72F978CA" w:rsidR="00A55B7D" w:rsidRPr="008A0812" w:rsidRDefault="00A55B7D" w:rsidP="00A55B7D">
            <w:pPr>
              <w:overflowPunct/>
              <w:autoSpaceDE/>
              <w:autoSpaceDN/>
              <w:adjustRightInd/>
            </w:pPr>
            <w:r w:rsidRPr="008A0812">
              <w:t>Headworks Odor Scrubber</w:t>
            </w:r>
          </w:p>
        </w:tc>
        <w:tc>
          <w:tcPr>
            <w:tcW w:w="1522" w:type="dxa"/>
          </w:tcPr>
          <w:p w14:paraId="23B4EFB8" w14:textId="47936384" w:rsidR="00A55B7D" w:rsidRPr="008A0812" w:rsidRDefault="00A55B7D" w:rsidP="00A55B7D">
            <w:pPr>
              <w:overflowPunct/>
              <w:autoSpaceDE/>
              <w:autoSpaceDN/>
              <w:adjustRightInd/>
              <w:jc w:val="center"/>
            </w:pPr>
            <w:r w:rsidRPr="008A0812">
              <w:t>3</w:t>
            </w:r>
          </w:p>
        </w:tc>
      </w:tr>
      <w:tr w:rsidR="00A55B7D" w:rsidRPr="008A0812" w14:paraId="2AEEF558" w14:textId="77777777" w:rsidTr="0001683D">
        <w:trPr>
          <w:trHeight w:val="288"/>
        </w:trPr>
        <w:tc>
          <w:tcPr>
            <w:tcW w:w="2602" w:type="dxa"/>
          </w:tcPr>
          <w:p w14:paraId="482AEE66" w14:textId="1E58E7DA" w:rsidR="00A55B7D" w:rsidRPr="008A0812" w:rsidRDefault="00A55B7D" w:rsidP="00A55B7D">
            <w:pPr>
              <w:overflowPunct/>
              <w:autoSpaceDE/>
              <w:autoSpaceDN/>
              <w:adjustRightInd/>
            </w:pPr>
            <w:r w:rsidRPr="008A0812">
              <w:t>Outfall</w:t>
            </w:r>
          </w:p>
        </w:tc>
        <w:tc>
          <w:tcPr>
            <w:tcW w:w="5220" w:type="dxa"/>
          </w:tcPr>
          <w:p w14:paraId="32088F87" w14:textId="679BCAB3" w:rsidR="00A55B7D" w:rsidRPr="008A0812" w:rsidRDefault="00A55B7D" w:rsidP="00A55B7D">
            <w:pPr>
              <w:overflowPunct/>
              <w:autoSpaceDE/>
              <w:autoSpaceDN/>
              <w:adjustRightInd/>
            </w:pPr>
            <w:r w:rsidRPr="008A0812">
              <w:t>North Outfall Structure</w:t>
            </w:r>
          </w:p>
        </w:tc>
        <w:tc>
          <w:tcPr>
            <w:tcW w:w="1522" w:type="dxa"/>
          </w:tcPr>
          <w:p w14:paraId="0D770B08" w14:textId="7C5DA574" w:rsidR="00A55B7D" w:rsidRPr="008A0812" w:rsidRDefault="00A55B7D" w:rsidP="00A55B7D">
            <w:pPr>
              <w:overflowPunct/>
              <w:autoSpaceDE/>
              <w:autoSpaceDN/>
              <w:adjustRightInd/>
              <w:jc w:val="center"/>
            </w:pPr>
            <w:r w:rsidRPr="008A0812">
              <w:t>5</w:t>
            </w:r>
          </w:p>
        </w:tc>
      </w:tr>
      <w:tr w:rsidR="00A55B7D" w:rsidRPr="008A0812" w14:paraId="0AE576E5" w14:textId="77777777" w:rsidTr="0001683D">
        <w:trPr>
          <w:trHeight w:val="288"/>
        </w:trPr>
        <w:tc>
          <w:tcPr>
            <w:tcW w:w="2602" w:type="dxa"/>
          </w:tcPr>
          <w:p w14:paraId="5CFAC2E3" w14:textId="53C3495F" w:rsidR="00A55B7D" w:rsidRPr="008A0812" w:rsidRDefault="00A55B7D" w:rsidP="00A55B7D">
            <w:pPr>
              <w:overflowPunct/>
              <w:autoSpaceDE/>
              <w:autoSpaceDN/>
              <w:adjustRightInd/>
            </w:pPr>
            <w:r w:rsidRPr="008A0812">
              <w:t>Outfall</w:t>
            </w:r>
          </w:p>
        </w:tc>
        <w:tc>
          <w:tcPr>
            <w:tcW w:w="5220" w:type="dxa"/>
          </w:tcPr>
          <w:p w14:paraId="1B136AF7" w14:textId="5EBC35D4" w:rsidR="00A55B7D" w:rsidRPr="008A0812" w:rsidRDefault="00A55B7D" w:rsidP="00A55B7D">
            <w:pPr>
              <w:overflowPunct/>
              <w:autoSpaceDE/>
              <w:autoSpaceDN/>
              <w:adjustRightInd/>
            </w:pPr>
            <w:r w:rsidRPr="008A0812">
              <w:t>Outfall Sampling Station</w:t>
            </w:r>
          </w:p>
        </w:tc>
        <w:tc>
          <w:tcPr>
            <w:tcW w:w="1522" w:type="dxa"/>
          </w:tcPr>
          <w:p w14:paraId="52FB39CE" w14:textId="2FA13F90" w:rsidR="00A55B7D" w:rsidRPr="008A0812" w:rsidRDefault="00A55B7D" w:rsidP="00A55B7D">
            <w:pPr>
              <w:overflowPunct/>
              <w:autoSpaceDE/>
              <w:autoSpaceDN/>
              <w:adjustRightInd/>
              <w:jc w:val="center"/>
            </w:pPr>
            <w:r w:rsidRPr="008A0812">
              <w:t>5</w:t>
            </w:r>
          </w:p>
        </w:tc>
      </w:tr>
      <w:tr w:rsidR="00A55B7D" w:rsidRPr="008A0812" w14:paraId="450B3D02" w14:textId="77777777" w:rsidTr="0001683D">
        <w:trPr>
          <w:trHeight w:val="288"/>
        </w:trPr>
        <w:tc>
          <w:tcPr>
            <w:tcW w:w="2602" w:type="dxa"/>
          </w:tcPr>
          <w:p w14:paraId="219E1878" w14:textId="05E29DAD" w:rsidR="00A55B7D" w:rsidRPr="008A0812" w:rsidRDefault="00A55B7D" w:rsidP="00A55B7D">
            <w:pPr>
              <w:overflowPunct/>
              <w:autoSpaceDE/>
              <w:autoSpaceDN/>
              <w:adjustRightInd/>
            </w:pPr>
            <w:r w:rsidRPr="008A0812">
              <w:t>Outfall</w:t>
            </w:r>
          </w:p>
        </w:tc>
        <w:tc>
          <w:tcPr>
            <w:tcW w:w="5220" w:type="dxa"/>
          </w:tcPr>
          <w:p w14:paraId="491D6BDD" w14:textId="7569E911" w:rsidR="00A55B7D" w:rsidRPr="008A0812" w:rsidRDefault="00A55B7D" w:rsidP="00A55B7D">
            <w:pPr>
              <w:overflowPunct/>
              <w:autoSpaceDE/>
              <w:autoSpaceDN/>
              <w:adjustRightInd/>
            </w:pPr>
            <w:r w:rsidRPr="008A0812">
              <w:t>South Outfall Structure</w:t>
            </w:r>
          </w:p>
        </w:tc>
        <w:tc>
          <w:tcPr>
            <w:tcW w:w="1522" w:type="dxa"/>
          </w:tcPr>
          <w:p w14:paraId="08BFE6F0" w14:textId="58104ADB" w:rsidR="00A55B7D" w:rsidRPr="008A0812" w:rsidRDefault="00A55B7D" w:rsidP="00A55B7D">
            <w:pPr>
              <w:overflowPunct/>
              <w:autoSpaceDE/>
              <w:autoSpaceDN/>
              <w:adjustRightInd/>
              <w:jc w:val="center"/>
            </w:pPr>
            <w:r w:rsidRPr="008A0812">
              <w:t>5</w:t>
            </w:r>
          </w:p>
        </w:tc>
      </w:tr>
      <w:tr w:rsidR="00A55B7D" w:rsidRPr="008A0812" w14:paraId="02DE1AB7" w14:textId="77777777" w:rsidTr="0001683D">
        <w:trPr>
          <w:trHeight w:val="288"/>
        </w:trPr>
        <w:tc>
          <w:tcPr>
            <w:tcW w:w="2602" w:type="dxa"/>
          </w:tcPr>
          <w:p w14:paraId="33019A78" w14:textId="61C7B95B" w:rsidR="00A55B7D" w:rsidRPr="008A0812" w:rsidRDefault="00A55B7D" w:rsidP="00A55B7D">
            <w:pPr>
              <w:overflowPunct/>
              <w:autoSpaceDE/>
              <w:autoSpaceDN/>
              <w:adjustRightInd/>
            </w:pPr>
            <w:r w:rsidRPr="008A0812">
              <w:t>Outfall</w:t>
            </w:r>
          </w:p>
        </w:tc>
        <w:tc>
          <w:tcPr>
            <w:tcW w:w="5220" w:type="dxa"/>
          </w:tcPr>
          <w:p w14:paraId="5F8FBEBD" w14:textId="7B1F3652" w:rsidR="00A55B7D" w:rsidRPr="008A0812" w:rsidRDefault="00A55B7D" w:rsidP="00A55B7D">
            <w:pPr>
              <w:overflowPunct/>
              <w:autoSpaceDE/>
              <w:autoSpaceDN/>
              <w:adjustRightInd/>
            </w:pPr>
            <w:r w:rsidRPr="008A0812">
              <w:t>Chlorine Contact Lagoon</w:t>
            </w:r>
          </w:p>
        </w:tc>
        <w:tc>
          <w:tcPr>
            <w:tcW w:w="1522" w:type="dxa"/>
          </w:tcPr>
          <w:p w14:paraId="28954E00" w14:textId="0414A1B5" w:rsidR="00A55B7D" w:rsidRPr="008A0812" w:rsidRDefault="00A55B7D" w:rsidP="00A55B7D">
            <w:pPr>
              <w:overflowPunct/>
              <w:autoSpaceDE/>
              <w:autoSpaceDN/>
              <w:adjustRightInd/>
              <w:jc w:val="center"/>
            </w:pPr>
            <w:r w:rsidRPr="008A0812">
              <w:t>1</w:t>
            </w:r>
          </w:p>
        </w:tc>
      </w:tr>
      <w:tr w:rsidR="00A55B7D" w:rsidRPr="008A0812" w14:paraId="4F16C826" w14:textId="77777777" w:rsidTr="0001683D">
        <w:trPr>
          <w:trHeight w:val="288"/>
        </w:trPr>
        <w:tc>
          <w:tcPr>
            <w:tcW w:w="2602" w:type="dxa"/>
          </w:tcPr>
          <w:p w14:paraId="71EF7E24" w14:textId="461ECB26" w:rsidR="00A55B7D" w:rsidRPr="008A0812" w:rsidRDefault="00A55B7D" w:rsidP="00A55B7D">
            <w:pPr>
              <w:overflowPunct/>
              <w:autoSpaceDE/>
              <w:autoSpaceDN/>
              <w:adjustRightInd/>
            </w:pPr>
            <w:r w:rsidRPr="008A0812">
              <w:t>Outfall</w:t>
            </w:r>
          </w:p>
        </w:tc>
        <w:tc>
          <w:tcPr>
            <w:tcW w:w="5220" w:type="dxa"/>
          </w:tcPr>
          <w:p w14:paraId="0BC725E4" w14:textId="7773DF72" w:rsidR="00A55B7D" w:rsidRPr="008A0812" w:rsidRDefault="00A55B7D" w:rsidP="00A55B7D">
            <w:pPr>
              <w:overflowPunct/>
              <w:autoSpaceDE/>
              <w:autoSpaceDN/>
              <w:adjustRightInd/>
            </w:pPr>
            <w:r w:rsidRPr="008A0812">
              <w:t>Outfall Bleach Tank</w:t>
            </w:r>
          </w:p>
        </w:tc>
        <w:tc>
          <w:tcPr>
            <w:tcW w:w="1522" w:type="dxa"/>
          </w:tcPr>
          <w:p w14:paraId="72054436" w14:textId="268C50AE" w:rsidR="00A55B7D" w:rsidRPr="008A0812" w:rsidRDefault="00A55B7D" w:rsidP="00A55B7D">
            <w:pPr>
              <w:overflowPunct/>
              <w:autoSpaceDE/>
              <w:autoSpaceDN/>
              <w:adjustRightInd/>
              <w:jc w:val="center"/>
            </w:pPr>
            <w:r w:rsidRPr="008A0812">
              <w:t>1</w:t>
            </w:r>
          </w:p>
        </w:tc>
      </w:tr>
      <w:tr w:rsidR="00A55B7D" w:rsidRPr="008A0812" w14:paraId="1DC6623E" w14:textId="77777777" w:rsidTr="0001683D">
        <w:trPr>
          <w:trHeight w:val="288"/>
        </w:trPr>
        <w:tc>
          <w:tcPr>
            <w:tcW w:w="2602" w:type="dxa"/>
          </w:tcPr>
          <w:p w14:paraId="09DA90C8" w14:textId="26644AA5" w:rsidR="00A55B7D" w:rsidRPr="008A0812" w:rsidRDefault="00A55B7D" w:rsidP="00A55B7D">
            <w:pPr>
              <w:overflowPunct/>
              <w:autoSpaceDE/>
              <w:autoSpaceDN/>
              <w:adjustRightInd/>
            </w:pPr>
            <w:r w:rsidRPr="008A0812">
              <w:t>Preliminary</w:t>
            </w:r>
          </w:p>
        </w:tc>
        <w:tc>
          <w:tcPr>
            <w:tcW w:w="5220" w:type="dxa"/>
          </w:tcPr>
          <w:p w14:paraId="20F0F790" w14:textId="33501BC4" w:rsidR="00A55B7D" w:rsidRPr="008A0812" w:rsidRDefault="00A55B7D" w:rsidP="00A55B7D">
            <w:pPr>
              <w:overflowPunct/>
              <w:autoSpaceDE/>
              <w:autoSpaceDN/>
              <w:adjustRightInd/>
            </w:pPr>
            <w:r w:rsidRPr="008A0812">
              <w:t>Bar Screen Building</w:t>
            </w:r>
          </w:p>
        </w:tc>
        <w:tc>
          <w:tcPr>
            <w:tcW w:w="1522" w:type="dxa"/>
          </w:tcPr>
          <w:p w14:paraId="57561DE9" w14:textId="6FFFF854" w:rsidR="00A55B7D" w:rsidRPr="008A0812" w:rsidRDefault="00A55B7D" w:rsidP="00A55B7D">
            <w:pPr>
              <w:overflowPunct/>
              <w:autoSpaceDE/>
              <w:autoSpaceDN/>
              <w:adjustRightInd/>
              <w:jc w:val="center"/>
            </w:pPr>
            <w:r w:rsidRPr="008A0812">
              <w:t>5</w:t>
            </w:r>
          </w:p>
        </w:tc>
      </w:tr>
      <w:tr w:rsidR="00A55B7D" w:rsidRPr="008A0812" w14:paraId="72EBD68E" w14:textId="77777777" w:rsidTr="0001683D">
        <w:trPr>
          <w:trHeight w:val="288"/>
        </w:trPr>
        <w:tc>
          <w:tcPr>
            <w:tcW w:w="2602" w:type="dxa"/>
          </w:tcPr>
          <w:p w14:paraId="29F17DA6" w14:textId="70906D9C" w:rsidR="00A55B7D" w:rsidRPr="008A0812" w:rsidRDefault="00A55B7D" w:rsidP="00A55B7D">
            <w:pPr>
              <w:overflowPunct/>
              <w:autoSpaceDE/>
              <w:autoSpaceDN/>
              <w:adjustRightInd/>
            </w:pPr>
            <w:r w:rsidRPr="008A0812">
              <w:t>Preliminary</w:t>
            </w:r>
          </w:p>
        </w:tc>
        <w:tc>
          <w:tcPr>
            <w:tcW w:w="5220" w:type="dxa"/>
          </w:tcPr>
          <w:p w14:paraId="306E13A3" w14:textId="2345F1B7" w:rsidR="00A55B7D" w:rsidRPr="008A0812" w:rsidRDefault="00A55B7D" w:rsidP="00A55B7D">
            <w:pPr>
              <w:overflowPunct/>
              <w:autoSpaceDE/>
              <w:autoSpaceDN/>
              <w:adjustRightInd/>
            </w:pPr>
            <w:r w:rsidRPr="008A0812">
              <w:t>Headworks Electrical Building</w:t>
            </w:r>
          </w:p>
        </w:tc>
        <w:tc>
          <w:tcPr>
            <w:tcW w:w="1522" w:type="dxa"/>
          </w:tcPr>
          <w:p w14:paraId="09F40EE3" w14:textId="49E6958B" w:rsidR="00A55B7D" w:rsidRPr="008A0812" w:rsidRDefault="00A55B7D" w:rsidP="00A55B7D">
            <w:pPr>
              <w:overflowPunct/>
              <w:autoSpaceDE/>
              <w:autoSpaceDN/>
              <w:adjustRightInd/>
              <w:jc w:val="center"/>
            </w:pPr>
            <w:r w:rsidRPr="008A0812">
              <w:t>5</w:t>
            </w:r>
          </w:p>
        </w:tc>
      </w:tr>
      <w:tr w:rsidR="00A55B7D" w:rsidRPr="008A0812" w14:paraId="796AD927" w14:textId="77777777" w:rsidTr="0001683D">
        <w:trPr>
          <w:trHeight w:val="288"/>
        </w:trPr>
        <w:tc>
          <w:tcPr>
            <w:tcW w:w="2602" w:type="dxa"/>
          </w:tcPr>
          <w:p w14:paraId="0CBDEC47" w14:textId="6FC9F96C" w:rsidR="00A55B7D" w:rsidRPr="008A0812" w:rsidRDefault="00A55B7D" w:rsidP="00A55B7D">
            <w:pPr>
              <w:overflowPunct/>
              <w:autoSpaceDE/>
              <w:autoSpaceDN/>
              <w:adjustRightInd/>
            </w:pPr>
            <w:r w:rsidRPr="008A0812">
              <w:t>Preliminary</w:t>
            </w:r>
          </w:p>
        </w:tc>
        <w:tc>
          <w:tcPr>
            <w:tcW w:w="5220" w:type="dxa"/>
          </w:tcPr>
          <w:p w14:paraId="6D1E2A7E" w14:textId="4D56C635" w:rsidR="00A55B7D" w:rsidRPr="008A0812" w:rsidRDefault="00A55B7D" w:rsidP="00A55B7D">
            <w:pPr>
              <w:overflowPunct/>
              <w:autoSpaceDE/>
              <w:autoSpaceDN/>
              <w:adjustRightInd/>
            </w:pPr>
            <w:r w:rsidRPr="008A0812">
              <w:t>Headworks Generator Building</w:t>
            </w:r>
          </w:p>
        </w:tc>
        <w:tc>
          <w:tcPr>
            <w:tcW w:w="1522" w:type="dxa"/>
          </w:tcPr>
          <w:p w14:paraId="395127A6" w14:textId="2E03C60C" w:rsidR="00A55B7D" w:rsidRPr="008A0812" w:rsidRDefault="00A55B7D" w:rsidP="00A55B7D">
            <w:pPr>
              <w:overflowPunct/>
              <w:autoSpaceDE/>
              <w:autoSpaceDN/>
              <w:adjustRightInd/>
              <w:jc w:val="center"/>
            </w:pPr>
            <w:r w:rsidRPr="008A0812">
              <w:t>5</w:t>
            </w:r>
          </w:p>
        </w:tc>
      </w:tr>
      <w:tr w:rsidR="00A55B7D" w:rsidRPr="008A0812" w14:paraId="5F35624E" w14:textId="77777777" w:rsidTr="0001683D">
        <w:trPr>
          <w:trHeight w:val="288"/>
        </w:trPr>
        <w:tc>
          <w:tcPr>
            <w:tcW w:w="2602" w:type="dxa"/>
          </w:tcPr>
          <w:p w14:paraId="173BEF11" w14:textId="327298E6" w:rsidR="00A55B7D" w:rsidRPr="008A0812" w:rsidRDefault="00A55B7D" w:rsidP="00A55B7D">
            <w:pPr>
              <w:overflowPunct/>
              <w:autoSpaceDE/>
              <w:autoSpaceDN/>
              <w:adjustRightInd/>
            </w:pPr>
            <w:r w:rsidRPr="008A0812">
              <w:t>Preliminary</w:t>
            </w:r>
          </w:p>
        </w:tc>
        <w:tc>
          <w:tcPr>
            <w:tcW w:w="5220" w:type="dxa"/>
          </w:tcPr>
          <w:p w14:paraId="714F132C" w14:textId="14FEB919" w:rsidR="00A55B7D" w:rsidRPr="008A0812" w:rsidRDefault="00A55B7D" w:rsidP="00A55B7D">
            <w:pPr>
              <w:overflowPunct/>
              <w:autoSpaceDE/>
              <w:autoSpaceDN/>
              <w:adjustRightInd/>
            </w:pPr>
            <w:r w:rsidRPr="008A0812">
              <w:t>Influent Metering Structure</w:t>
            </w:r>
          </w:p>
        </w:tc>
        <w:tc>
          <w:tcPr>
            <w:tcW w:w="1522" w:type="dxa"/>
          </w:tcPr>
          <w:p w14:paraId="019F8170" w14:textId="61D177F3" w:rsidR="00A55B7D" w:rsidRPr="008A0812" w:rsidRDefault="00A55B7D" w:rsidP="00A55B7D">
            <w:pPr>
              <w:overflowPunct/>
              <w:autoSpaceDE/>
              <w:autoSpaceDN/>
              <w:adjustRightInd/>
              <w:jc w:val="center"/>
            </w:pPr>
            <w:r w:rsidRPr="008A0812">
              <w:t>5</w:t>
            </w:r>
          </w:p>
        </w:tc>
      </w:tr>
      <w:tr w:rsidR="00A55B7D" w:rsidRPr="008A0812" w14:paraId="2A8B5D40" w14:textId="77777777" w:rsidTr="0001683D">
        <w:trPr>
          <w:trHeight w:val="288"/>
        </w:trPr>
        <w:tc>
          <w:tcPr>
            <w:tcW w:w="2602" w:type="dxa"/>
          </w:tcPr>
          <w:p w14:paraId="1655F9E0" w14:textId="71608259" w:rsidR="00A55B7D" w:rsidRPr="008A0812" w:rsidRDefault="00A55B7D" w:rsidP="00A55B7D">
            <w:pPr>
              <w:overflowPunct/>
              <w:autoSpaceDE/>
              <w:autoSpaceDN/>
              <w:adjustRightInd/>
            </w:pPr>
            <w:r w:rsidRPr="008A0812">
              <w:t>Preliminary</w:t>
            </w:r>
          </w:p>
        </w:tc>
        <w:tc>
          <w:tcPr>
            <w:tcW w:w="5220" w:type="dxa"/>
          </w:tcPr>
          <w:p w14:paraId="7B5FB2F4" w14:textId="0B0F9F65" w:rsidR="00A55B7D" w:rsidRPr="008A0812" w:rsidRDefault="00A55B7D" w:rsidP="00A55B7D">
            <w:pPr>
              <w:overflowPunct/>
              <w:autoSpaceDE/>
              <w:autoSpaceDN/>
              <w:adjustRightInd/>
            </w:pPr>
            <w:r w:rsidRPr="008A0812">
              <w:t>Internal Recycle Metering Structure</w:t>
            </w:r>
          </w:p>
        </w:tc>
        <w:tc>
          <w:tcPr>
            <w:tcW w:w="1522" w:type="dxa"/>
          </w:tcPr>
          <w:p w14:paraId="21613DC4" w14:textId="3BF38AF5" w:rsidR="00A55B7D" w:rsidRPr="008A0812" w:rsidRDefault="00A55B7D" w:rsidP="00A55B7D">
            <w:pPr>
              <w:overflowPunct/>
              <w:autoSpaceDE/>
              <w:autoSpaceDN/>
              <w:adjustRightInd/>
              <w:jc w:val="center"/>
            </w:pPr>
            <w:r w:rsidRPr="008A0812">
              <w:t>5</w:t>
            </w:r>
          </w:p>
        </w:tc>
      </w:tr>
      <w:tr w:rsidR="00A55B7D" w:rsidRPr="008A0812" w14:paraId="5CACC65A" w14:textId="77777777" w:rsidTr="0001683D">
        <w:trPr>
          <w:trHeight w:val="288"/>
        </w:trPr>
        <w:tc>
          <w:tcPr>
            <w:tcW w:w="2602" w:type="dxa"/>
          </w:tcPr>
          <w:p w14:paraId="70F70F4F" w14:textId="1E758586" w:rsidR="00A55B7D" w:rsidRPr="008A0812" w:rsidRDefault="00A55B7D" w:rsidP="00A55B7D">
            <w:pPr>
              <w:overflowPunct/>
              <w:autoSpaceDE/>
              <w:autoSpaceDN/>
              <w:adjustRightInd/>
            </w:pPr>
            <w:r w:rsidRPr="008A0812">
              <w:t>Preliminary</w:t>
            </w:r>
          </w:p>
        </w:tc>
        <w:tc>
          <w:tcPr>
            <w:tcW w:w="5220" w:type="dxa"/>
          </w:tcPr>
          <w:p w14:paraId="51132E54" w14:textId="716298B7" w:rsidR="00A55B7D" w:rsidRPr="008A0812" w:rsidRDefault="00A55B7D" w:rsidP="00A55B7D">
            <w:pPr>
              <w:overflowPunct/>
              <w:autoSpaceDE/>
              <w:autoSpaceDN/>
              <w:adjustRightInd/>
            </w:pPr>
            <w:r w:rsidRPr="008A0812">
              <w:t>East Diversion Structure</w:t>
            </w:r>
          </w:p>
        </w:tc>
        <w:tc>
          <w:tcPr>
            <w:tcW w:w="1522" w:type="dxa"/>
          </w:tcPr>
          <w:p w14:paraId="67E52441" w14:textId="09269F24" w:rsidR="00A55B7D" w:rsidRPr="008A0812" w:rsidRDefault="00A55B7D" w:rsidP="00A55B7D">
            <w:pPr>
              <w:overflowPunct/>
              <w:autoSpaceDE/>
              <w:autoSpaceDN/>
              <w:adjustRightInd/>
              <w:jc w:val="center"/>
            </w:pPr>
            <w:r w:rsidRPr="008A0812">
              <w:t>4</w:t>
            </w:r>
          </w:p>
        </w:tc>
      </w:tr>
      <w:tr w:rsidR="00A55B7D" w:rsidRPr="008A0812" w14:paraId="3D12DB88" w14:textId="77777777" w:rsidTr="0001683D">
        <w:trPr>
          <w:trHeight w:val="288"/>
        </w:trPr>
        <w:tc>
          <w:tcPr>
            <w:tcW w:w="2602" w:type="dxa"/>
          </w:tcPr>
          <w:p w14:paraId="42BA8943" w14:textId="1D901C74" w:rsidR="00A55B7D" w:rsidRPr="008A0812" w:rsidRDefault="00A55B7D" w:rsidP="00A55B7D">
            <w:pPr>
              <w:overflowPunct/>
              <w:autoSpaceDE/>
              <w:autoSpaceDN/>
              <w:adjustRightInd/>
            </w:pPr>
            <w:r w:rsidRPr="008A0812">
              <w:t>Preliminary</w:t>
            </w:r>
          </w:p>
        </w:tc>
        <w:tc>
          <w:tcPr>
            <w:tcW w:w="5220" w:type="dxa"/>
          </w:tcPr>
          <w:p w14:paraId="09309A6C" w14:textId="6E899911" w:rsidR="00A55B7D" w:rsidRPr="008A0812" w:rsidRDefault="00A55B7D" w:rsidP="00A55B7D">
            <w:pPr>
              <w:overflowPunct/>
              <w:autoSpaceDE/>
              <w:autoSpaceDN/>
              <w:adjustRightInd/>
            </w:pPr>
            <w:r w:rsidRPr="008A0812">
              <w:t>Grit Chambers</w:t>
            </w:r>
          </w:p>
        </w:tc>
        <w:tc>
          <w:tcPr>
            <w:tcW w:w="1522" w:type="dxa"/>
          </w:tcPr>
          <w:p w14:paraId="28A0D4DD" w14:textId="29B3DC28" w:rsidR="00A55B7D" w:rsidRPr="008A0812" w:rsidRDefault="00A55B7D" w:rsidP="00A55B7D">
            <w:pPr>
              <w:overflowPunct/>
              <w:autoSpaceDE/>
              <w:autoSpaceDN/>
              <w:adjustRightInd/>
              <w:jc w:val="center"/>
            </w:pPr>
            <w:r w:rsidRPr="008A0812">
              <w:t>4</w:t>
            </w:r>
          </w:p>
        </w:tc>
      </w:tr>
      <w:tr w:rsidR="00A55B7D" w:rsidRPr="008A0812" w14:paraId="19D490C7" w14:textId="77777777" w:rsidTr="0001683D">
        <w:trPr>
          <w:trHeight w:val="288"/>
        </w:trPr>
        <w:tc>
          <w:tcPr>
            <w:tcW w:w="2602" w:type="dxa"/>
          </w:tcPr>
          <w:p w14:paraId="38BCB664" w14:textId="3CA05F83" w:rsidR="00A55B7D" w:rsidRPr="008A0812" w:rsidRDefault="00A55B7D" w:rsidP="00A55B7D">
            <w:pPr>
              <w:overflowPunct/>
              <w:autoSpaceDE/>
              <w:autoSpaceDN/>
              <w:adjustRightInd/>
            </w:pPr>
            <w:r w:rsidRPr="008A0812">
              <w:t>Preliminary</w:t>
            </w:r>
          </w:p>
        </w:tc>
        <w:tc>
          <w:tcPr>
            <w:tcW w:w="5220" w:type="dxa"/>
          </w:tcPr>
          <w:p w14:paraId="3AADF0A5" w14:textId="2FC2134B" w:rsidR="00A55B7D" w:rsidRPr="008A0812" w:rsidRDefault="00A55B7D" w:rsidP="00A55B7D">
            <w:pPr>
              <w:overflowPunct/>
              <w:autoSpaceDE/>
              <w:autoSpaceDN/>
              <w:adjustRightInd/>
            </w:pPr>
            <w:r w:rsidRPr="008A0812">
              <w:t>Headworks Blower Building</w:t>
            </w:r>
          </w:p>
        </w:tc>
        <w:tc>
          <w:tcPr>
            <w:tcW w:w="1522" w:type="dxa"/>
          </w:tcPr>
          <w:p w14:paraId="3DF5CD5F" w14:textId="7411A738" w:rsidR="00A55B7D" w:rsidRPr="008A0812" w:rsidRDefault="00A55B7D" w:rsidP="00A55B7D">
            <w:pPr>
              <w:overflowPunct/>
              <w:autoSpaceDE/>
              <w:autoSpaceDN/>
              <w:adjustRightInd/>
              <w:jc w:val="center"/>
            </w:pPr>
            <w:r w:rsidRPr="008A0812">
              <w:t>3</w:t>
            </w:r>
          </w:p>
        </w:tc>
      </w:tr>
      <w:tr w:rsidR="00A55B7D" w:rsidRPr="008A0812" w14:paraId="76F9CDD3" w14:textId="77777777" w:rsidTr="0001683D">
        <w:trPr>
          <w:trHeight w:val="288"/>
        </w:trPr>
        <w:tc>
          <w:tcPr>
            <w:tcW w:w="2602" w:type="dxa"/>
          </w:tcPr>
          <w:p w14:paraId="46D0ADC8" w14:textId="6F7D0877" w:rsidR="00A55B7D" w:rsidRPr="008A0812" w:rsidRDefault="00A55B7D" w:rsidP="00A55B7D">
            <w:pPr>
              <w:overflowPunct/>
              <w:autoSpaceDE/>
              <w:autoSpaceDN/>
              <w:adjustRightInd/>
            </w:pPr>
            <w:r w:rsidRPr="008A0812">
              <w:t>Preliminary</w:t>
            </w:r>
          </w:p>
        </w:tc>
        <w:tc>
          <w:tcPr>
            <w:tcW w:w="5220" w:type="dxa"/>
          </w:tcPr>
          <w:p w14:paraId="4EA7B59C" w14:textId="436AF04C" w:rsidR="00A55B7D" w:rsidRPr="008A0812" w:rsidRDefault="00A55B7D" w:rsidP="00A55B7D">
            <w:pPr>
              <w:overflowPunct/>
              <w:autoSpaceDE/>
              <w:autoSpaceDN/>
              <w:adjustRightInd/>
            </w:pPr>
            <w:r w:rsidRPr="008A0812">
              <w:t>Headworks Tunnel</w:t>
            </w:r>
          </w:p>
        </w:tc>
        <w:tc>
          <w:tcPr>
            <w:tcW w:w="1522" w:type="dxa"/>
          </w:tcPr>
          <w:p w14:paraId="12EF075A" w14:textId="6449147D" w:rsidR="00A55B7D" w:rsidRPr="008A0812" w:rsidRDefault="00A55B7D" w:rsidP="00A55B7D">
            <w:pPr>
              <w:overflowPunct/>
              <w:autoSpaceDE/>
              <w:autoSpaceDN/>
              <w:adjustRightInd/>
              <w:jc w:val="center"/>
            </w:pPr>
            <w:r w:rsidRPr="008A0812">
              <w:t>3</w:t>
            </w:r>
          </w:p>
        </w:tc>
      </w:tr>
      <w:tr w:rsidR="00A55B7D" w:rsidRPr="008A0812" w14:paraId="0AC4EAC4" w14:textId="77777777" w:rsidTr="0001683D">
        <w:trPr>
          <w:trHeight w:val="288"/>
        </w:trPr>
        <w:tc>
          <w:tcPr>
            <w:tcW w:w="2602" w:type="dxa"/>
          </w:tcPr>
          <w:p w14:paraId="3B20E8B3" w14:textId="2ABAC24E" w:rsidR="00A55B7D" w:rsidRPr="008A0812" w:rsidRDefault="00A55B7D" w:rsidP="00A55B7D">
            <w:pPr>
              <w:overflowPunct/>
              <w:autoSpaceDE/>
              <w:autoSpaceDN/>
              <w:adjustRightInd/>
            </w:pPr>
            <w:r w:rsidRPr="008A0812">
              <w:t>Preliminary</w:t>
            </w:r>
          </w:p>
        </w:tc>
        <w:tc>
          <w:tcPr>
            <w:tcW w:w="5220" w:type="dxa"/>
          </w:tcPr>
          <w:p w14:paraId="788BE354" w14:textId="78917B75" w:rsidR="00A55B7D" w:rsidRPr="008A0812" w:rsidRDefault="00A55B7D" w:rsidP="00A55B7D">
            <w:pPr>
              <w:overflowPunct/>
              <w:autoSpaceDE/>
              <w:autoSpaceDN/>
              <w:adjustRightInd/>
            </w:pPr>
            <w:r w:rsidRPr="008A0812">
              <w:t>2.5 MGD Maintenance Hole to IEBL</w:t>
            </w:r>
          </w:p>
        </w:tc>
        <w:tc>
          <w:tcPr>
            <w:tcW w:w="1522" w:type="dxa"/>
          </w:tcPr>
          <w:p w14:paraId="299D1896" w14:textId="62A3F712" w:rsidR="00A55B7D" w:rsidRPr="008A0812" w:rsidRDefault="00A55B7D" w:rsidP="00A55B7D">
            <w:pPr>
              <w:overflowPunct/>
              <w:autoSpaceDE/>
              <w:autoSpaceDN/>
              <w:adjustRightInd/>
              <w:jc w:val="center"/>
            </w:pPr>
            <w:r w:rsidRPr="008A0812">
              <w:t>2</w:t>
            </w:r>
          </w:p>
        </w:tc>
      </w:tr>
      <w:tr w:rsidR="00A55B7D" w:rsidRPr="008A0812" w14:paraId="674AA8BA" w14:textId="77777777" w:rsidTr="0001683D">
        <w:trPr>
          <w:trHeight w:val="288"/>
        </w:trPr>
        <w:tc>
          <w:tcPr>
            <w:tcW w:w="2602" w:type="dxa"/>
          </w:tcPr>
          <w:p w14:paraId="72C05781" w14:textId="59BCF497" w:rsidR="00A55B7D" w:rsidRPr="008A0812" w:rsidRDefault="00A55B7D" w:rsidP="00A55B7D">
            <w:pPr>
              <w:overflowPunct/>
              <w:autoSpaceDE/>
              <w:autoSpaceDN/>
              <w:adjustRightInd/>
            </w:pPr>
            <w:r w:rsidRPr="008A0812">
              <w:t>Preliminary</w:t>
            </w:r>
          </w:p>
        </w:tc>
        <w:tc>
          <w:tcPr>
            <w:tcW w:w="5220" w:type="dxa"/>
          </w:tcPr>
          <w:p w14:paraId="57E9DFF4" w14:textId="003A2E45" w:rsidR="00A55B7D" w:rsidRPr="008A0812" w:rsidRDefault="00A55B7D" w:rsidP="00A55B7D">
            <w:pPr>
              <w:overflowPunct/>
              <w:autoSpaceDE/>
              <w:autoSpaceDN/>
              <w:adjustRightInd/>
            </w:pPr>
            <w:r w:rsidRPr="008A0812">
              <w:t>Grit Wash Building</w:t>
            </w:r>
          </w:p>
        </w:tc>
        <w:tc>
          <w:tcPr>
            <w:tcW w:w="1522" w:type="dxa"/>
          </w:tcPr>
          <w:p w14:paraId="424189A7" w14:textId="474A4A73" w:rsidR="00A55B7D" w:rsidRPr="008A0812" w:rsidRDefault="00A55B7D" w:rsidP="00A55B7D">
            <w:pPr>
              <w:overflowPunct/>
              <w:autoSpaceDE/>
              <w:autoSpaceDN/>
              <w:adjustRightInd/>
              <w:jc w:val="center"/>
            </w:pPr>
            <w:r w:rsidRPr="008A0812">
              <w:t>2</w:t>
            </w:r>
          </w:p>
        </w:tc>
      </w:tr>
      <w:tr w:rsidR="00A55B7D" w:rsidRPr="008A0812" w14:paraId="27D4FCDD" w14:textId="77777777" w:rsidTr="0001683D">
        <w:trPr>
          <w:trHeight w:val="288"/>
        </w:trPr>
        <w:tc>
          <w:tcPr>
            <w:tcW w:w="2602" w:type="dxa"/>
          </w:tcPr>
          <w:p w14:paraId="4D30AEE3" w14:textId="41001EEB" w:rsidR="00A55B7D" w:rsidRPr="008A0812" w:rsidRDefault="00A55B7D" w:rsidP="00A55B7D">
            <w:pPr>
              <w:overflowPunct/>
              <w:autoSpaceDE/>
              <w:autoSpaceDN/>
              <w:adjustRightInd/>
            </w:pPr>
            <w:r w:rsidRPr="008A0812">
              <w:t>Preliminary</w:t>
            </w:r>
          </w:p>
        </w:tc>
        <w:tc>
          <w:tcPr>
            <w:tcW w:w="5220" w:type="dxa"/>
          </w:tcPr>
          <w:p w14:paraId="5FB20E4F" w14:textId="530DBCCB" w:rsidR="00A55B7D" w:rsidRPr="008A0812" w:rsidRDefault="00A55B7D" w:rsidP="00A55B7D">
            <w:pPr>
              <w:overflowPunct/>
              <w:autoSpaceDE/>
              <w:autoSpaceDN/>
              <w:adjustRightInd/>
            </w:pPr>
            <w:r w:rsidRPr="008A0812">
              <w:t>Headworks Splitter Box</w:t>
            </w:r>
          </w:p>
        </w:tc>
        <w:tc>
          <w:tcPr>
            <w:tcW w:w="1522" w:type="dxa"/>
          </w:tcPr>
          <w:p w14:paraId="4CDBD05A" w14:textId="0817009D" w:rsidR="00A55B7D" w:rsidRPr="008A0812" w:rsidRDefault="00A55B7D" w:rsidP="00A55B7D">
            <w:pPr>
              <w:overflowPunct/>
              <w:autoSpaceDE/>
              <w:autoSpaceDN/>
              <w:adjustRightInd/>
              <w:jc w:val="center"/>
            </w:pPr>
            <w:r w:rsidRPr="008A0812">
              <w:t>2</w:t>
            </w:r>
          </w:p>
        </w:tc>
      </w:tr>
      <w:tr w:rsidR="00A55B7D" w:rsidRPr="008A0812" w14:paraId="5E912007" w14:textId="77777777" w:rsidTr="0001683D">
        <w:trPr>
          <w:trHeight w:val="288"/>
        </w:trPr>
        <w:tc>
          <w:tcPr>
            <w:tcW w:w="2602" w:type="dxa"/>
          </w:tcPr>
          <w:p w14:paraId="57EE6D1D" w14:textId="3CAF03F3" w:rsidR="00A55B7D" w:rsidRPr="008A0812" w:rsidRDefault="00A55B7D" w:rsidP="00A55B7D">
            <w:pPr>
              <w:overflowPunct/>
              <w:autoSpaceDE/>
              <w:autoSpaceDN/>
              <w:adjustRightInd/>
            </w:pPr>
            <w:r w:rsidRPr="008A0812">
              <w:t>Preliminary</w:t>
            </w:r>
          </w:p>
        </w:tc>
        <w:tc>
          <w:tcPr>
            <w:tcW w:w="5220" w:type="dxa"/>
          </w:tcPr>
          <w:p w14:paraId="70DCD32A" w14:textId="5110ACA3" w:rsidR="00A55B7D" w:rsidRPr="008A0812" w:rsidRDefault="00A55B7D" w:rsidP="00A55B7D">
            <w:pPr>
              <w:overflowPunct/>
              <w:autoSpaceDE/>
              <w:autoSpaceDN/>
              <w:adjustRightInd/>
            </w:pPr>
            <w:r w:rsidRPr="008A0812">
              <w:t>Septage &amp; Brine Receiving Station</w:t>
            </w:r>
          </w:p>
        </w:tc>
        <w:tc>
          <w:tcPr>
            <w:tcW w:w="1522" w:type="dxa"/>
          </w:tcPr>
          <w:p w14:paraId="629DE618" w14:textId="757F2A8C" w:rsidR="00A55B7D" w:rsidRPr="008A0812" w:rsidRDefault="00A55B7D" w:rsidP="00A55B7D">
            <w:pPr>
              <w:overflowPunct/>
              <w:autoSpaceDE/>
              <w:autoSpaceDN/>
              <w:adjustRightInd/>
              <w:jc w:val="center"/>
            </w:pPr>
            <w:r w:rsidRPr="008A0812">
              <w:t>2</w:t>
            </w:r>
          </w:p>
        </w:tc>
      </w:tr>
      <w:tr w:rsidR="00A55B7D" w:rsidRPr="008A0812" w14:paraId="6EE23D38" w14:textId="77777777" w:rsidTr="0001683D">
        <w:trPr>
          <w:trHeight w:val="288"/>
        </w:trPr>
        <w:tc>
          <w:tcPr>
            <w:tcW w:w="2602" w:type="dxa"/>
          </w:tcPr>
          <w:p w14:paraId="42D1AC59" w14:textId="21374E4E" w:rsidR="00A55B7D" w:rsidRPr="008A0812" w:rsidRDefault="00A55B7D" w:rsidP="00A55B7D">
            <w:pPr>
              <w:overflowPunct/>
              <w:autoSpaceDE/>
              <w:autoSpaceDN/>
              <w:adjustRightInd/>
            </w:pPr>
            <w:r w:rsidRPr="008A0812">
              <w:t>Preliminary</w:t>
            </w:r>
          </w:p>
        </w:tc>
        <w:tc>
          <w:tcPr>
            <w:tcW w:w="5220" w:type="dxa"/>
          </w:tcPr>
          <w:p w14:paraId="00CDB1CB" w14:textId="07BBB8DE" w:rsidR="00A55B7D" w:rsidRPr="008A0812" w:rsidRDefault="00A55B7D" w:rsidP="00A55B7D">
            <w:pPr>
              <w:overflowPunct/>
              <w:autoSpaceDE/>
              <w:autoSpaceDN/>
              <w:adjustRightInd/>
            </w:pPr>
            <w:r w:rsidRPr="008A0812">
              <w:t>Operations Storage Building</w:t>
            </w:r>
          </w:p>
        </w:tc>
        <w:tc>
          <w:tcPr>
            <w:tcW w:w="1522" w:type="dxa"/>
          </w:tcPr>
          <w:p w14:paraId="6E2A7BF4" w14:textId="2A9040CF" w:rsidR="00A55B7D" w:rsidRPr="008A0812" w:rsidRDefault="00A55B7D" w:rsidP="00A55B7D">
            <w:pPr>
              <w:overflowPunct/>
              <w:autoSpaceDE/>
              <w:autoSpaceDN/>
              <w:adjustRightInd/>
              <w:jc w:val="center"/>
            </w:pPr>
            <w:r w:rsidRPr="008A0812">
              <w:t>1</w:t>
            </w:r>
          </w:p>
        </w:tc>
      </w:tr>
      <w:tr w:rsidR="0001683D" w:rsidRPr="008A0812" w14:paraId="0854C695" w14:textId="77777777" w:rsidTr="0001683D">
        <w:trPr>
          <w:trHeight w:val="288"/>
        </w:trPr>
        <w:tc>
          <w:tcPr>
            <w:tcW w:w="2602" w:type="dxa"/>
          </w:tcPr>
          <w:p w14:paraId="70393F4F" w14:textId="2C96997C" w:rsidR="0001683D" w:rsidRPr="008A0812" w:rsidRDefault="0001683D" w:rsidP="0001683D">
            <w:pPr>
              <w:overflowPunct/>
              <w:autoSpaceDE/>
              <w:autoSpaceDN/>
              <w:adjustRightInd/>
            </w:pPr>
            <w:r w:rsidRPr="008A0812">
              <w:t>Primary</w:t>
            </w:r>
          </w:p>
        </w:tc>
        <w:tc>
          <w:tcPr>
            <w:tcW w:w="5220" w:type="dxa"/>
          </w:tcPr>
          <w:p w14:paraId="5F3EB15C" w14:textId="288AFD38" w:rsidR="0001683D" w:rsidRPr="008A0812" w:rsidRDefault="0001683D" w:rsidP="0001683D">
            <w:pPr>
              <w:overflowPunct/>
              <w:autoSpaceDE/>
              <w:autoSpaceDN/>
              <w:adjustRightInd/>
            </w:pPr>
            <w:r w:rsidRPr="008A0812">
              <w:t>Unit 2 North Primary Clarifier</w:t>
            </w:r>
          </w:p>
        </w:tc>
        <w:tc>
          <w:tcPr>
            <w:tcW w:w="1522" w:type="dxa"/>
          </w:tcPr>
          <w:p w14:paraId="0326F369" w14:textId="772118A5" w:rsidR="0001683D" w:rsidRPr="008A0812" w:rsidRDefault="0001683D" w:rsidP="0001683D">
            <w:pPr>
              <w:overflowPunct/>
              <w:autoSpaceDE/>
              <w:autoSpaceDN/>
              <w:adjustRightInd/>
              <w:jc w:val="center"/>
            </w:pPr>
            <w:r w:rsidRPr="008A0812">
              <w:t>4</w:t>
            </w:r>
          </w:p>
        </w:tc>
      </w:tr>
      <w:tr w:rsidR="0001683D" w:rsidRPr="008A0812" w14:paraId="74E56483" w14:textId="77777777" w:rsidTr="0001683D">
        <w:trPr>
          <w:trHeight w:val="288"/>
        </w:trPr>
        <w:tc>
          <w:tcPr>
            <w:tcW w:w="2602" w:type="dxa"/>
          </w:tcPr>
          <w:p w14:paraId="58D7B75D" w14:textId="4BBB60D6" w:rsidR="0001683D" w:rsidRPr="008A0812" w:rsidRDefault="0001683D" w:rsidP="0001683D">
            <w:pPr>
              <w:overflowPunct/>
              <w:autoSpaceDE/>
              <w:autoSpaceDN/>
              <w:adjustRightInd/>
            </w:pPr>
            <w:r w:rsidRPr="008A0812">
              <w:t>Primary</w:t>
            </w:r>
          </w:p>
        </w:tc>
        <w:tc>
          <w:tcPr>
            <w:tcW w:w="5220" w:type="dxa"/>
          </w:tcPr>
          <w:p w14:paraId="66A26165" w14:textId="6E7EC4FC" w:rsidR="0001683D" w:rsidRPr="008A0812" w:rsidRDefault="0001683D" w:rsidP="0001683D">
            <w:pPr>
              <w:overflowPunct/>
              <w:autoSpaceDE/>
              <w:autoSpaceDN/>
              <w:adjustRightInd/>
            </w:pPr>
            <w:r w:rsidRPr="008A0812">
              <w:t>Unit 2 Pump Station</w:t>
            </w:r>
          </w:p>
        </w:tc>
        <w:tc>
          <w:tcPr>
            <w:tcW w:w="1522" w:type="dxa"/>
          </w:tcPr>
          <w:p w14:paraId="7E7F4E22" w14:textId="1057F02F" w:rsidR="0001683D" w:rsidRPr="008A0812" w:rsidRDefault="0001683D" w:rsidP="0001683D">
            <w:pPr>
              <w:overflowPunct/>
              <w:autoSpaceDE/>
              <w:autoSpaceDN/>
              <w:adjustRightInd/>
              <w:jc w:val="center"/>
            </w:pPr>
            <w:r w:rsidRPr="008A0812">
              <w:t>4</w:t>
            </w:r>
          </w:p>
        </w:tc>
      </w:tr>
      <w:tr w:rsidR="0001683D" w:rsidRPr="008A0812" w14:paraId="0662809D" w14:textId="77777777" w:rsidTr="0001683D">
        <w:trPr>
          <w:trHeight w:val="288"/>
        </w:trPr>
        <w:tc>
          <w:tcPr>
            <w:tcW w:w="2602" w:type="dxa"/>
          </w:tcPr>
          <w:p w14:paraId="684005BA" w14:textId="18A5FFA3" w:rsidR="0001683D" w:rsidRPr="008A0812" w:rsidRDefault="0001683D" w:rsidP="0001683D">
            <w:pPr>
              <w:overflowPunct/>
              <w:autoSpaceDE/>
              <w:autoSpaceDN/>
              <w:adjustRightInd/>
            </w:pPr>
            <w:r w:rsidRPr="008A0812">
              <w:t>Primary</w:t>
            </w:r>
          </w:p>
        </w:tc>
        <w:tc>
          <w:tcPr>
            <w:tcW w:w="5220" w:type="dxa"/>
          </w:tcPr>
          <w:p w14:paraId="7B28AB26" w14:textId="334CCB69" w:rsidR="0001683D" w:rsidRPr="008A0812" w:rsidRDefault="0001683D" w:rsidP="0001683D">
            <w:pPr>
              <w:overflowPunct/>
              <w:autoSpaceDE/>
              <w:autoSpaceDN/>
              <w:adjustRightInd/>
            </w:pPr>
            <w:r w:rsidRPr="008A0812">
              <w:t>Unit 2 South Primary Clarifier</w:t>
            </w:r>
          </w:p>
        </w:tc>
        <w:tc>
          <w:tcPr>
            <w:tcW w:w="1522" w:type="dxa"/>
          </w:tcPr>
          <w:p w14:paraId="623AD74D" w14:textId="242441A7" w:rsidR="0001683D" w:rsidRPr="008A0812" w:rsidRDefault="0001683D" w:rsidP="0001683D">
            <w:pPr>
              <w:overflowPunct/>
              <w:autoSpaceDE/>
              <w:autoSpaceDN/>
              <w:adjustRightInd/>
              <w:jc w:val="center"/>
            </w:pPr>
            <w:r w:rsidRPr="008A0812">
              <w:t>4</w:t>
            </w:r>
          </w:p>
        </w:tc>
      </w:tr>
      <w:tr w:rsidR="0001683D" w:rsidRPr="008A0812" w14:paraId="255746FA" w14:textId="77777777" w:rsidTr="0001683D">
        <w:trPr>
          <w:trHeight w:val="288"/>
        </w:trPr>
        <w:tc>
          <w:tcPr>
            <w:tcW w:w="2602" w:type="dxa"/>
          </w:tcPr>
          <w:p w14:paraId="4A21ABB8" w14:textId="1DF77A96" w:rsidR="0001683D" w:rsidRPr="008A0812" w:rsidRDefault="0001683D" w:rsidP="0001683D">
            <w:pPr>
              <w:overflowPunct/>
              <w:autoSpaceDE/>
              <w:autoSpaceDN/>
              <w:adjustRightInd/>
            </w:pPr>
            <w:r w:rsidRPr="008A0812">
              <w:t>Primary</w:t>
            </w:r>
          </w:p>
        </w:tc>
        <w:tc>
          <w:tcPr>
            <w:tcW w:w="5220" w:type="dxa"/>
          </w:tcPr>
          <w:p w14:paraId="08C59FC4" w14:textId="3A269AF1" w:rsidR="0001683D" w:rsidRPr="008A0812" w:rsidRDefault="0001683D" w:rsidP="0001683D">
            <w:pPr>
              <w:overflowPunct/>
              <w:autoSpaceDE/>
              <w:autoSpaceDN/>
              <w:adjustRightInd/>
            </w:pPr>
            <w:r w:rsidRPr="008A0812">
              <w:t>Headworks Tunnel</w:t>
            </w:r>
          </w:p>
        </w:tc>
        <w:tc>
          <w:tcPr>
            <w:tcW w:w="1522" w:type="dxa"/>
          </w:tcPr>
          <w:p w14:paraId="208EE797" w14:textId="7612F035" w:rsidR="0001683D" w:rsidRPr="008A0812" w:rsidRDefault="0001683D" w:rsidP="0001683D">
            <w:pPr>
              <w:overflowPunct/>
              <w:autoSpaceDE/>
              <w:autoSpaceDN/>
              <w:adjustRightInd/>
              <w:jc w:val="center"/>
            </w:pPr>
            <w:r w:rsidRPr="008A0812">
              <w:t>3</w:t>
            </w:r>
          </w:p>
        </w:tc>
      </w:tr>
      <w:tr w:rsidR="0001683D" w:rsidRPr="008A0812" w14:paraId="798152EC" w14:textId="77777777" w:rsidTr="0001683D">
        <w:trPr>
          <w:trHeight w:val="288"/>
        </w:trPr>
        <w:tc>
          <w:tcPr>
            <w:tcW w:w="2602" w:type="dxa"/>
          </w:tcPr>
          <w:p w14:paraId="6BA8E730" w14:textId="4F96073B" w:rsidR="0001683D" w:rsidRPr="008A0812" w:rsidRDefault="0001683D" w:rsidP="0001683D">
            <w:pPr>
              <w:overflowPunct/>
              <w:autoSpaceDE/>
              <w:autoSpaceDN/>
              <w:adjustRightInd/>
            </w:pPr>
            <w:r w:rsidRPr="008A0812">
              <w:t>Primary</w:t>
            </w:r>
          </w:p>
        </w:tc>
        <w:tc>
          <w:tcPr>
            <w:tcW w:w="5220" w:type="dxa"/>
          </w:tcPr>
          <w:p w14:paraId="49BA1778" w14:textId="49A04484" w:rsidR="0001683D" w:rsidRPr="008A0812" w:rsidRDefault="0001683D" w:rsidP="0001683D">
            <w:pPr>
              <w:overflowPunct/>
              <w:autoSpaceDE/>
              <w:autoSpaceDN/>
              <w:adjustRightInd/>
            </w:pPr>
            <w:r w:rsidRPr="008A0812">
              <w:t>Unit 1 PI/PE Junction Box</w:t>
            </w:r>
          </w:p>
        </w:tc>
        <w:tc>
          <w:tcPr>
            <w:tcW w:w="1522" w:type="dxa"/>
          </w:tcPr>
          <w:p w14:paraId="03233A54" w14:textId="24714CE1" w:rsidR="0001683D" w:rsidRPr="008A0812" w:rsidRDefault="0001683D" w:rsidP="0001683D">
            <w:pPr>
              <w:overflowPunct/>
              <w:autoSpaceDE/>
              <w:autoSpaceDN/>
              <w:adjustRightInd/>
              <w:jc w:val="center"/>
            </w:pPr>
            <w:r w:rsidRPr="008A0812">
              <w:t>2</w:t>
            </w:r>
          </w:p>
        </w:tc>
      </w:tr>
      <w:tr w:rsidR="0001683D" w:rsidRPr="008A0812" w14:paraId="1C945F03" w14:textId="77777777" w:rsidTr="0001683D">
        <w:trPr>
          <w:trHeight w:val="288"/>
        </w:trPr>
        <w:tc>
          <w:tcPr>
            <w:tcW w:w="2602" w:type="dxa"/>
          </w:tcPr>
          <w:p w14:paraId="553CD0A0" w14:textId="299F0DCF" w:rsidR="0001683D" w:rsidRPr="008A0812" w:rsidRDefault="0001683D" w:rsidP="0001683D">
            <w:pPr>
              <w:overflowPunct/>
              <w:autoSpaceDE/>
              <w:autoSpaceDN/>
              <w:adjustRightInd/>
            </w:pPr>
            <w:r w:rsidRPr="008A0812">
              <w:t>Primary</w:t>
            </w:r>
          </w:p>
        </w:tc>
        <w:tc>
          <w:tcPr>
            <w:tcW w:w="5220" w:type="dxa"/>
          </w:tcPr>
          <w:p w14:paraId="191C5E59" w14:textId="55E18F45" w:rsidR="0001683D" w:rsidRPr="008A0812" w:rsidRDefault="0001683D" w:rsidP="0001683D">
            <w:pPr>
              <w:overflowPunct/>
              <w:autoSpaceDE/>
              <w:autoSpaceDN/>
              <w:adjustRightInd/>
            </w:pPr>
            <w:r w:rsidRPr="008A0812">
              <w:t>Unit 1 Primary Clarifier</w:t>
            </w:r>
          </w:p>
        </w:tc>
        <w:tc>
          <w:tcPr>
            <w:tcW w:w="1522" w:type="dxa"/>
          </w:tcPr>
          <w:p w14:paraId="705C3619" w14:textId="4942386F" w:rsidR="0001683D" w:rsidRPr="008A0812" w:rsidRDefault="0001683D" w:rsidP="0001683D">
            <w:pPr>
              <w:overflowPunct/>
              <w:autoSpaceDE/>
              <w:autoSpaceDN/>
              <w:adjustRightInd/>
              <w:jc w:val="center"/>
            </w:pPr>
            <w:r w:rsidRPr="008A0812">
              <w:t>2</w:t>
            </w:r>
          </w:p>
        </w:tc>
      </w:tr>
      <w:tr w:rsidR="0001683D" w:rsidRPr="008A0812" w14:paraId="3F0A224D" w14:textId="77777777" w:rsidTr="0001683D">
        <w:trPr>
          <w:trHeight w:val="288"/>
        </w:trPr>
        <w:tc>
          <w:tcPr>
            <w:tcW w:w="2602" w:type="dxa"/>
          </w:tcPr>
          <w:p w14:paraId="59BEE23F" w14:textId="0C7BE985" w:rsidR="0001683D" w:rsidRPr="008A0812" w:rsidRDefault="0001683D" w:rsidP="0001683D">
            <w:pPr>
              <w:overflowPunct/>
              <w:autoSpaceDE/>
              <w:autoSpaceDN/>
              <w:adjustRightInd/>
            </w:pPr>
            <w:r w:rsidRPr="008A0812">
              <w:t>Primary</w:t>
            </w:r>
          </w:p>
        </w:tc>
        <w:tc>
          <w:tcPr>
            <w:tcW w:w="5220" w:type="dxa"/>
          </w:tcPr>
          <w:p w14:paraId="0AFA6268" w14:textId="08BA5C13" w:rsidR="0001683D" w:rsidRPr="008A0812" w:rsidRDefault="0001683D" w:rsidP="0001683D">
            <w:pPr>
              <w:overflowPunct/>
              <w:autoSpaceDE/>
              <w:autoSpaceDN/>
              <w:adjustRightInd/>
            </w:pPr>
            <w:r w:rsidRPr="008A0812">
              <w:t>Unit 1 Pump Station</w:t>
            </w:r>
          </w:p>
        </w:tc>
        <w:tc>
          <w:tcPr>
            <w:tcW w:w="1522" w:type="dxa"/>
          </w:tcPr>
          <w:p w14:paraId="429DE940" w14:textId="706B06B0" w:rsidR="0001683D" w:rsidRPr="008A0812" w:rsidRDefault="0001683D" w:rsidP="0001683D">
            <w:pPr>
              <w:overflowPunct/>
              <w:autoSpaceDE/>
              <w:autoSpaceDN/>
              <w:adjustRightInd/>
              <w:jc w:val="center"/>
            </w:pPr>
            <w:r w:rsidRPr="008A0812">
              <w:t>2</w:t>
            </w:r>
          </w:p>
        </w:tc>
      </w:tr>
      <w:tr w:rsidR="0001683D" w:rsidRPr="008A0812" w14:paraId="7BB3A759" w14:textId="77777777" w:rsidTr="0001683D">
        <w:trPr>
          <w:trHeight w:val="288"/>
        </w:trPr>
        <w:tc>
          <w:tcPr>
            <w:tcW w:w="2602" w:type="dxa"/>
          </w:tcPr>
          <w:p w14:paraId="17310B91" w14:textId="54EC7A35" w:rsidR="0001683D" w:rsidRPr="008A0812" w:rsidRDefault="0001683D" w:rsidP="0001683D">
            <w:pPr>
              <w:overflowPunct/>
              <w:autoSpaceDE/>
              <w:autoSpaceDN/>
              <w:adjustRightInd/>
            </w:pPr>
            <w:r w:rsidRPr="008A0812">
              <w:t>Primary</w:t>
            </w:r>
          </w:p>
        </w:tc>
        <w:tc>
          <w:tcPr>
            <w:tcW w:w="5220" w:type="dxa"/>
          </w:tcPr>
          <w:p w14:paraId="4F95832E" w14:textId="0F192F3B" w:rsidR="0001683D" w:rsidRPr="008A0812" w:rsidRDefault="0001683D" w:rsidP="0001683D">
            <w:pPr>
              <w:overflowPunct/>
              <w:autoSpaceDE/>
              <w:autoSpaceDN/>
              <w:adjustRightInd/>
            </w:pPr>
            <w:r w:rsidRPr="008A0812">
              <w:t>Unit 2 Splitter Box</w:t>
            </w:r>
          </w:p>
        </w:tc>
        <w:tc>
          <w:tcPr>
            <w:tcW w:w="1522" w:type="dxa"/>
          </w:tcPr>
          <w:p w14:paraId="35D65CD2" w14:textId="54359418" w:rsidR="0001683D" w:rsidRPr="008A0812" w:rsidRDefault="0001683D" w:rsidP="0001683D">
            <w:pPr>
              <w:overflowPunct/>
              <w:autoSpaceDE/>
              <w:autoSpaceDN/>
              <w:adjustRightInd/>
              <w:jc w:val="center"/>
            </w:pPr>
            <w:r w:rsidRPr="008A0812">
              <w:t>2</w:t>
            </w:r>
          </w:p>
        </w:tc>
      </w:tr>
      <w:tr w:rsidR="0001683D" w:rsidRPr="008A0812" w14:paraId="7D374A3B" w14:textId="77777777" w:rsidTr="0001683D">
        <w:trPr>
          <w:trHeight w:val="288"/>
        </w:trPr>
        <w:tc>
          <w:tcPr>
            <w:tcW w:w="2602" w:type="dxa"/>
          </w:tcPr>
          <w:p w14:paraId="216A0615" w14:textId="267F3643" w:rsidR="0001683D" w:rsidRPr="008A0812" w:rsidRDefault="0001683D" w:rsidP="0001683D">
            <w:pPr>
              <w:overflowPunct/>
              <w:autoSpaceDE/>
              <w:autoSpaceDN/>
              <w:adjustRightInd/>
            </w:pPr>
            <w:r w:rsidRPr="008A0812">
              <w:t>Primary</w:t>
            </w:r>
          </w:p>
        </w:tc>
        <w:tc>
          <w:tcPr>
            <w:tcW w:w="5220" w:type="dxa"/>
          </w:tcPr>
          <w:p w14:paraId="7B780DD8" w14:textId="79515E23" w:rsidR="0001683D" w:rsidRPr="008A0812" w:rsidRDefault="0001683D" w:rsidP="0001683D">
            <w:pPr>
              <w:overflowPunct/>
              <w:autoSpaceDE/>
              <w:autoSpaceDN/>
              <w:adjustRightInd/>
            </w:pPr>
            <w:r w:rsidRPr="008A0812">
              <w:t>Unit 3 Primary Clarifiers</w:t>
            </w:r>
          </w:p>
        </w:tc>
        <w:tc>
          <w:tcPr>
            <w:tcW w:w="1522" w:type="dxa"/>
          </w:tcPr>
          <w:p w14:paraId="47B81CD7" w14:textId="41954E97" w:rsidR="0001683D" w:rsidRPr="008A0812" w:rsidRDefault="0001683D" w:rsidP="0001683D">
            <w:pPr>
              <w:overflowPunct/>
              <w:autoSpaceDE/>
              <w:autoSpaceDN/>
              <w:adjustRightInd/>
              <w:jc w:val="center"/>
            </w:pPr>
            <w:r w:rsidRPr="008A0812">
              <w:t>2</w:t>
            </w:r>
          </w:p>
        </w:tc>
      </w:tr>
      <w:tr w:rsidR="0001683D" w:rsidRPr="008A0812" w14:paraId="295C12AD" w14:textId="77777777" w:rsidTr="0001683D">
        <w:trPr>
          <w:trHeight w:val="288"/>
        </w:trPr>
        <w:tc>
          <w:tcPr>
            <w:tcW w:w="2602" w:type="dxa"/>
          </w:tcPr>
          <w:p w14:paraId="05F9F9D6" w14:textId="17F4C3A9" w:rsidR="0001683D" w:rsidRPr="008A0812" w:rsidRDefault="0001683D" w:rsidP="0001683D">
            <w:pPr>
              <w:overflowPunct/>
              <w:autoSpaceDE/>
              <w:autoSpaceDN/>
              <w:adjustRightInd/>
            </w:pPr>
            <w:r w:rsidRPr="008A0812">
              <w:t>Recycled Water</w:t>
            </w:r>
          </w:p>
        </w:tc>
        <w:tc>
          <w:tcPr>
            <w:tcW w:w="5220" w:type="dxa"/>
          </w:tcPr>
          <w:p w14:paraId="61F2412F" w14:textId="2402E4D7" w:rsidR="0001683D" w:rsidRPr="008A0812" w:rsidRDefault="0001683D" w:rsidP="0001683D">
            <w:pPr>
              <w:overflowPunct/>
              <w:autoSpaceDE/>
              <w:autoSpaceDN/>
              <w:adjustRightInd/>
            </w:pPr>
            <w:r w:rsidRPr="008A0812">
              <w:t>Alternate 6-inch Potable Water Connection</w:t>
            </w:r>
          </w:p>
        </w:tc>
        <w:tc>
          <w:tcPr>
            <w:tcW w:w="1522" w:type="dxa"/>
          </w:tcPr>
          <w:p w14:paraId="25BB9BFD" w14:textId="1E11D9A9" w:rsidR="0001683D" w:rsidRPr="008A0812" w:rsidRDefault="0001683D" w:rsidP="0001683D">
            <w:pPr>
              <w:overflowPunct/>
              <w:autoSpaceDE/>
              <w:autoSpaceDN/>
              <w:adjustRightInd/>
              <w:jc w:val="center"/>
            </w:pPr>
            <w:r w:rsidRPr="008A0812">
              <w:t>2</w:t>
            </w:r>
          </w:p>
        </w:tc>
      </w:tr>
      <w:tr w:rsidR="0001683D" w:rsidRPr="008A0812" w14:paraId="0007BE89" w14:textId="77777777" w:rsidTr="0001683D">
        <w:trPr>
          <w:trHeight w:val="288"/>
        </w:trPr>
        <w:tc>
          <w:tcPr>
            <w:tcW w:w="2602" w:type="dxa"/>
          </w:tcPr>
          <w:p w14:paraId="6586B5D6" w14:textId="2DD7DBCC" w:rsidR="0001683D" w:rsidRPr="008A0812" w:rsidRDefault="0001683D" w:rsidP="0001683D">
            <w:pPr>
              <w:overflowPunct/>
              <w:autoSpaceDE/>
              <w:autoSpaceDN/>
              <w:adjustRightInd/>
            </w:pPr>
            <w:r w:rsidRPr="008A0812">
              <w:t>Recycled Water</w:t>
            </w:r>
          </w:p>
        </w:tc>
        <w:tc>
          <w:tcPr>
            <w:tcW w:w="5220" w:type="dxa"/>
          </w:tcPr>
          <w:p w14:paraId="7BFACF1F" w14:textId="4D17EBD0" w:rsidR="0001683D" w:rsidRPr="008A0812" w:rsidRDefault="0001683D" w:rsidP="0001683D">
            <w:pPr>
              <w:overflowPunct/>
              <w:autoSpaceDE/>
              <w:autoSpaceDN/>
              <w:adjustRightInd/>
            </w:pPr>
            <w:r w:rsidRPr="008A0812">
              <w:t>Century Well</w:t>
            </w:r>
          </w:p>
        </w:tc>
        <w:tc>
          <w:tcPr>
            <w:tcW w:w="1522" w:type="dxa"/>
          </w:tcPr>
          <w:p w14:paraId="5FE8C62E" w14:textId="29BE6813" w:rsidR="0001683D" w:rsidRPr="008A0812" w:rsidRDefault="0001683D" w:rsidP="0001683D">
            <w:pPr>
              <w:overflowPunct/>
              <w:autoSpaceDE/>
              <w:autoSpaceDN/>
              <w:adjustRightInd/>
              <w:jc w:val="center"/>
            </w:pPr>
            <w:r w:rsidRPr="008A0812">
              <w:t>2</w:t>
            </w:r>
          </w:p>
        </w:tc>
      </w:tr>
      <w:tr w:rsidR="0001683D" w:rsidRPr="008A0812" w14:paraId="55F80023" w14:textId="77777777" w:rsidTr="0001683D">
        <w:trPr>
          <w:trHeight w:val="288"/>
        </w:trPr>
        <w:tc>
          <w:tcPr>
            <w:tcW w:w="2602" w:type="dxa"/>
          </w:tcPr>
          <w:p w14:paraId="6E1A2262" w14:textId="08AB6EC2" w:rsidR="0001683D" w:rsidRPr="008A0812" w:rsidRDefault="0001683D" w:rsidP="0001683D">
            <w:pPr>
              <w:overflowPunct/>
              <w:autoSpaceDE/>
              <w:autoSpaceDN/>
              <w:adjustRightInd/>
            </w:pPr>
            <w:r w:rsidRPr="008A0812">
              <w:t>Recycled Water</w:t>
            </w:r>
          </w:p>
        </w:tc>
        <w:tc>
          <w:tcPr>
            <w:tcW w:w="5220" w:type="dxa"/>
          </w:tcPr>
          <w:p w14:paraId="7BA5E9E2" w14:textId="33C4B163" w:rsidR="0001683D" w:rsidRPr="008A0812" w:rsidRDefault="0001683D" w:rsidP="0001683D">
            <w:pPr>
              <w:overflowPunct/>
              <w:autoSpaceDE/>
              <w:autoSpaceDN/>
              <w:adjustRightInd/>
            </w:pPr>
            <w:r w:rsidRPr="008A0812">
              <w:t>Chandler Well</w:t>
            </w:r>
          </w:p>
        </w:tc>
        <w:tc>
          <w:tcPr>
            <w:tcW w:w="1522" w:type="dxa"/>
          </w:tcPr>
          <w:p w14:paraId="270A6CAD" w14:textId="1BD6038D" w:rsidR="0001683D" w:rsidRPr="008A0812" w:rsidRDefault="0001683D" w:rsidP="0001683D">
            <w:pPr>
              <w:overflowPunct/>
              <w:autoSpaceDE/>
              <w:autoSpaceDN/>
              <w:adjustRightInd/>
              <w:jc w:val="center"/>
            </w:pPr>
            <w:r w:rsidRPr="008A0812">
              <w:t>2</w:t>
            </w:r>
          </w:p>
        </w:tc>
      </w:tr>
      <w:tr w:rsidR="0001683D" w:rsidRPr="008A0812" w14:paraId="00EE17A7" w14:textId="77777777" w:rsidTr="0001683D">
        <w:trPr>
          <w:trHeight w:val="288"/>
        </w:trPr>
        <w:tc>
          <w:tcPr>
            <w:tcW w:w="2602" w:type="dxa"/>
          </w:tcPr>
          <w:p w14:paraId="41D29B52" w14:textId="7C52F0DD" w:rsidR="0001683D" w:rsidRPr="008A0812" w:rsidRDefault="0001683D" w:rsidP="0001683D">
            <w:pPr>
              <w:overflowPunct/>
              <w:autoSpaceDE/>
              <w:autoSpaceDN/>
              <w:adjustRightInd/>
            </w:pPr>
            <w:r w:rsidRPr="008A0812">
              <w:t>Recycled Water</w:t>
            </w:r>
          </w:p>
        </w:tc>
        <w:tc>
          <w:tcPr>
            <w:tcW w:w="5220" w:type="dxa"/>
          </w:tcPr>
          <w:p w14:paraId="479D788C" w14:textId="14EF5AC7" w:rsidR="0001683D" w:rsidRPr="008A0812" w:rsidRDefault="0001683D" w:rsidP="0001683D">
            <w:pPr>
              <w:overflowPunct/>
              <w:autoSpaceDE/>
              <w:autoSpaceDN/>
              <w:adjustRightInd/>
            </w:pPr>
            <w:r w:rsidRPr="008A0812">
              <w:t>Golf Course and Caltrans Irrigation Meters</w:t>
            </w:r>
          </w:p>
        </w:tc>
        <w:tc>
          <w:tcPr>
            <w:tcW w:w="1522" w:type="dxa"/>
          </w:tcPr>
          <w:p w14:paraId="7F2671F1" w14:textId="3D7A4DF3" w:rsidR="0001683D" w:rsidRPr="008A0812" w:rsidRDefault="0001683D" w:rsidP="0001683D">
            <w:pPr>
              <w:overflowPunct/>
              <w:autoSpaceDE/>
              <w:autoSpaceDN/>
              <w:adjustRightInd/>
              <w:jc w:val="center"/>
            </w:pPr>
            <w:r w:rsidRPr="008A0812">
              <w:t>2</w:t>
            </w:r>
          </w:p>
        </w:tc>
      </w:tr>
      <w:tr w:rsidR="0001683D" w:rsidRPr="008A0812" w14:paraId="003575BD" w14:textId="77777777" w:rsidTr="0001683D">
        <w:trPr>
          <w:trHeight w:val="288"/>
        </w:trPr>
        <w:tc>
          <w:tcPr>
            <w:tcW w:w="2602" w:type="dxa"/>
          </w:tcPr>
          <w:p w14:paraId="46C2D82F" w14:textId="180D2BF6" w:rsidR="0001683D" w:rsidRPr="008A0812" w:rsidRDefault="0001683D" w:rsidP="0001683D">
            <w:pPr>
              <w:overflowPunct/>
              <w:autoSpaceDE/>
              <w:autoSpaceDN/>
              <w:adjustRightInd/>
            </w:pPr>
            <w:r w:rsidRPr="008A0812">
              <w:t>Recycled Water</w:t>
            </w:r>
          </w:p>
        </w:tc>
        <w:tc>
          <w:tcPr>
            <w:tcW w:w="5220" w:type="dxa"/>
          </w:tcPr>
          <w:p w14:paraId="3BEC70B2" w14:textId="4C5C372F" w:rsidR="0001683D" w:rsidRPr="008A0812" w:rsidRDefault="0001683D" w:rsidP="0001683D">
            <w:pPr>
              <w:overflowPunct/>
              <w:autoSpaceDE/>
              <w:autoSpaceDN/>
              <w:adjustRightInd/>
            </w:pPr>
            <w:r w:rsidRPr="008A0812">
              <w:t>Main Potable Water Feed Source</w:t>
            </w:r>
          </w:p>
        </w:tc>
        <w:tc>
          <w:tcPr>
            <w:tcW w:w="1522" w:type="dxa"/>
          </w:tcPr>
          <w:p w14:paraId="78AC2C89" w14:textId="08BDF678" w:rsidR="0001683D" w:rsidRPr="008A0812" w:rsidRDefault="0001683D" w:rsidP="0001683D">
            <w:pPr>
              <w:overflowPunct/>
              <w:autoSpaceDE/>
              <w:autoSpaceDN/>
              <w:adjustRightInd/>
              <w:jc w:val="center"/>
            </w:pPr>
            <w:r w:rsidRPr="008A0812">
              <w:t>2</w:t>
            </w:r>
          </w:p>
        </w:tc>
      </w:tr>
      <w:tr w:rsidR="0001683D" w:rsidRPr="008A0812" w14:paraId="3A7FF56F" w14:textId="77777777" w:rsidTr="0001683D">
        <w:trPr>
          <w:trHeight w:val="288"/>
        </w:trPr>
        <w:tc>
          <w:tcPr>
            <w:tcW w:w="2602" w:type="dxa"/>
          </w:tcPr>
          <w:p w14:paraId="749E6E5A" w14:textId="7AA51EC0" w:rsidR="0001683D" w:rsidRPr="008A0812" w:rsidRDefault="0001683D" w:rsidP="0001683D">
            <w:pPr>
              <w:overflowPunct/>
              <w:autoSpaceDE/>
              <w:autoSpaceDN/>
              <w:adjustRightInd/>
            </w:pPr>
            <w:r w:rsidRPr="008A0812">
              <w:t>Recycled Water</w:t>
            </w:r>
          </w:p>
        </w:tc>
        <w:tc>
          <w:tcPr>
            <w:tcW w:w="5220" w:type="dxa"/>
          </w:tcPr>
          <w:p w14:paraId="7CFC58BF" w14:textId="2B999EB1" w:rsidR="0001683D" w:rsidRPr="008A0812" w:rsidRDefault="0001683D" w:rsidP="0001683D">
            <w:pPr>
              <w:overflowPunct/>
              <w:autoSpaceDE/>
              <w:autoSpaceDN/>
              <w:adjustRightInd/>
            </w:pPr>
            <w:r w:rsidRPr="008A0812">
              <w:t>Orange Show Well</w:t>
            </w:r>
          </w:p>
        </w:tc>
        <w:tc>
          <w:tcPr>
            <w:tcW w:w="1522" w:type="dxa"/>
          </w:tcPr>
          <w:p w14:paraId="77E58082" w14:textId="3F69B85A" w:rsidR="0001683D" w:rsidRPr="008A0812" w:rsidRDefault="0001683D" w:rsidP="0001683D">
            <w:pPr>
              <w:overflowPunct/>
              <w:autoSpaceDE/>
              <w:autoSpaceDN/>
              <w:adjustRightInd/>
              <w:jc w:val="center"/>
            </w:pPr>
            <w:r w:rsidRPr="008A0812">
              <w:t>2</w:t>
            </w:r>
          </w:p>
        </w:tc>
      </w:tr>
      <w:tr w:rsidR="0001683D" w:rsidRPr="008A0812" w14:paraId="1AD92727" w14:textId="77777777" w:rsidTr="0001683D">
        <w:trPr>
          <w:trHeight w:val="288"/>
        </w:trPr>
        <w:tc>
          <w:tcPr>
            <w:tcW w:w="2602" w:type="dxa"/>
          </w:tcPr>
          <w:p w14:paraId="5626FEF0" w14:textId="55D23C8B" w:rsidR="0001683D" w:rsidRPr="008A0812" w:rsidRDefault="0001683D" w:rsidP="0001683D">
            <w:pPr>
              <w:overflowPunct/>
              <w:autoSpaceDE/>
              <w:autoSpaceDN/>
              <w:adjustRightInd/>
            </w:pPr>
            <w:r w:rsidRPr="008A0812">
              <w:t>Recycled Water</w:t>
            </w:r>
          </w:p>
        </w:tc>
        <w:tc>
          <w:tcPr>
            <w:tcW w:w="5220" w:type="dxa"/>
          </w:tcPr>
          <w:p w14:paraId="310F1262" w14:textId="7D699741" w:rsidR="0001683D" w:rsidRPr="008A0812" w:rsidRDefault="0001683D" w:rsidP="0001683D">
            <w:pPr>
              <w:overflowPunct/>
              <w:autoSpaceDE/>
              <w:autoSpaceDN/>
              <w:adjustRightInd/>
            </w:pPr>
            <w:r w:rsidRPr="008A0812">
              <w:t>Tertiary Reservoir</w:t>
            </w:r>
          </w:p>
        </w:tc>
        <w:tc>
          <w:tcPr>
            <w:tcW w:w="1522" w:type="dxa"/>
          </w:tcPr>
          <w:p w14:paraId="2A41013C" w14:textId="56DC94FE" w:rsidR="0001683D" w:rsidRPr="008A0812" w:rsidRDefault="0001683D" w:rsidP="0001683D">
            <w:pPr>
              <w:overflowPunct/>
              <w:autoSpaceDE/>
              <w:autoSpaceDN/>
              <w:adjustRightInd/>
              <w:jc w:val="center"/>
            </w:pPr>
            <w:r w:rsidRPr="008A0812">
              <w:t>2</w:t>
            </w:r>
          </w:p>
        </w:tc>
      </w:tr>
      <w:tr w:rsidR="0001683D" w:rsidRPr="008A0812" w14:paraId="668C54AE" w14:textId="77777777" w:rsidTr="0001683D">
        <w:trPr>
          <w:trHeight w:val="288"/>
        </w:trPr>
        <w:tc>
          <w:tcPr>
            <w:tcW w:w="2602" w:type="dxa"/>
          </w:tcPr>
          <w:p w14:paraId="363665CF" w14:textId="674CC231" w:rsidR="0001683D" w:rsidRPr="008A0812" w:rsidRDefault="0001683D" w:rsidP="0001683D">
            <w:pPr>
              <w:overflowPunct/>
              <w:autoSpaceDE/>
              <w:autoSpaceDN/>
              <w:adjustRightInd/>
            </w:pPr>
            <w:r w:rsidRPr="008A0812">
              <w:t>Solids Chemical</w:t>
            </w:r>
          </w:p>
        </w:tc>
        <w:tc>
          <w:tcPr>
            <w:tcW w:w="5220" w:type="dxa"/>
          </w:tcPr>
          <w:p w14:paraId="5FEC92CF" w14:textId="06C2BD8D" w:rsidR="0001683D" w:rsidRPr="008A0812" w:rsidRDefault="0001683D" w:rsidP="0001683D">
            <w:pPr>
              <w:overflowPunct/>
              <w:autoSpaceDE/>
              <w:autoSpaceDN/>
              <w:adjustRightInd/>
            </w:pPr>
            <w:r w:rsidRPr="008A0812">
              <w:t>Polymer Storage Area</w:t>
            </w:r>
          </w:p>
        </w:tc>
        <w:tc>
          <w:tcPr>
            <w:tcW w:w="1522" w:type="dxa"/>
          </w:tcPr>
          <w:p w14:paraId="11C8FC86" w14:textId="77EE8557" w:rsidR="0001683D" w:rsidRPr="008A0812" w:rsidRDefault="0001683D" w:rsidP="0001683D">
            <w:pPr>
              <w:overflowPunct/>
              <w:autoSpaceDE/>
              <w:autoSpaceDN/>
              <w:adjustRightInd/>
              <w:jc w:val="center"/>
            </w:pPr>
            <w:r w:rsidRPr="008A0812">
              <w:t>3</w:t>
            </w:r>
          </w:p>
        </w:tc>
      </w:tr>
      <w:tr w:rsidR="0001683D" w:rsidRPr="008A0812" w14:paraId="325AB890" w14:textId="77777777" w:rsidTr="0001683D">
        <w:trPr>
          <w:trHeight w:val="288"/>
        </w:trPr>
        <w:tc>
          <w:tcPr>
            <w:tcW w:w="2602" w:type="dxa"/>
          </w:tcPr>
          <w:p w14:paraId="1E3FBE4A" w14:textId="147E4083" w:rsidR="0001683D" w:rsidRPr="008A0812" w:rsidRDefault="0001683D" w:rsidP="0001683D">
            <w:pPr>
              <w:overflowPunct/>
              <w:autoSpaceDE/>
              <w:autoSpaceDN/>
              <w:adjustRightInd/>
            </w:pPr>
            <w:r w:rsidRPr="008A0812">
              <w:t>Solids Chemical</w:t>
            </w:r>
          </w:p>
        </w:tc>
        <w:tc>
          <w:tcPr>
            <w:tcW w:w="5220" w:type="dxa"/>
          </w:tcPr>
          <w:p w14:paraId="0E73F1A1" w14:textId="4A7D9644" w:rsidR="0001683D" w:rsidRPr="008A0812" w:rsidRDefault="0001683D" w:rsidP="0001683D">
            <w:pPr>
              <w:overflowPunct/>
              <w:autoSpaceDE/>
              <w:autoSpaceDN/>
              <w:adjustRightInd/>
            </w:pPr>
            <w:r w:rsidRPr="008A0812">
              <w:t>Hazardous Materials Storage Area</w:t>
            </w:r>
          </w:p>
        </w:tc>
        <w:tc>
          <w:tcPr>
            <w:tcW w:w="1522" w:type="dxa"/>
          </w:tcPr>
          <w:p w14:paraId="110971AD" w14:textId="4EFA7CC7" w:rsidR="0001683D" w:rsidRPr="008A0812" w:rsidRDefault="0001683D" w:rsidP="0001683D">
            <w:pPr>
              <w:overflowPunct/>
              <w:autoSpaceDE/>
              <w:autoSpaceDN/>
              <w:adjustRightInd/>
              <w:jc w:val="center"/>
            </w:pPr>
            <w:r w:rsidRPr="008A0812">
              <w:t>2</w:t>
            </w:r>
          </w:p>
        </w:tc>
      </w:tr>
      <w:tr w:rsidR="0001683D" w:rsidRPr="008A0812" w14:paraId="3BDE61A3" w14:textId="77777777" w:rsidTr="0001683D">
        <w:trPr>
          <w:trHeight w:val="288"/>
        </w:trPr>
        <w:tc>
          <w:tcPr>
            <w:tcW w:w="2602" w:type="dxa"/>
          </w:tcPr>
          <w:p w14:paraId="38AAC420" w14:textId="7A91C278" w:rsidR="0001683D" w:rsidRPr="008A0812" w:rsidRDefault="0001683D" w:rsidP="0001683D">
            <w:pPr>
              <w:overflowPunct/>
              <w:autoSpaceDE/>
              <w:autoSpaceDN/>
              <w:adjustRightInd/>
            </w:pPr>
            <w:r w:rsidRPr="008A0812">
              <w:t>Solids Handling</w:t>
            </w:r>
          </w:p>
        </w:tc>
        <w:tc>
          <w:tcPr>
            <w:tcW w:w="5220" w:type="dxa"/>
          </w:tcPr>
          <w:p w14:paraId="0A32DE0A" w14:textId="44DE702D" w:rsidR="0001683D" w:rsidRPr="008A0812" w:rsidRDefault="0001683D" w:rsidP="0001683D">
            <w:pPr>
              <w:overflowPunct/>
              <w:autoSpaceDE/>
              <w:autoSpaceDN/>
              <w:adjustRightInd/>
            </w:pPr>
            <w:r w:rsidRPr="008A0812">
              <w:t>Dewatering &amp; Thickening (D&amp;T) Building</w:t>
            </w:r>
          </w:p>
        </w:tc>
        <w:tc>
          <w:tcPr>
            <w:tcW w:w="1522" w:type="dxa"/>
          </w:tcPr>
          <w:p w14:paraId="5C7CD403" w14:textId="24824E7C" w:rsidR="0001683D" w:rsidRPr="008A0812" w:rsidRDefault="0001683D" w:rsidP="0001683D">
            <w:pPr>
              <w:overflowPunct/>
              <w:autoSpaceDE/>
              <w:autoSpaceDN/>
              <w:adjustRightInd/>
              <w:jc w:val="center"/>
            </w:pPr>
            <w:r w:rsidRPr="008A0812">
              <w:t>4</w:t>
            </w:r>
          </w:p>
        </w:tc>
      </w:tr>
      <w:tr w:rsidR="0001683D" w:rsidRPr="008A0812" w14:paraId="00F80336" w14:textId="77777777" w:rsidTr="0001683D">
        <w:trPr>
          <w:trHeight w:val="288"/>
        </w:trPr>
        <w:tc>
          <w:tcPr>
            <w:tcW w:w="2602" w:type="dxa"/>
          </w:tcPr>
          <w:p w14:paraId="2C4AF736" w14:textId="3609A03F" w:rsidR="0001683D" w:rsidRPr="008A0812" w:rsidRDefault="0001683D" w:rsidP="0001683D">
            <w:pPr>
              <w:overflowPunct/>
              <w:autoSpaceDE/>
              <w:autoSpaceDN/>
              <w:adjustRightInd/>
            </w:pPr>
            <w:r w:rsidRPr="008A0812">
              <w:t>Solids Handling</w:t>
            </w:r>
          </w:p>
        </w:tc>
        <w:tc>
          <w:tcPr>
            <w:tcW w:w="5220" w:type="dxa"/>
          </w:tcPr>
          <w:p w14:paraId="52FA9168" w14:textId="2A556961" w:rsidR="0001683D" w:rsidRPr="008A0812" w:rsidRDefault="0001683D" w:rsidP="0001683D">
            <w:pPr>
              <w:overflowPunct/>
              <w:autoSpaceDE/>
              <w:autoSpaceDN/>
              <w:adjustRightInd/>
            </w:pPr>
            <w:r w:rsidRPr="008A0812">
              <w:t>Dewatering Building &amp; Conveyors 1 &amp; 2</w:t>
            </w:r>
          </w:p>
        </w:tc>
        <w:tc>
          <w:tcPr>
            <w:tcW w:w="1522" w:type="dxa"/>
          </w:tcPr>
          <w:p w14:paraId="71A924DC" w14:textId="29B87592" w:rsidR="0001683D" w:rsidRPr="008A0812" w:rsidRDefault="0001683D" w:rsidP="0001683D">
            <w:pPr>
              <w:overflowPunct/>
              <w:autoSpaceDE/>
              <w:autoSpaceDN/>
              <w:adjustRightInd/>
              <w:jc w:val="center"/>
            </w:pPr>
            <w:r w:rsidRPr="008A0812">
              <w:t>4</w:t>
            </w:r>
          </w:p>
        </w:tc>
      </w:tr>
      <w:tr w:rsidR="0001683D" w:rsidRPr="008A0812" w14:paraId="39B7902A" w14:textId="77777777" w:rsidTr="0001683D">
        <w:trPr>
          <w:trHeight w:val="288"/>
        </w:trPr>
        <w:tc>
          <w:tcPr>
            <w:tcW w:w="2602" w:type="dxa"/>
          </w:tcPr>
          <w:p w14:paraId="0DFA63EE" w14:textId="248338E2" w:rsidR="0001683D" w:rsidRPr="008A0812" w:rsidRDefault="0001683D" w:rsidP="0001683D">
            <w:pPr>
              <w:overflowPunct/>
              <w:autoSpaceDE/>
              <w:autoSpaceDN/>
              <w:adjustRightInd/>
            </w:pPr>
            <w:r w:rsidRPr="008A0812">
              <w:t>Solids Handling</w:t>
            </w:r>
          </w:p>
        </w:tc>
        <w:tc>
          <w:tcPr>
            <w:tcW w:w="5220" w:type="dxa"/>
          </w:tcPr>
          <w:p w14:paraId="59D8662B" w14:textId="5929FD95" w:rsidR="0001683D" w:rsidRPr="008A0812" w:rsidRDefault="0001683D" w:rsidP="0001683D">
            <w:pPr>
              <w:overflowPunct/>
              <w:autoSpaceDE/>
              <w:autoSpaceDN/>
              <w:adjustRightInd/>
            </w:pPr>
            <w:r w:rsidRPr="008A0812">
              <w:t>Truck Loading, Conveyors 3-5, &amp; Storage Silo</w:t>
            </w:r>
          </w:p>
        </w:tc>
        <w:tc>
          <w:tcPr>
            <w:tcW w:w="1522" w:type="dxa"/>
          </w:tcPr>
          <w:p w14:paraId="5DD46F1D" w14:textId="3AF221E8" w:rsidR="0001683D" w:rsidRPr="008A0812" w:rsidRDefault="0001683D" w:rsidP="0001683D">
            <w:pPr>
              <w:overflowPunct/>
              <w:autoSpaceDE/>
              <w:autoSpaceDN/>
              <w:adjustRightInd/>
              <w:jc w:val="center"/>
            </w:pPr>
            <w:r w:rsidRPr="008A0812">
              <w:t>2</w:t>
            </w:r>
          </w:p>
        </w:tc>
      </w:tr>
      <w:tr w:rsidR="0001683D" w:rsidRPr="008A0812" w14:paraId="67819A68" w14:textId="77777777" w:rsidTr="0001683D">
        <w:trPr>
          <w:trHeight w:val="288"/>
        </w:trPr>
        <w:tc>
          <w:tcPr>
            <w:tcW w:w="2602" w:type="dxa"/>
          </w:tcPr>
          <w:p w14:paraId="6671CFCA" w14:textId="760BA6E2" w:rsidR="0001683D" w:rsidRPr="008A0812" w:rsidRDefault="0001683D" w:rsidP="0001683D">
            <w:pPr>
              <w:overflowPunct/>
              <w:autoSpaceDE/>
              <w:autoSpaceDN/>
              <w:adjustRightInd/>
            </w:pPr>
            <w:r w:rsidRPr="008A0812">
              <w:t>Solids Handling</w:t>
            </w:r>
          </w:p>
        </w:tc>
        <w:tc>
          <w:tcPr>
            <w:tcW w:w="5220" w:type="dxa"/>
          </w:tcPr>
          <w:p w14:paraId="373D7344" w14:textId="380E11A1" w:rsidR="0001683D" w:rsidRPr="008A0812" w:rsidRDefault="0001683D" w:rsidP="0001683D">
            <w:pPr>
              <w:overflowPunct/>
              <w:autoSpaceDE/>
              <w:autoSpaceDN/>
              <w:adjustRightInd/>
            </w:pPr>
            <w:r w:rsidRPr="008A0812">
              <w:t>Bio-Solids Storage Beds</w:t>
            </w:r>
          </w:p>
        </w:tc>
        <w:tc>
          <w:tcPr>
            <w:tcW w:w="1522" w:type="dxa"/>
          </w:tcPr>
          <w:p w14:paraId="4B7BCD59" w14:textId="0EC72C20" w:rsidR="0001683D" w:rsidRPr="008A0812" w:rsidRDefault="0001683D" w:rsidP="0001683D">
            <w:pPr>
              <w:overflowPunct/>
              <w:autoSpaceDE/>
              <w:autoSpaceDN/>
              <w:adjustRightInd/>
              <w:jc w:val="center"/>
            </w:pPr>
            <w:r w:rsidRPr="008A0812">
              <w:t>1</w:t>
            </w:r>
          </w:p>
        </w:tc>
      </w:tr>
      <w:tr w:rsidR="0001683D" w:rsidRPr="008A0812" w14:paraId="2E000AAC" w14:textId="77777777" w:rsidTr="0001683D">
        <w:trPr>
          <w:trHeight w:val="288"/>
        </w:trPr>
        <w:tc>
          <w:tcPr>
            <w:tcW w:w="2602" w:type="dxa"/>
          </w:tcPr>
          <w:p w14:paraId="693A4922" w14:textId="57854218" w:rsidR="0001683D" w:rsidRPr="008A0812" w:rsidRDefault="0001683D" w:rsidP="0001683D">
            <w:pPr>
              <w:overflowPunct/>
              <w:autoSpaceDE/>
              <w:autoSpaceDN/>
              <w:adjustRightInd/>
            </w:pPr>
            <w:r w:rsidRPr="008A0812">
              <w:t>Solids Handling</w:t>
            </w:r>
          </w:p>
        </w:tc>
        <w:tc>
          <w:tcPr>
            <w:tcW w:w="5220" w:type="dxa"/>
          </w:tcPr>
          <w:p w14:paraId="7C14947C" w14:textId="2E45782C" w:rsidR="0001683D" w:rsidRPr="008A0812" w:rsidRDefault="0001683D" w:rsidP="0001683D">
            <w:pPr>
              <w:overflowPunct/>
              <w:autoSpaceDE/>
              <w:autoSpaceDN/>
              <w:adjustRightInd/>
            </w:pPr>
            <w:r w:rsidRPr="008A0812">
              <w:t>Combination Truck Unloading Bed</w:t>
            </w:r>
          </w:p>
        </w:tc>
        <w:tc>
          <w:tcPr>
            <w:tcW w:w="1522" w:type="dxa"/>
          </w:tcPr>
          <w:p w14:paraId="3C9151E8" w14:textId="3A200794" w:rsidR="0001683D" w:rsidRPr="008A0812" w:rsidRDefault="0001683D" w:rsidP="0001683D">
            <w:pPr>
              <w:overflowPunct/>
              <w:autoSpaceDE/>
              <w:autoSpaceDN/>
              <w:adjustRightInd/>
              <w:jc w:val="center"/>
            </w:pPr>
            <w:r w:rsidRPr="008A0812">
              <w:t>1</w:t>
            </w:r>
          </w:p>
        </w:tc>
      </w:tr>
      <w:tr w:rsidR="0001683D" w:rsidRPr="008A0812" w14:paraId="37B2C996" w14:textId="77777777" w:rsidTr="0001683D">
        <w:trPr>
          <w:trHeight w:val="288"/>
        </w:trPr>
        <w:tc>
          <w:tcPr>
            <w:tcW w:w="2602" w:type="dxa"/>
          </w:tcPr>
          <w:p w14:paraId="1CE0E657" w14:textId="79CF7933" w:rsidR="0001683D" w:rsidRPr="008A0812" w:rsidRDefault="0001683D" w:rsidP="0001683D">
            <w:pPr>
              <w:overflowPunct/>
              <w:autoSpaceDE/>
              <w:autoSpaceDN/>
              <w:adjustRightInd/>
            </w:pPr>
            <w:r w:rsidRPr="008A0812">
              <w:t>Solids Handling</w:t>
            </w:r>
          </w:p>
        </w:tc>
        <w:tc>
          <w:tcPr>
            <w:tcW w:w="5220" w:type="dxa"/>
          </w:tcPr>
          <w:p w14:paraId="7AF160F5" w14:textId="2769A1D3" w:rsidR="0001683D" w:rsidRPr="008A0812" w:rsidRDefault="0001683D" w:rsidP="0001683D">
            <w:pPr>
              <w:overflowPunct/>
              <w:autoSpaceDE/>
              <w:autoSpaceDN/>
              <w:adjustRightInd/>
            </w:pPr>
            <w:r w:rsidRPr="008A0812">
              <w:t>Grit Dewatering Bed</w:t>
            </w:r>
          </w:p>
        </w:tc>
        <w:tc>
          <w:tcPr>
            <w:tcW w:w="1522" w:type="dxa"/>
          </w:tcPr>
          <w:p w14:paraId="1921908A" w14:textId="1A71DEB7" w:rsidR="0001683D" w:rsidRPr="008A0812" w:rsidRDefault="0001683D" w:rsidP="0001683D">
            <w:pPr>
              <w:overflowPunct/>
              <w:autoSpaceDE/>
              <w:autoSpaceDN/>
              <w:adjustRightInd/>
              <w:jc w:val="center"/>
            </w:pPr>
            <w:r w:rsidRPr="008A0812">
              <w:t>1</w:t>
            </w:r>
          </w:p>
        </w:tc>
      </w:tr>
      <w:tr w:rsidR="0001683D" w:rsidRPr="008A0812" w14:paraId="1918EA4D" w14:textId="77777777" w:rsidTr="0001683D">
        <w:trPr>
          <w:trHeight w:val="288"/>
        </w:trPr>
        <w:tc>
          <w:tcPr>
            <w:tcW w:w="2602" w:type="dxa"/>
          </w:tcPr>
          <w:p w14:paraId="25C1013A" w14:textId="1D79DBC3" w:rsidR="0001683D" w:rsidRPr="008A0812" w:rsidRDefault="0001683D" w:rsidP="0001683D">
            <w:pPr>
              <w:overflowPunct/>
              <w:autoSpaceDE/>
              <w:autoSpaceDN/>
              <w:adjustRightInd/>
            </w:pPr>
            <w:r w:rsidRPr="008A0812">
              <w:t>Solids Handling</w:t>
            </w:r>
          </w:p>
        </w:tc>
        <w:tc>
          <w:tcPr>
            <w:tcW w:w="5220" w:type="dxa"/>
          </w:tcPr>
          <w:p w14:paraId="7858CEF5" w14:textId="66F0940A" w:rsidR="0001683D" w:rsidRPr="008A0812" w:rsidRDefault="0001683D" w:rsidP="0001683D">
            <w:pPr>
              <w:overflowPunct/>
              <w:autoSpaceDE/>
              <w:autoSpaceDN/>
              <w:adjustRightInd/>
            </w:pPr>
            <w:r w:rsidRPr="008A0812">
              <w:t>Manual Biosolids Loading Bed</w:t>
            </w:r>
          </w:p>
        </w:tc>
        <w:tc>
          <w:tcPr>
            <w:tcW w:w="1522" w:type="dxa"/>
          </w:tcPr>
          <w:p w14:paraId="02087263" w14:textId="366C396C" w:rsidR="0001683D" w:rsidRPr="008A0812" w:rsidRDefault="0001683D" w:rsidP="0001683D">
            <w:pPr>
              <w:overflowPunct/>
              <w:autoSpaceDE/>
              <w:autoSpaceDN/>
              <w:adjustRightInd/>
              <w:jc w:val="center"/>
            </w:pPr>
            <w:r w:rsidRPr="008A0812">
              <w:t>1</w:t>
            </w:r>
          </w:p>
        </w:tc>
      </w:tr>
      <w:tr w:rsidR="0001683D" w:rsidRPr="008A0812" w14:paraId="52C3A378" w14:textId="77777777" w:rsidTr="0001683D">
        <w:trPr>
          <w:trHeight w:val="288"/>
        </w:trPr>
        <w:tc>
          <w:tcPr>
            <w:tcW w:w="2602" w:type="dxa"/>
          </w:tcPr>
          <w:p w14:paraId="59265C78" w14:textId="70E3AC63" w:rsidR="0001683D" w:rsidRPr="008A0812" w:rsidRDefault="0001683D" w:rsidP="0001683D">
            <w:pPr>
              <w:overflowPunct/>
              <w:autoSpaceDE/>
              <w:autoSpaceDN/>
              <w:adjustRightInd/>
            </w:pPr>
            <w:r w:rsidRPr="008A0812">
              <w:t>Solids Treatment</w:t>
            </w:r>
          </w:p>
        </w:tc>
        <w:tc>
          <w:tcPr>
            <w:tcW w:w="5220" w:type="dxa"/>
          </w:tcPr>
          <w:p w14:paraId="2FB64F85" w14:textId="69594F18" w:rsidR="0001683D" w:rsidRPr="008A0812" w:rsidRDefault="0001683D" w:rsidP="0001683D">
            <w:pPr>
              <w:overflowPunct/>
              <w:autoSpaceDE/>
              <w:autoSpaceDN/>
              <w:adjustRightInd/>
            </w:pPr>
            <w:r w:rsidRPr="008A0812">
              <w:t>Boiler Building</w:t>
            </w:r>
          </w:p>
        </w:tc>
        <w:tc>
          <w:tcPr>
            <w:tcW w:w="1522" w:type="dxa"/>
          </w:tcPr>
          <w:p w14:paraId="001578B0" w14:textId="223C32BF" w:rsidR="0001683D" w:rsidRPr="008A0812" w:rsidRDefault="0001683D" w:rsidP="0001683D">
            <w:pPr>
              <w:overflowPunct/>
              <w:autoSpaceDE/>
              <w:autoSpaceDN/>
              <w:adjustRightInd/>
              <w:jc w:val="center"/>
            </w:pPr>
            <w:r w:rsidRPr="008A0812">
              <w:t>5</w:t>
            </w:r>
          </w:p>
        </w:tc>
      </w:tr>
      <w:tr w:rsidR="0001683D" w:rsidRPr="008A0812" w14:paraId="5253C41D" w14:textId="77777777" w:rsidTr="0001683D">
        <w:trPr>
          <w:trHeight w:val="288"/>
        </w:trPr>
        <w:tc>
          <w:tcPr>
            <w:tcW w:w="2602" w:type="dxa"/>
          </w:tcPr>
          <w:p w14:paraId="500FD434" w14:textId="7A7399DB" w:rsidR="0001683D" w:rsidRPr="008A0812" w:rsidRDefault="0001683D" w:rsidP="0001683D">
            <w:pPr>
              <w:overflowPunct/>
              <w:autoSpaceDE/>
              <w:autoSpaceDN/>
              <w:adjustRightInd/>
            </w:pPr>
            <w:r w:rsidRPr="008A0812">
              <w:t>Solids Treatment</w:t>
            </w:r>
          </w:p>
        </w:tc>
        <w:tc>
          <w:tcPr>
            <w:tcW w:w="5220" w:type="dxa"/>
          </w:tcPr>
          <w:p w14:paraId="0A4C9E2B" w14:textId="3FE269E9" w:rsidR="0001683D" w:rsidRPr="008A0812" w:rsidRDefault="0001683D" w:rsidP="0001683D">
            <w:pPr>
              <w:overflowPunct/>
              <w:autoSpaceDE/>
              <w:autoSpaceDN/>
              <w:adjustRightInd/>
            </w:pPr>
            <w:r w:rsidRPr="008A0812">
              <w:t>Digester A</w:t>
            </w:r>
          </w:p>
        </w:tc>
        <w:tc>
          <w:tcPr>
            <w:tcW w:w="1522" w:type="dxa"/>
          </w:tcPr>
          <w:p w14:paraId="385C91D7" w14:textId="6C05D327" w:rsidR="0001683D" w:rsidRPr="008A0812" w:rsidRDefault="0001683D" w:rsidP="0001683D">
            <w:pPr>
              <w:overflowPunct/>
              <w:autoSpaceDE/>
              <w:autoSpaceDN/>
              <w:adjustRightInd/>
              <w:jc w:val="center"/>
            </w:pPr>
            <w:r w:rsidRPr="008A0812">
              <w:t>4</w:t>
            </w:r>
          </w:p>
        </w:tc>
      </w:tr>
      <w:tr w:rsidR="0001683D" w:rsidRPr="008A0812" w14:paraId="2FBBA7AB" w14:textId="77777777" w:rsidTr="0001683D">
        <w:trPr>
          <w:trHeight w:val="288"/>
        </w:trPr>
        <w:tc>
          <w:tcPr>
            <w:tcW w:w="2602" w:type="dxa"/>
          </w:tcPr>
          <w:p w14:paraId="00627A51" w14:textId="36827242" w:rsidR="0001683D" w:rsidRPr="008A0812" w:rsidRDefault="0001683D" w:rsidP="0001683D">
            <w:pPr>
              <w:overflowPunct/>
              <w:autoSpaceDE/>
              <w:autoSpaceDN/>
              <w:adjustRightInd/>
            </w:pPr>
            <w:r w:rsidRPr="008A0812">
              <w:t>Solids Treatment</w:t>
            </w:r>
          </w:p>
        </w:tc>
        <w:tc>
          <w:tcPr>
            <w:tcW w:w="5220" w:type="dxa"/>
          </w:tcPr>
          <w:p w14:paraId="5CFB33D7" w14:textId="456627D1" w:rsidR="0001683D" w:rsidRPr="008A0812" w:rsidRDefault="0001683D" w:rsidP="0001683D">
            <w:pPr>
              <w:overflowPunct/>
              <w:autoSpaceDE/>
              <w:autoSpaceDN/>
              <w:adjustRightInd/>
            </w:pPr>
            <w:r w:rsidRPr="008A0812">
              <w:t>Digester C</w:t>
            </w:r>
          </w:p>
        </w:tc>
        <w:tc>
          <w:tcPr>
            <w:tcW w:w="1522" w:type="dxa"/>
          </w:tcPr>
          <w:p w14:paraId="2C00A4B6" w14:textId="7B124E98" w:rsidR="0001683D" w:rsidRPr="008A0812" w:rsidRDefault="0001683D" w:rsidP="0001683D">
            <w:pPr>
              <w:overflowPunct/>
              <w:autoSpaceDE/>
              <w:autoSpaceDN/>
              <w:adjustRightInd/>
              <w:jc w:val="center"/>
            </w:pPr>
            <w:r w:rsidRPr="008A0812">
              <w:t>4</w:t>
            </w:r>
          </w:p>
        </w:tc>
      </w:tr>
      <w:tr w:rsidR="0001683D" w:rsidRPr="008A0812" w14:paraId="4881AB0A" w14:textId="77777777" w:rsidTr="0001683D">
        <w:trPr>
          <w:trHeight w:val="288"/>
        </w:trPr>
        <w:tc>
          <w:tcPr>
            <w:tcW w:w="2602" w:type="dxa"/>
          </w:tcPr>
          <w:p w14:paraId="5E80D307" w14:textId="085E1CFA" w:rsidR="0001683D" w:rsidRPr="008A0812" w:rsidRDefault="0001683D" w:rsidP="0001683D">
            <w:pPr>
              <w:overflowPunct/>
              <w:autoSpaceDE/>
              <w:autoSpaceDN/>
              <w:adjustRightInd/>
            </w:pPr>
            <w:r w:rsidRPr="008A0812">
              <w:t>Solids Treatment</w:t>
            </w:r>
          </w:p>
        </w:tc>
        <w:tc>
          <w:tcPr>
            <w:tcW w:w="5220" w:type="dxa"/>
          </w:tcPr>
          <w:p w14:paraId="0F2CAE21" w14:textId="1D8A4AC2" w:rsidR="0001683D" w:rsidRPr="008A0812" w:rsidRDefault="0001683D" w:rsidP="0001683D">
            <w:pPr>
              <w:overflowPunct/>
              <w:autoSpaceDE/>
              <w:autoSpaceDN/>
              <w:adjustRightInd/>
            </w:pPr>
            <w:r w:rsidRPr="008A0812">
              <w:t>Digester C&amp;D Common Valve Vault</w:t>
            </w:r>
          </w:p>
        </w:tc>
        <w:tc>
          <w:tcPr>
            <w:tcW w:w="1522" w:type="dxa"/>
          </w:tcPr>
          <w:p w14:paraId="4020E1C2" w14:textId="5D62C732" w:rsidR="0001683D" w:rsidRPr="008A0812" w:rsidRDefault="0001683D" w:rsidP="0001683D">
            <w:pPr>
              <w:overflowPunct/>
              <w:autoSpaceDE/>
              <w:autoSpaceDN/>
              <w:adjustRightInd/>
              <w:jc w:val="center"/>
            </w:pPr>
            <w:r w:rsidRPr="008A0812">
              <w:t>4</w:t>
            </w:r>
          </w:p>
        </w:tc>
      </w:tr>
      <w:tr w:rsidR="0001683D" w:rsidRPr="008A0812" w14:paraId="7D9AEFB5" w14:textId="77777777" w:rsidTr="0001683D">
        <w:trPr>
          <w:trHeight w:val="288"/>
        </w:trPr>
        <w:tc>
          <w:tcPr>
            <w:tcW w:w="2602" w:type="dxa"/>
          </w:tcPr>
          <w:p w14:paraId="097D7F12" w14:textId="3180B763" w:rsidR="0001683D" w:rsidRPr="008A0812" w:rsidRDefault="0001683D" w:rsidP="0001683D">
            <w:pPr>
              <w:overflowPunct/>
              <w:autoSpaceDE/>
              <w:autoSpaceDN/>
              <w:adjustRightInd/>
            </w:pPr>
            <w:r w:rsidRPr="008A0812">
              <w:t>Solids Treatment</w:t>
            </w:r>
          </w:p>
        </w:tc>
        <w:tc>
          <w:tcPr>
            <w:tcW w:w="5220" w:type="dxa"/>
          </w:tcPr>
          <w:p w14:paraId="2E809D19" w14:textId="32080BDC" w:rsidR="0001683D" w:rsidRPr="008A0812" w:rsidRDefault="0001683D" w:rsidP="0001683D">
            <w:pPr>
              <w:overflowPunct/>
              <w:autoSpaceDE/>
              <w:autoSpaceDN/>
              <w:adjustRightInd/>
            </w:pPr>
            <w:r w:rsidRPr="008A0812">
              <w:t>Digester D</w:t>
            </w:r>
          </w:p>
        </w:tc>
        <w:tc>
          <w:tcPr>
            <w:tcW w:w="1522" w:type="dxa"/>
          </w:tcPr>
          <w:p w14:paraId="17178D78" w14:textId="79BBC7EB" w:rsidR="0001683D" w:rsidRPr="008A0812" w:rsidRDefault="0001683D" w:rsidP="0001683D">
            <w:pPr>
              <w:overflowPunct/>
              <w:autoSpaceDE/>
              <w:autoSpaceDN/>
              <w:adjustRightInd/>
              <w:jc w:val="center"/>
            </w:pPr>
            <w:r w:rsidRPr="008A0812">
              <w:t>4</w:t>
            </w:r>
          </w:p>
        </w:tc>
      </w:tr>
      <w:tr w:rsidR="0001683D" w:rsidRPr="008A0812" w14:paraId="17AF6F54" w14:textId="77777777" w:rsidTr="0001683D">
        <w:trPr>
          <w:trHeight w:val="288"/>
        </w:trPr>
        <w:tc>
          <w:tcPr>
            <w:tcW w:w="2602" w:type="dxa"/>
          </w:tcPr>
          <w:p w14:paraId="16D0577C" w14:textId="33F169C6" w:rsidR="0001683D" w:rsidRPr="008A0812" w:rsidRDefault="0001683D" w:rsidP="0001683D">
            <w:pPr>
              <w:overflowPunct/>
              <w:autoSpaceDE/>
              <w:autoSpaceDN/>
              <w:adjustRightInd/>
            </w:pPr>
            <w:r w:rsidRPr="008A0812">
              <w:t>Solids Treatment</w:t>
            </w:r>
          </w:p>
        </w:tc>
        <w:tc>
          <w:tcPr>
            <w:tcW w:w="5220" w:type="dxa"/>
          </w:tcPr>
          <w:p w14:paraId="51B8F26F" w14:textId="4F739DE1" w:rsidR="0001683D" w:rsidRPr="008A0812" w:rsidRDefault="0001683D" w:rsidP="0001683D">
            <w:pPr>
              <w:overflowPunct/>
              <w:autoSpaceDE/>
              <w:autoSpaceDN/>
              <w:adjustRightInd/>
            </w:pPr>
            <w:r w:rsidRPr="008A0812">
              <w:t>Dissolved Air Flotation Thickener (DAFT) 1</w:t>
            </w:r>
          </w:p>
        </w:tc>
        <w:tc>
          <w:tcPr>
            <w:tcW w:w="1522" w:type="dxa"/>
          </w:tcPr>
          <w:p w14:paraId="3F39639E" w14:textId="217CAF7C" w:rsidR="0001683D" w:rsidRPr="008A0812" w:rsidRDefault="0001683D" w:rsidP="0001683D">
            <w:pPr>
              <w:overflowPunct/>
              <w:autoSpaceDE/>
              <w:autoSpaceDN/>
              <w:adjustRightInd/>
              <w:jc w:val="center"/>
            </w:pPr>
            <w:r w:rsidRPr="008A0812">
              <w:t>3</w:t>
            </w:r>
          </w:p>
        </w:tc>
      </w:tr>
      <w:tr w:rsidR="0001683D" w:rsidRPr="008A0812" w14:paraId="11B1524B" w14:textId="77777777" w:rsidTr="0001683D">
        <w:trPr>
          <w:trHeight w:val="288"/>
        </w:trPr>
        <w:tc>
          <w:tcPr>
            <w:tcW w:w="2602" w:type="dxa"/>
          </w:tcPr>
          <w:p w14:paraId="36D20F1B" w14:textId="4764ED5B" w:rsidR="0001683D" w:rsidRPr="008A0812" w:rsidRDefault="0001683D" w:rsidP="0001683D">
            <w:pPr>
              <w:overflowPunct/>
              <w:autoSpaceDE/>
              <w:autoSpaceDN/>
              <w:adjustRightInd/>
            </w:pPr>
            <w:r w:rsidRPr="008A0812">
              <w:t>Solids Treatment</w:t>
            </w:r>
          </w:p>
        </w:tc>
        <w:tc>
          <w:tcPr>
            <w:tcW w:w="5220" w:type="dxa"/>
          </w:tcPr>
          <w:p w14:paraId="339A5C05" w14:textId="05F29693" w:rsidR="0001683D" w:rsidRPr="008A0812" w:rsidRDefault="0001683D" w:rsidP="0001683D">
            <w:pPr>
              <w:overflowPunct/>
              <w:autoSpaceDE/>
              <w:autoSpaceDN/>
              <w:adjustRightInd/>
            </w:pPr>
            <w:r w:rsidRPr="008A0812">
              <w:t>Dissolved Air Flotation Thickener (DAFT) 2</w:t>
            </w:r>
          </w:p>
        </w:tc>
        <w:tc>
          <w:tcPr>
            <w:tcW w:w="1522" w:type="dxa"/>
          </w:tcPr>
          <w:p w14:paraId="43C90428" w14:textId="46874910" w:rsidR="0001683D" w:rsidRPr="008A0812" w:rsidRDefault="0001683D" w:rsidP="0001683D">
            <w:pPr>
              <w:overflowPunct/>
              <w:autoSpaceDE/>
              <w:autoSpaceDN/>
              <w:adjustRightInd/>
              <w:jc w:val="center"/>
            </w:pPr>
            <w:r w:rsidRPr="008A0812">
              <w:t>3</w:t>
            </w:r>
          </w:p>
        </w:tc>
      </w:tr>
      <w:tr w:rsidR="0001683D" w:rsidRPr="008A0812" w14:paraId="764B5782" w14:textId="77777777" w:rsidTr="0001683D">
        <w:trPr>
          <w:trHeight w:val="288"/>
        </w:trPr>
        <w:tc>
          <w:tcPr>
            <w:tcW w:w="2602" w:type="dxa"/>
          </w:tcPr>
          <w:p w14:paraId="0964614A" w14:textId="4F0AC57A" w:rsidR="0001683D" w:rsidRPr="008A0812" w:rsidRDefault="0001683D" w:rsidP="0001683D">
            <w:pPr>
              <w:overflowPunct/>
              <w:autoSpaceDE/>
              <w:autoSpaceDN/>
              <w:adjustRightInd/>
            </w:pPr>
            <w:r w:rsidRPr="008A0812">
              <w:t>Solids Treatment</w:t>
            </w:r>
          </w:p>
        </w:tc>
        <w:tc>
          <w:tcPr>
            <w:tcW w:w="5220" w:type="dxa"/>
          </w:tcPr>
          <w:p w14:paraId="6AF50D5A" w14:textId="6B46AAEA" w:rsidR="0001683D" w:rsidRPr="008A0812" w:rsidRDefault="0001683D" w:rsidP="0001683D">
            <w:pPr>
              <w:overflowPunct/>
              <w:autoSpaceDE/>
              <w:autoSpaceDN/>
              <w:adjustRightInd/>
            </w:pPr>
            <w:r w:rsidRPr="008A0812">
              <w:t>Dissolved Air Flotation Thickener (DAFT) 4</w:t>
            </w:r>
          </w:p>
        </w:tc>
        <w:tc>
          <w:tcPr>
            <w:tcW w:w="1522" w:type="dxa"/>
          </w:tcPr>
          <w:p w14:paraId="560E1BBF" w14:textId="1117CBCC" w:rsidR="0001683D" w:rsidRPr="008A0812" w:rsidRDefault="0001683D" w:rsidP="0001683D">
            <w:pPr>
              <w:overflowPunct/>
              <w:autoSpaceDE/>
              <w:autoSpaceDN/>
              <w:adjustRightInd/>
              <w:jc w:val="center"/>
            </w:pPr>
            <w:r w:rsidRPr="008A0812">
              <w:t>3</w:t>
            </w:r>
          </w:p>
        </w:tc>
      </w:tr>
      <w:tr w:rsidR="0001683D" w:rsidRPr="008A0812" w14:paraId="643CBA93" w14:textId="77777777" w:rsidTr="0001683D">
        <w:trPr>
          <w:trHeight w:val="288"/>
        </w:trPr>
        <w:tc>
          <w:tcPr>
            <w:tcW w:w="2602" w:type="dxa"/>
          </w:tcPr>
          <w:p w14:paraId="1BD5EF8A" w14:textId="58F1FD17" w:rsidR="0001683D" w:rsidRPr="008A0812" w:rsidRDefault="0001683D" w:rsidP="0001683D">
            <w:pPr>
              <w:overflowPunct/>
              <w:autoSpaceDE/>
              <w:autoSpaceDN/>
              <w:adjustRightInd/>
            </w:pPr>
            <w:r w:rsidRPr="008A0812">
              <w:t>Solids Treatment</w:t>
            </w:r>
          </w:p>
        </w:tc>
        <w:tc>
          <w:tcPr>
            <w:tcW w:w="5220" w:type="dxa"/>
          </w:tcPr>
          <w:p w14:paraId="79532FA9" w14:textId="56874D18" w:rsidR="0001683D" w:rsidRPr="008A0812" w:rsidRDefault="0001683D" w:rsidP="0001683D">
            <w:pPr>
              <w:overflowPunct/>
              <w:autoSpaceDE/>
              <w:autoSpaceDN/>
              <w:adjustRightInd/>
            </w:pPr>
            <w:r w:rsidRPr="008A0812">
              <w:t>North Digested Sludge Storage Tank</w:t>
            </w:r>
          </w:p>
        </w:tc>
        <w:tc>
          <w:tcPr>
            <w:tcW w:w="1522" w:type="dxa"/>
          </w:tcPr>
          <w:p w14:paraId="07585EE2" w14:textId="1FA58795" w:rsidR="0001683D" w:rsidRPr="008A0812" w:rsidRDefault="0001683D" w:rsidP="0001683D">
            <w:pPr>
              <w:overflowPunct/>
              <w:autoSpaceDE/>
              <w:autoSpaceDN/>
              <w:adjustRightInd/>
              <w:jc w:val="center"/>
            </w:pPr>
            <w:r w:rsidRPr="008A0812">
              <w:t>2</w:t>
            </w:r>
          </w:p>
        </w:tc>
      </w:tr>
      <w:tr w:rsidR="0001683D" w:rsidRPr="008A0812" w14:paraId="4FF1C455" w14:textId="77777777" w:rsidTr="0001683D">
        <w:trPr>
          <w:trHeight w:val="288"/>
        </w:trPr>
        <w:tc>
          <w:tcPr>
            <w:tcW w:w="2602" w:type="dxa"/>
          </w:tcPr>
          <w:p w14:paraId="72AE9B55" w14:textId="2C4F2E41" w:rsidR="0001683D" w:rsidRPr="008A0812" w:rsidRDefault="0001683D" w:rsidP="0001683D">
            <w:pPr>
              <w:overflowPunct/>
              <w:autoSpaceDE/>
              <w:autoSpaceDN/>
              <w:adjustRightInd/>
            </w:pPr>
            <w:r w:rsidRPr="008A0812">
              <w:t>Solids Treatment</w:t>
            </w:r>
          </w:p>
        </w:tc>
        <w:tc>
          <w:tcPr>
            <w:tcW w:w="5220" w:type="dxa"/>
          </w:tcPr>
          <w:p w14:paraId="2F89FE39" w14:textId="74AE4642" w:rsidR="0001683D" w:rsidRPr="008A0812" w:rsidRDefault="0001683D" w:rsidP="0001683D">
            <w:pPr>
              <w:overflowPunct/>
              <w:autoSpaceDE/>
              <w:autoSpaceDN/>
              <w:adjustRightInd/>
            </w:pPr>
            <w:r w:rsidRPr="008A0812">
              <w:t>South Digested Sludge Storage Tank</w:t>
            </w:r>
          </w:p>
        </w:tc>
        <w:tc>
          <w:tcPr>
            <w:tcW w:w="1522" w:type="dxa"/>
          </w:tcPr>
          <w:p w14:paraId="5BEA8B60" w14:textId="5CCA393A" w:rsidR="0001683D" w:rsidRPr="008A0812" w:rsidRDefault="0001683D" w:rsidP="0001683D">
            <w:pPr>
              <w:overflowPunct/>
              <w:autoSpaceDE/>
              <w:autoSpaceDN/>
              <w:adjustRightInd/>
              <w:jc w:val="center"/>
            </w:pPr>
            <w:r w:rsidRPr="008A0812">
              <w:t>2</w:t>
            </w:r>
          </w:p>
        </w:tc>
      </w:tr>
      <w:tr w:rsidR="0001683D" w:rsidRPr="008A0812" w14:paraId="5E713E32" w14:textId="77777777" w:rsidTr="0001683D">
        <w:trPr>
          <w:trHeight w:val="288"/>
        </w:trPr>
        <w:tc>
          <w:tcPr>
            <w:tcW w:w="2602" w:type="dxa"/>
          </w:tcPr>
          <w:p w14:paraId="31C85E63" w14:textId="55024B99" w:rsidR="0001683D" w:rsidRPr="008A0812" w:rsidRDefault="0001683D" w:rsidP="0001683D">
            <w:pPr>
              <w:overflowPunct/>
              <w:autoSpaceDE/>
              <w:autoSpaceDN/>
              <w:adjustRightInd/>
            </w:pPr>
            <w:r w:rsidRPr="008A0812">
              <w:t>Solids Treatment</w:t>
            </w:r>
          </w:p>
        </w:tc>
        <w:tc>
          <w:tcPr>
            <w:tcW w:w="5220" w:type="dxa"/>
          </w:tcPr>
          <w:p w14:paraId="6ED9BF79" w14:textId="541B0B24" w:rsidR="0001683D" w:rsidRPr="008A0812" w:rsidRDefault="0001683D" w:rsidP="0001683D">
            <w:pPr>
              <w:overflowPunct/>
              <w:autoSpaceDE/>
              <w:autoSpaceDN/>
              <w:adjustRightInd/>
            </w:pPr>
            <w:r w:rsidRPr="008A0812">
              <w:t>Digester B</w:t>
            </w:r>
          </w:p>
        </w:tc>
        <w:tc>
          <w:tcPr>
            <w:tcW w:w="1522" w:type="dxa"/>
          </w:tcPr>
          <w:p w14:paraId="3293780C" w14:textId="2C8746C3" w:rsidR="0001683D" w:rsidRPr="008A0812" w:rsidRDefault="0001683D" w:rsidP="0001683D">
            <w:pPr>
              <w:overflowPunct/>
              <w:autoSpaceDE/>
              <w:autoSpaceDN/>
              <w:adjustRightInd/>
              <w:jc w:val="center"/>
            </w:pPr>
            <w:r w:rsidRPr="008A0812">
              <w:t>1</w:t>
            </w:r>
          </w:p>
        </w:tc>
      </w:tr>
      <w:tr w:rsidR="0001683D" w:rsidRPr="008A0812" w14:paraId="335FE5F3" w14:textId="77777777" w:rsidTr="0001683D">
        <w:trPr>
          <w:trHeight w:val="288"/>
        </w:trPr>
        <w:tc>
          <w:tcPr>
            <w:tcW w:w="2602" w:type="dxa"/>
          </w:tcPr>
          <w:p w14:paraId="4A5D9175" w14:textId="2D687FDA" w:rsidR="0001683D" w:rsidRPr="008A0812" w:rsidRDefault="0001683D" w:rsidP="0001683D">
            <w:pPr>
              <w:overflowPunct/>
              <w:autoSpaceDE/>
              <w:autoSpaceDN/>
              <w:adjustRightInd/>
            </w:pPr>
            <w:r w:rsidRPr="008A0812">
              <w:t>Secondary</w:t>
            </w:r>
          </w:p>
        </w:tc>
        <w:tc>
          <w:tcPr>
            <w:tcW w:w="5220" w:type="dxa"/>
          </w:tcPr>
          <w:p w14:paraId="02A20515" w14:textId="1CFD935B" w:rsidR="0001683D" w:rsidRPr="008A0812" w:rsidRDefault="0001683D" w:rsidP="0001683D">
            <w:pPr>
              <w:overflowPunct/>
              <w:autoSpaceDE/>
              <w:autoSpaceDN/>
              <w:adjustRightInd/>
            </w:pPr>
            <w:r w:rsidRPr="008A0812">
              <w:t>Roots Blower Building</w:t>
            </w:r>
          </w:p>
        </w:tc>
        <w:tc>
          <w:tcPr>
            <w:tcW w:w="1522" w:type="dxa"/>
          </w:tcPr>
          <w:p w14:paraId="1CA9A65C" w14:textId="470AD6A3" w:rsidR="0001683D" w:rsidRPr="008A0812" w:rsidRDefault="0001683D" w:rsidP="0001683D">
            <w:pPr>
              <w:overflowPunct/>
              <w:autoSpaceDE/>
              <w:autoSpaceDN/>
              <w:adjustRightInd/>
              <w:jc w:val="center"/>
            </w:pPr>
            <w:r w:rsidRPr="008A0812">
              <w:t>5</w:t>
            </w:r>
          </w:p>
        </w:tc>
      </w:tr>
      <w:tr w:rsidR="0001683D" w:rsidRPr="008A0812" w14:paraId="5C4378BE" w14:textId="77777777" w:rsidTr="0001683D">
        <w:trPr>
          <w:trHeight w:val="288"/>
        </w:trPr>
        <w:tc>
          <w:tcPr>
            <w:tcW w:w="2602" w:type="dxa"/>
          </w:tcPr>
          <w:p w14:paraId="4405B88B" w14:textId="05D8F71F" w:rsidR="0001683D" w:rsidRPr="008A0812" w:rsidRDefault="0001683D" w:rsidP="0001683D">
            <w:pPr>
              <w:overflowPunct/>
              <w:autoSpaceDE/>
              <w:autoSpaceDN/>
              <w:adjustRightInd/>
            </w:pPr>
            <w:r w:rsidRPr="008A0812">
              <w:t>Secondary</w:t>
            </w:r>
          </w:p>
        </w:tc>
        <w:tc>
          <w:tcPr>
            <w:tcW w:w="5220" w:type="dxa"/>
          </w:tcPr>
          <w:p w14:paraId="2A858B95" w14:textId="6F8D13CF" w:rsidR="0001683D" w:rsidRPr="008A0812" w:rsidRDefault="0001683D" w:rsidP="0001683D">
            <w:pPr>
              <w:overflowPunct/>
              <w:autoSpaceDE/>
              <w:autoSpaceDN/>
              <w:adjustRightInd/>
            </w:pPr>
            <w:r w:rsidRPr="008A0812">
              <w:t>Unit 2 Chlorine Contact Basins</w:t>
            </w:r>
          </w:p>
        </w:tc>
        <w:tc>
          <w:tcPr>
            <w:tcW w:w="1522" w:type="dxa"/>
          </w:tcPr>
          <w:p w14:paraId="604899DC" w14:textId="123DEB35" w:rsidR="0001683D" w:rsidRPr="008A0812" w:rsidRDefault="0001683D" w:rsidP="0001683D">
            <w:pPr>
              <w:overflowPunct/>
              <w:autoSpaceDE/>
              <w:autoSpaceDN/>
              <w:adjustRightInd/>
              <w:jc w:val="center"/>
            </w:pPr>
            <w:r w:rsidRPr="008A0812">
              <w:t>5</w:t>
            </w:r>
          </w:p>
        </w:tc>
      </w:tr>
      <w:tr w:rsidR="0001683D" w:rsidRPr="008A0812" w14:paraId="20FBC148" w14:textId="77777777" w:rsidTr="0001683D">
        <w:trPr>
          <w:trHeight w:val="288"/>
        </w:trPr>
        <w:tc>
          <w:tcPr>
            <w:tcW w:w="2602" w:type="dxa"/>
          </w:tcPr>
          <w:p w14:paraId="7A7C3CFF" w14:textId="6C74FF3B" w:rsidR="0001683D" w:rsidRPr="008A0812" w:rsidRDefault="0001683D" w:rsidP="0001683D">
            <w:pPr>
              <w:overflowPunct/>
              <w:autoSpaceDE/>
              <w:autoSpaceDN/>
              <w:adjustRightInd/>
            </w:pPr>
            <w:r w:rsidRPr="008A0812">
              <w:t>Secondary</w:t>
            </w:r>
          </w:p>
        </w:tc>
        <w:tc>
          <w:tcPr>
            <w:tcW w:w="5220" w:type="dxa"/>
          </w:tcPr>
          <w:p w14:paraId="0B3CFCC6" w14:textId="5F70765D" w:rsidR="0001683D" w:rsidRPr="008A0812" w:rsidRDefault="0001683D" w:rsidP="0001683D">
            <w:pPr>
              <w:overflowPunct/>
              <w:autoSpaceDE/>
              <w:autoSpaceDN/>
              <w:adjustRightInd/>
            </w:pPr>
            <w:r w:rsidRPr="008A0812">
              <w:t>RS-1 Pump Station</w:t>
            </w:r>
          </w:p>
        </w:tc>
        <w:tc>
          <w:tcPr>
            <w:tcW w:w="1522" w:type="dxa"/>
          </w:tcPr>
          <w:p w14:paraId="3DB9EE67" w14:textId="7879B868" w:rsidR="0001683D" w:rsidRPr="008A0812" w:rsidRDefault="0001683D" w:rsidP="0001683D">
            <w:pPr>
              <w:overflowPunct/>
              <w:autoSpaceDE/>
              <w:autoSpaceDN/>
              <w:adjustRightInd/>
              <w:jc w:val="center"/>
            </w:pPr>
            <w:r w:rsidRPr="008A0812">
              <w:t>4</w:t>
            </w:r>
          </w:p>
        </w:tc>
      </w:tr>
      <w:tr w:rsidR="0001683D" w:rsidRPr="008A0812" w14:paraId="1026A63C" w14:textId="77777777" w:rsidTr="0001683D">
        <w:trPr>
          <w:trHeight w:val="288"/>
        </w:trPr>
        <w:tc>
          <w:tcPr>
            <w:tcW w:w="2602" w:type="dxa"/>
          </w:tcPr>
          <w:p w14:paraId="5F67B790" w14:textId="70A459D3" w:rsidR="0001683D" w:rsidRPr="008A0812" w:rsidRDefault="0001683D" w:rsidP="0001683D">
            <w:pPr>
              <w:overflowPunct/>
              <w:autoSpaceDE/>
              <w:autoSpaceDN/>
              <w:adjustRightInd/>
            </w:pPr>
            <w:r w:rsidRPr="008A0812">
              <w:t>Secondary</w:t>
            </w:r>
          </w:p>
        </w:tc>
        <w:tc>
          <w:tcPr>
            <w:tcW w:w="5220" w:type="dxa"/>
          </w:tcPr>
          <w:p w14:paraId="28FA082C" w14:textId="6C16F128" w:rsidR="0001683D" w:rsidRPr="008A0812" w:rsidRDefault="0001683D" w:rsidP="0001683D">
            <w:pPr>
              <w:overflowPunct/>
              <w:autoSpaceDE/>
              <w:autoSpaceDN/>
              <w:adjustRightInd/>
            </w:pPr>
            <w:r w:rsidRPr="008A0812">
              <w:t>Unit 1 Aeration Basins</w:t>
            </w:r>
          </w:p>
        </w:tc>
        <w:tc>
          <w:tcPr>
            <w:tcW w:w="1522" w:type="dxa"/>
          </w:tcPr>
          <w:p w14:paraId="1B18594D" w14:textId="472E6EF6" w:rsidR="0001683D" w:rsidRPr="008A0812" w:rsidRDefault="0001683D" w:rsidP="0001683D">
            <w:pPr>
              <w:overflowPunct/>
              <w:autoSpaceDE/>
              <w:autoSpaceDN/>
              <w:adjustRightInd/>
              <w:jc w:val="center"/>
            </w:pPr>
            <w:r w:rsidRPr="008A0812">
              <w:t>4</w:t>
            </w:r>
          </w:p>
        </w:tc>
      </w:tr>
      <w:tr w:rsidR="0001683D" w:rsidRPr="008A0812" w14:paraId="2F2B60CA" w14:textId="77777777" w:rsidTr="0001683D">
        <w:trPr>
          <w:trHeight w:val="288"/>
        </w:trPr>
        <w:tc>
          <w:tcPr>
            <w:tcW w:w="2602" w:type="dxa"/>
          </w:tcPr>
          <w:p w14:paraId="7AB54DA8" w14:textId="5B63AEB4" w:rsidR="0001683D" w:rsidRPr="008A0812" w:rsidRDefault="0001683D" w:rsidP="0001683D">
            <w:pPr>
              <w:overflowPunct/>
              <w:autoSpaceDE/>
              <w:autoSpaceDN/>
              <w:adjustRightInd/>
            </w:pPr>
            <w:r w:rsidRPr="008A0812">
              <w:t>Secondary</w:t>
            </w:r>
          </w:p>
        </w:tc>
        <w:tc>
          <w:tcPr>
            <w:tcW w:w="5220" w:type="dxa"/>
          </w:tcPr>
          <w:p w14:paraId="18711EBE" w14:textId="1A321958" w:rsidR="0001683D" w:rsidRPr="008A0812" w:rsidRDefault="0001683D" w:rsidP="0001683D">
            <w:pPr>
              <w:overflowPunct/>
              <w:autoSpaceDE/>
              <w:autoSpaceDN/>
              <w:adjustRightInd/>
            </w:pPr>
            <w:r w:rsidRPr="008A0812">
              <w:t>Unit 1 East Secondary Clarifier</w:t>
            </w:r>
          </w:p>
        </w:tc>
        <w:tc>
          <w:tcPr>
            <w:tcW w:w="1522" w:type="dxa"/>
          </w:tcPr>
          <w:p w14:paraId="46B52A7A" w14:textId="0F02F24E" w:rsidR="0001683D" w:rsidRPr="008A0812" w:rsidRDefault="0001683D" w:rsidP="0001683D">
            <w:pPr>
              <w:overflowPunct/>
              <w:autoSpaceDE/>
              <w:autoSpaceDN/>
              <w:adjustRightInd/>
              <w:jc w:val="center"/>
            </w:pPr>
            <w:r w:rsidRPr="008A0812">
              <w:t>4</w:t>
            </w:r>
          </w:p>
        </w:tc>
      </w:tr>
      <w:tr w:rsidR="0001683D" w:rsidRPr="008A0812" w14:paraId="0C5B0D86" w14:textId="77777777" w:rsidTr="0001683D">
        <w:trPr>
          <w:trHeight w:val="288"/>
        </w:trPr>
        <w:tc>
          <w:tcPr>
            <w:tcW w:w="2602" w:type="dxa"/>
          </w:tcPr>
          <w:p w14:paraId="6FBC2C3D" w14:textId="7F1649B0" w:rsidR="0001683D" w:rsidRPr="008A0812" w:rsidRDefault="0001683D" w:rsidP="0001683D">
            <w:pPr>
              <w:overflowPunct/>
              <w:autoSpaceDE/>
              <w:autoSpaceDN/>
              <w:adjustRightInd/>
            </w:pPr>
            <w:r w:rsidRPr="008A0812">
              <w:t>Secondary</w:t>
            </w:r>
          </w:p>
        </w:tc>
        <w:tc>
          <w:tcPr>
            <w:tcW w:w="5220" w:type="dxa"/>
          </w:tcPr>
          <w:p w14:paraId="20FA0744" w14:textId="1515DD5A" w:rsidR="0001683D" w:rsidRPr="008A0812" w:rsidRDefault="0001683D" w:rsidP="0001683D">
            <w:pPr>
              <w:overflowPunct/>
              <w:autoSpaceDE/>
              <w:autoSpaceDN/>
              <w:adjustRightInd/>
            </w:pPr>
            <w:r w:rsidRPr="008A0812">
              <w:t>Unit 1 West Secondary Clarifier</w:t>
            </w:r>
          </w:p>
        </w:tc>
        <w:tc>
          <w:tcPr>
            <w:tcW w:w="1522" w:type="dxa"/>
          </w:tcPr>
          <w:p w14:paraId="32F56CC8" w14:textId="02D97547" w:rsidR="0001683D" w:rsidRPr="008A0812" w:rsidRDefault="0001683D" w:rsidP="0001683D">
            <w:pPr>
              <w:overflowPunct/>
              <w:autoSpaceDE/>
              <w:autoSpaceDN/>
              <w:adjustRightInd/>
              <w:jc w:val="center"/>
            </w:pPr>
            <w:r w:rsidRPr="008A0812">
              <w:t>4</w:t>
            </w:r>
          </w:p>
        </w:tc>
      </w:tr>
      <w:tr w:rsidR="0001683D" w:rsidRPr="008A0812" w14:paraId="7D2578E2" w14:textId="77777777" w:rsidTr="0001683D">
        <w:trPr>
          <w:trHeight w:val="288"/>
        </w:trPr>
        <w:tc>
          <w:tcPr>
            <w:tcW w:w="2602" w:type="dxa"/>
          </w:tcPr>
          <w:p w14:paraId="4DAA2618" w14:textId="6B74E561" w:rsidR="0001683D" w:rsidRPr="008A0812" w:rsidRDefault="0001683D" w:rsidP="0001683D">
            <w:pPr>
              <w:overflowPunct/>
              <w:autoSpaceDE/>
              <w:autoSpaceDN/>
              <w:adjustRightInd/>
            </w:pPr>
            <w:r w:rsidRPr="008A0812">
              <w:t>Secondary</w:t>
            </w:r>
          </w:p>
        </w:tc>
        <w:tc>
          <w:tcPr>
            <w:tcW w:w="5220" w:type="dxa"/>
          </w:tcPr>
          <w:p w14:paraId="13843EB0" w14:textId="7E90AA1B" w:rsidR="0001683D" w:rsidRPr="008A0812" w:rsidRDefault="0001683D" w:rsidP="0001683D">
            <w:pPr>
              <w:overflowPunct/>
              <w:autoSpaceDE/>
              <w:autoSpaceDN/>
              <w:adjustRightInd/>
            </w:pPr>
            <w:r w:rsidRPr="008A0812">
              <w:t>Unit 2 North Aeration Basins</w:t>
            </w:r>
          </w:p>
        </w:tc>
        <w:tc>
          <w:tcPr>
            <w:tcW w:w="1522" w:type="dxa"/>
          </w:tcPr>
          <w:p w14:paraId="5365A2DA" w14:textId="0EDAC5EC" w:rsidR="0001683D" w:rsidRPr="008A0812" w:rsidRDefault="0001683D" w:rsidP="0001683D">
            <w:pPr>
              <w:overflowPunct/>
              <w:autoSpaceDE/>
              <w:autoSpaceDN/>
              <w:adjustRightInd/>
              <w:jc w:val="center"/>
            </w:pPr>
            <w:r w:rsidRPr="008A0812">
              <w:t>4</w:t>
            </w:r>
          </w:p>
        </w:tc>
      </w:tr>
      <w:tr w:rsidR="0001683D" w:rsidRPr="008A0812" w14:paraId="6EEB47C4" w14:textId="77777777" w:rsidTr="0001683D">
        <w:trPr>
          <w:trHeight w:val="288"/>
        </w:trPr>
        <w:tc>
          <w:tcPr>
            <w:tcW w:w="2602" w:type="dxa"/>
          </w:tcPr>
          <w:p w14:paraId="5909A6A4" w14:textId="79E7A8CD" w:rsidR="0001683D" w:rsidRPr="008A0812" w:rsidRDefault="0001683D" w:rsidP="0001683D">
            <w:pPr>
              <w:overflowPunct/>
              <w:autoSpaceDE/>
              <w:autoSpaceDN/>
              <w:adjustRightInd/>
            </w:pPr>
            <w:r w:rsidRPr="008A0812">
              <w:t>Secondary</w:t>
            </w:r>
          </w:p>
        </w:tc>
        <w:tc>
          <w:tcPr>
            <w:tcW w:w="5220" w:type="dxa"/>
          </w:tcPr>
          <w:p w14:paraId="624ACDFF" w14:textId="4743B7E9" w:rsidR="0001683D" w:rsidRPr="008A0812" w:rsidRDefault="0001683D" w:rsidP="0001683D">
            <w:pPr>
              <w:overflowPunct/>
              <w:autoSpaceDE/>
              <w:autoSpaceDN/>
              <w:adjustRightInd/>
            </w:pPr>
            <w:r w:rsidRPr="008A0812">
              <w:t>Unit 2 North Secondary Clarifier</w:t>
            </w:r>
          </w:p>
        </w:tc>
        <w:tc>
          <w:tcPr>
            <w:tcW w:w="1522" w:type="dxa"/>
          </w:tcPr>
          <w:p w14:paraId="6ACDA978" w14:textId="0BF32DCE" w:rsidR="0001683D" w:rsidRPr="008A0812" w:rsidRDefault="0001683D" w:rsidP="0001683D">
            <w:pPr>
              <w:overflowPunct/>
              <w:autoSpaceDE/>
              <w:autoSpaceDN/>
              <w:adjustRightInd/>
              <w:jc w:val="center"/>
            </w:pPr>
            <w:r w:rsidRPr="008A0812">
              <w:t>4</w:t>
            </w:r>
          </w:p>
        </w:tc>
      </w:tr>
      <w:tr w:rsidR="0001683D" w:rsidRPr="008A0812" w14:paraId="4D36E2A2" w14:textId="77777777" w:rsidTr="0001683D">
        <w:trPr>
          <w:trHeight w:val="288"/>
        </w:trPr>
        <w:tc>
          <w:tcPr>
            <w:tcW w:w="2602" w:type="dxa"/>
          </w:tcPr>
          <w:p w14:paraId="448BB455" w14:textId="0B30E83E" w:rsidR="0001683D" w:rsidRPr="008A0812" w:rsidRDefault="0001683D" w:rsidP="0001683D">
            <w:pPr>
              <w:overflowPunct/>
              <w:autoSpaceDE/>
              <w:autoSpaceDN/>
              <w:adjustRightInd/>
            </w:pPr>
            <w:r w:rsidRPr="008A0812">
              <w:t>Secondary</w:t>
            </w:r>
          </w:p>
        </w:tc>
        <w:tc>
          <w:tcPr>
            <w:tcW w:w="5220" w:type="dxa"/>
          </w:tcPr>
          <w:p w14:paraId="3E920D3A" w14:textId="6E4A5309" w:rsidR="0001683D" w:rsidRPr="008A0812" w:rsidRDefault="0001683D" w:rsidP="0001683D">
            <w:pPr>
              <w:overflowPunct/>
              <w:autoSpaceDE/>
              <w:autoSpaceDN/>
              <w:adjustRightInd/>
            </w:pPr>
            <w:r w:rsidRPr="008A0812">
              <w:t>Unit 2 Pump Station</w:t>
            </w:r>
          </w:p>
        </w:tc>
        <w:tc>
          <w:tcPr>
            <w:tcW w:w="1522" w:type="dxa"/>
          </w:tcPr>
          <w:p w14:paraId="04124D94" w14:textId="3460692C" w:rsidR="0001683D" w:rsidRPr="008A0812" w:rsidRDefault="0001683D" w:rsidP="0001683D">
            <w:pPr>
              <w:overflowPunct/>
              <w:autoSpaceDE/>
              <w:autoSpaceDN/>
              <w:adjustRightInd/>
              <w:jc w:val="center"/>
            </w:pPr>
            <w:r w:rsidRPr="008A0812">
              <w:t>4</w:t>
            </w:r>
          </w:p>
        </w:tc>
      </w:tr>
      <w:tr w:rsidR="0001683D" w:rsidRPr="008A0812" w14:paraId="61838283" w14:textId="77777777" w:rsidTr="0001683D">
        <w:trPr>
          <w:trHeight w:val="288"/>
        </w:trPr>
        <w:tc>
          <w:tcPr>
            <w:tcW w:w="2602" w:type="dxa"/>
          </w:tcPr>
          <w:p w14:paraId="4FBCEE19" w14:textId="71AF7BD9" w:rsidR="0001683D" w:rsidRPr="008A0812" w:rsidRDefault="0001683D" w:rsidP="0001683D">
            <w:pPr>
              <w:overflowPunct/>
              <w:autoSpaceDE/>
              <w:autoSpaceDN/>
              <w:adjustRightInd/>
            </w:pPr>
            <w:r w:rsidRPr="008A0812">
              <w:t>Secondary</w:t>
            </w:r>
          </w:p>
        </w:tc>
        <w:tc>
          <w:tcPr>
            <w:tcW w:w="5220" w:type="dxa"/>
          </w:tcPr>
          <w:p w14:paraId="1E070A94" w14:textId="742F1CE1" w:rsidR="0001683D" w:rsidRPr="008A0812" w:rsidRDefault="0001683D" w:rsidP="0001683D">
            <w:pPr>
              <w:overflowPunct/>
              <w:autoSpaceDE/>
              <w:autoSpaceDN/>
              <w:adjustRightInd/>
            </w:pPr>
            <w:r w:rsidRPr="008A0812">
              <w:t>Unit 2 South Aeration Basins</w:t>
            </w:r>
          </w:p>
        </w:tc>
        <w:tc>
          <w:tcPr>
            <w:tcW w:w="1522" w:type="dxa"/>
          </w:tcPr>
          <w:p w14:paraId="0F2D8CE9" w14:textId="4E73D70D" w:rsidR="0001683D" w:rsidRPr="008A0812" w:rsidRDefault="0001683D" w:rsidP="0001683D">
            <w:pPr>
              <w:overflowPunct/>
              <w:autoSpaceDE/>
              <w:autoSpaceDN/>
              <w:adjustRightInd/>
              <w:jc w:val="center"/>
            </w:pPr>
            <w:r w:rsidRPr="008A0812">
              <w:t>4</w:t>
            </w:r>
          </w:p>
        </w:tc>
      </w:tr>
      <w:tr w:rsidR="0001683D" w:rsidRPr="008A0812" w14:paraId="45681B29" w14:textId="77777777" w:rsidTr="0001683D">
        <w:trPr>
          <w:trHeight w:val="288"/>
        </w:trPr>
        <w:tc>
          <w:tcPr>
            <w:tcW w:w="2602" w:type="dxa"/>
          </w:tcPr>
          <w:p w14:paraId="73B6AFA4" w14:textId="4D0DFC8B" w:rsidR="0001683D" w:rsidRPr="008A0812" w:rsidRDefault="0001683D" w:rsidP="0001683D">
            <w:pPr>
              <w:overflowPunct/>
              <w:autoSpaceDE/>
              <w:autoSpaceDN/>
              <w:adjustRightInd/>
            </w:pPr>
            <w:r w:rsidRPr="008A0812">
              <w:t>Secondary</w:t>
            </w:r>
          </w:p>
        </w:tc>
        <w:tc>
          <w:tcPr>
            <w:tcW w:w="5220" w:type="dxa"/>
          </w:tcPr>
          <w:p w14:paraId="427D1579" w14:textId="2C9E2CC6" w:rsidR="0001683D" w:rsidRPr="008A0812" w:rsidRDefault="0001683D" w:rsidP="0001683D">
            <w:pPr>
              <w:overflowPunct/>
              <w:autoSpaceDE/>
              <w:autoSpaceDN/>
              <w:adjustRightInd/>
            </w:pPr>
            <w:r w:rsidRPr="008A0812">
              <w:t>Unit 2 South Secondary Clarifier</w:t>
            </w:r>
          </w:p>
        </w:tc>
        <w:tc>
          <w:tcPr>
            <w:tcW w:w="1522" w:type="dxa"/>
          </w:tcPr>
          <w:p w14:paraId="53AD9634" w14:textId="4B287E52" w:rsidR="0001683D" w:rsidRPr="008A0812" w:rsidRDefault="0001683D" w:rsidP="0001683D">
            <w:pPr>
              <w:overflowPunct/>
              <w:autoSpaceDE/>
              <w:autoSpaceDN/>
              <w:adjustRightInd/>
              <w:jc w:val="center"/>
            </w:pPr>
            <w:r w:rsidRPr="008A0812">
              <w:t>4</w:t>
            </w:r>
          </w:p>
        </w:tc>
      </w:tr>
      <w:tr w:rsidR="0001683D" w:rsidRPr="008A0812" w14:paraId="2C3FD407" w14:textId="77777777" w:rsidTr="0001683D">
        <w:trPr>
          <w:trHeight w:val="288"/>
        </w:trPr>
        <w:tc>
          <w:tcPr>
            <w:tcW w:w="2602" w:type="dxa"/>
          </w:tcPr>
          <w:p w14:paraId="102232F9" w14:textId="6B82FA2F" w:rsidR="0001683D" w:rsidRPr="008A0812" w:rsidRDefault="0001683D" w:rsidP="0001683D">
            <w:pPr>
              <w:overflowPunct/>
              <w:autoSpaceDE/>
              <w:autoSpaceDN/>
              <w:adjustRightInd/>
            </w:pPr>
            <w:r w:rsidRPr="008A0812">
              <w:t>Secondary</w:t>
            </w:r>
          </w:p>
        </w:tc>
        <w:tc>
          <w:tcPr>
            <w:tcW w:w="5220" w:type="dxa"/>
          </w:tcPr>
          <w:p w14:paraId="0B0A2B8A" w14:textId="77D23A11" w:rsidR="0001683D" w:rsidRPr="008A0812" w:rsidRDefault="0001683D" w:rsidP="0001683D">
            <w:pPr>
              <w:overflowPunct/>
              <w:autoSpaceDE/>
              <w:autoSpaceDN/>
              <w:adjustRightInd/>
            </w:pPr>
            <w:r w:rsidRPr="008A0812">
              <w:t>Nitrogen Removal Carousel</w:t>
            </w:r>
          </w:p>
        </w:tc>
        <w:tc>
          <w:tcPr>
            <w:tcW w:w="1522" w:type="dxa"/>
          </w:tcPr>
          <w:p w14:paraId="2034FFA3" w14:textId="0D024333" w:rsidR="0001683D" w:rsidRPr="008A0812" w:rsidRDefault="0001683D" w:rsidP="0001683D">
            <w:pPr>
              <w:overflowPunct/>
              <w:autoSpaceDE/>
              <w:autoSpaceDN/>
              <w:adjustRightInd/>
              <w:jc w:val="center"/>
            </w:pPr>
            <w:r w:rsidRPr="008A0812">
              <w:t>3</w:t>
            </w:r>
          </w:p>
        </w:tc>
      </w:tr>
      <w:tr w:rsidR="0001683D" w:rsidRPr="008A0812" w14:paraId="69BE824F" w14:textId="77777777" w:rsidTr="0001683D">
        <w:trPr>
          <w:trHeight w:val="288"/>
        </w:trPr>
        <w:tc>
          <w:tcPr>
            <w:tcW w:w="2602" w:type="dxa"/>
          </w:tcPr>
          <w:p w14:paraId="531161D8" w14:textId="2AD8B06E" w:rsidR="0001683D" w:rsidRPr="008A0812" w:rsidRDefault="0001683D" w:rsidP="0001683D">
            <w:pPr>
              <w:overflowPunct/>
              <w:autoSpaceDE/>
              <w:autoSpaceDN/>
              <w:adjustRightInd/>
            </w:pPr>
            <w:r w:rsidRPr="008A0812">
              <w:t>Secondary</w:t>
            </w:r>
          </w:p>
        </w:tc>
        <w:tc>
          <w:tcPr>
            <w:tcW w:w="5220" w:type="dxa"/>
          </w:tcPr>
          <w:p w14:paraId="5CE37A07" w14:textId="55F52894" w:rsidR="0001683D" w:rsidRPr="008A0812" w:rsidRDefault="0001683D" w:rsidP="0001683D">
            <w:pPr>
              <w:overflowPunct/>
              <w:autoSpaceDE/>
              <w:autoSpaceDN/>
              <w:adjustRightInd/>
            </w:pPr>
            <w:r w:rsidRPr="008A0812">
              <w:t>NRC Anoxic Basins</w:t>
            </w:r>
          </w:p>
        </w:tc>
        <w:tc>
          <w:tcPr>
            <w:tcW w:w="1522" w:type="dxa"/>
          </w:tcPr>
          <w:p w14:paraId="1DCD583B" w14:textId="39228D95" w:rsidR="0001683D" w:rsidRPr="008A0812" w:rsidRDefault="0001683D" w:rsidP="0001683D">
            <w:pPr>
              <w:overflowPunct/>
              <w:autoSpaceDE/>
              <w:autoSpaceDN/>
              <w:adjustRightInd/>
              <w:jc w:val="center"/>
            </w:pPr>
            <w:r w:rsidRPr="008A0812">
              <w:t>3</w:t>
            </w:r>
          </w:p>
        </w:tc>
      </w:tr>
      <w:tr w:rsidR="0001683D" w:rsidRPr="008A0812" w14:paraId="042BFA6A" w14:textId="77777777" w:rsidTr="0001683D">
        <w:trPr>
          <w:trHeight w:val="288"/>
        </w:trPr>
        <w:tc>
          <w:tcPr>
            <w:tcW w:w="2602" w:type="dxa"/>
          </w:tcPr>
          <w:p w14:paraId="2B9EF55A" w14:textId="7D9E6278" w:rsidR="0001683D" w:rsidRPr="008A0812" w:rsidRDefault="0001683D" w:rsidP="0001683D">
            <w:pPr>
              <w:overflowPunct/>
              <w:autoSpaceDE/>
              <w:autoSpaceDN/>
              <w:adjustRightInd/>
            </w:pPr>
            <w:r w:rsidRPr="008A0812">
              <w:t>Secondary</w:t>
            </w:r>
          </w:p>
        </w:tc>
        <w:tc>
          <w:tcPr>
            <w:tcW w:w="5220" w:type="dxa"/>
          </w:tcPr>
          <w:p w14:paraId="0C375630" w14:textId="40349187" w:rsidR="0001683D" w:rsidRPr="008A0812" w:rsidRDefault="0001683D" w:rsidP="0001683D">
            <w:pPr>
              <w:overflowPunct/>
              <w:autoSpaceDE/>
              <w:autoSpaceDN/>
              <w:adjustRightInd/>
            </w:pPr>
            <w:r w:rsidRPr="008A0812">
              <w:t>NRC Building</w:t>
            </w:r>
          </w:p>
        </w:tc>
        <w:tc>
          <w:tcPr>
            <w:tcW w:w="1522" w:type="dxa"/>
          </w:tcPr>
          <w:p w14:paraId="41F236C5" w14:textId="3BBFAC4E" w:rsidR="0001683D" w:rsidRPr="008A0812" w:rsidRDefault="0001683D" w:rsidP="0001683D">
            <w:pPr>
              <w:overflowPunct/>
              <w:autoSpaceDE/>
              <w:autoSpaceDN/>
              <w:adjustRightInd/>
              <w:jc w:val="center"/>
            </w:pPr>
            <w:r w:rsidRPr="008A0812">
              <w:t>3</w:t>
            </w:r>
          </w:p>
        </w:tc>
      </w:tr>
      <w:tr w:rsidR="0001683D" w:rsidRPr="008A0812" w14:paraId="2ACE51F3" w14:textId="77777777" w:rsidTr="0001683D">
        <w:trPr>
          <w:trHeight w:val="288"/>
        </w:trPr>
        <w:tc>
          <w:tcPr>
            <w:tcW w:w="2602" w:type="dxa"/>
          </w:tcPr>
          <w:p w14:paraId="7D5C42E7" w14:textId="4341F205" w:rsidR="0001683D" w:rsidRPr="008A0812" w:rsidRDefault="0001683D" w:rsidP="0001683D">
            <w:pPr>
              <w:overflowPunct/>
              <w:autoSpaceDE/>
              <w:autoSpaceDN/>
              <w:adjustRightInd/>
            </w:pPr>
            <w:r w:rsidRPr="008A0812">
              <w:t>Secondary</w:t>
            </w:r>
          </w:p>
        </w:tc>
        <w:tc>
          <w:tcPr>
            <w:tcW w:w="5220" w:type="dxa"/>
          </w:tcPr>
          <w:p w14:paraId="577FA5D5" w14:textId="53EE80CF" w:rsidR="0001683D" w:rsidRPr="008A0812" w:rsidRDefault="0001683D" w:rsidP="0001683D">
            <w:pPr>
              <w:overflowPunct/>
              <w:autoSpaceDE/>
              <w:autoSpaceDN/>
              <w:adjustRightInd/>
            </w:pPr>
            <w:r w:rsidRPr="008A0812">
              <w:t>NRC Secondary Clarifier</w:t>
            </w:r>
          </w:p>
        </w:tc>
        <w:tc>
          <w:tcPr>
            <w:tcW w:w="1522" w:type="dxa"/>
          </w:tcPr>
          <w:p w14:paraId="5709B76A" w14:textId="7FD05A9D" w:rsidR="0001683D" w:rsidRPr="008A0812" w:rsidRDefault="0001683D" w:rsidP="0001683D">
            <w:pPr>
              <w:overflowPunct/>
              <w:autoSpaceDE/>
              <w:autoSpaceDN/>
              <w:adjustRightInd/>
              <w:jc w:val="center"/>
            </w:pPr>
            <w:r w:rsidRPr="008A0812">
              <w:t>3</w:t>
            </w:r>
          </w:p>
        </w:tc>
      </w:tr>
      <w:tr w:rsidR="0001683D" w:rsidRPr="008A0812" w14:paraId="5D23E580" w14:textId="77777777" w:rsidTr="0001683D">
        <w:trPr>
          <w:trHeight w:val="288"/>
        </w:trPr>
        <w:tc>
          <w:tcPr>
            <w:tcW w:w="2602" w:type="dxa"/>
          </w:tcPr>
          <w:p w14:paraId="2DAAAE19" w14:textId="77313BEF" w:rsidR="0001683D" w:rsidRPr="008A0812" w:rsidRDefault="0001683D" w:rsidP="0001683D">
            <w:pPr>
              <w:overflowPunct/>
              <w:autoSpaceDE/>
              <w:autoSpaceDN/>
              <w:adjustRightInd/>
            </w:pPr>
            <w:r w:rsidRPr="008A0812">
              <w:t>Secondary</w:t>
            </w:r>
          </w:p>
        </w:tc>
        <w:tc>
          <w:tcPr>
            <w:tcW w:w="5220" w:type="dxa"/>
          </w:tcPr>
          <w:p w14:paraId="07E5B29A" w14:textId="36D52641" w:rsidR="0001683D" w:rsidRPr="008A0812" w:rsidRDefault="0001683D" w:rsidP="0001683D">
            <w:pPr>
              <w:overflowPunct/>
              <w:autoSpaceDE/>
              <w:autoSpaceDN/>
              <w:adjustRightInd/>
            </w:pPr>
            <w:r w:rsidRPr="008A0812">
              <w:t>Mixed Liquor Splitter Box</w:t>
            </w:r>
          </w:p>
        </w:tc>
        <w:tc>
          <w:tcPr>
            <w:tcW w:w="1522" w:type="dxa"/>
          </w:tcPr>
          <w:p w14:paraId="1201764B" w14:textId="2A294AC8" w:rsidR="0001683D" w:rsidRPr="008A0812" w:rsidRDefault="0001683D" w:rsidP="0001683D">
            <w:pPr>
              <w:overflowPunct/>
              <w:autoSpaceDE/>
              <w:autoSpaceDN/>
              <w:adjustRightInd/>
              <w:jc w:val="center"/>
            </w:pPr>
            <w:r w:rsidRPr="008A0812">
              <w:t>2</w:t>
            </w:r>
          </w:p>
        </w:tc>
      </w:tr>
    </w:tbl>
    <w:p w14:paraId="60DDE831" w14:textId="24D3D5A3" w:rsidR="00A55B7D" w:rsidRPr="008A0812" w:rsidRDefault="0047478E" w:rsidP="00A1350D">
      <w:pPr>
        <w:pStyle w:val="BodyText"/>
      </w:pPr>
      <w:r w:rsidRPr="008A0812">
        <w:fldChar w:fldCharType="begin"/>
      </w:r>
      <w:r w:rsidRPr="008A0812">
        <w:instrText xml:space="preserve"> REF _Ref36231122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9</w:t>
      </w:r>
      <w:r w:rsidRPr="008A0812">
        <w:fldChar w:fldCharType="end"/>
      </w:r>
      <w:r w:rsidR="0001683D" w:rsidRPr="008A0812">
        <w:t xml:space="preserve"> summarizes the findings of CoF risk scores by showing the consequence of failure and number of assets.</w:t>
      </w:r>
    </w:p>
    <w:p w14:paraId="76DED01C" w14:textId="14589252" w:rsidR="0047478E" w:rsidRPr="008A0812" w:rsidRDefault="0047478E" w:rsidP="00AF40CB">
      <w:pPr>
        <w:pStyle w:val="FigureHeading"/>
      </w:pPr>
      <w:bookmarkStart w:id="254" w:name="_Ref36231122"/>
      <w:bookmarkStart w:id="255" w:name="_Toc41684686"/>
      <w:r w:rsidRPr="008A0812">
        <w:t xml:space="preserve">Figure </w:t>
      </w:r>
      <w:fldSimple w:instr=" STYLEREF 1 \s ">
        <w:r w:rsidR="00AA68F8">
          <w:rPr>
            <w:noProof/>
          </w:rPr>
          <w:t>4</w:t>
        </w:r>
      </w:fldSimple>
      <w:r w:rsidR="00B233D1">
        <w:noBreakHyphen/>
      </w:r>
      <w:fldSimple w:instr=" SEQ Figure \* ARABIC \s 1 ">
        <w:r w:rsidR="00AA68F8">
          <w:rPr>
            <w:noProof/>
          </w:rPr>
          <w:t>9</w:t>
        </w:r>
      </w:fldSimple>
      <w:bookmarkEnd w:id="254"/>
      <w:r w:rsidRPr="008A0812">
        <w:t>: Summary of Final CoF Scores</w:t>
      </w:r>
      <w:bookmarkEnd w:id="255"/>
    </w:p>
    <w:p w14:paraId="6BEDF29E" w14:textId="701EA2B5" w:rsidR="00A55B7D" w:rsidRPr="008A0812" w:rsidRDefault="0001683D" w:rsidP="0001683D">
      <w:pPr>
        <w:pStyle w:val="BodyText"/>
        <w:jc w:val="center"/>
      </w:pPr>
      <w:r>
        <w:rPr>
          <w:noProof/>
        </w:rPr>
        <w:drawing>
          <wp:inline distT="0" distB="0" distL="0" distR="0" wp14:anchorId="6254E9FF" wp14:editId="76A3D7C0">
            <wp:extent cx="5407661" cy="3011805"/>
            <wp:effectExtent l="0" t="0" r="2540" b="0"/>
            <wp:docPr id="478781929"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67">
                      <a:extLst>
                        <a:ext uri="{28A0092B-C50C-407E-A947-70E740481C1C}">
                          <a14:useLocalDpi xmlns:a14="http://schemas.microsoft.com/office/drawing/2010/main" val="0"/>
                        </a:ext>
                      </a:extLst>
                    </a:blip>
                    <a:stretch>
                      <a:fillRect/>
                    </a:stretch>
                  </pic:blipFill>
                  <pic:spPr>
                    <a:xfrm>
                      <a:off x="0" y="0"/>
                      <a:ext cx="5407661" cy="3011805"/>
                    </a:xfrm>
                    <a:prstGeom prst="rect">
                      <a:avLst/>
                    </a:prstGeom>
                  </pic:spPr>
                </pic:pic>
              </a:graphicData>
            </a:graphic>
          </wp:inline>
        </w:drawing>
      </w:r>
    </w:p>
    <w:p w14:paraId="5E9F37C4" w14:textId="3D28B822" w:rsidR="00A55B7D" w:rsidRPr="008A0812" w:rsidRDefault="0001683D" w:rsidP="00A1350D">
      <w:pPr>
        <w:pStyle w:val="BodyText"/>
      </w:pPr>
      <w:r w:rsidRPr="008A0812">
        <w:t xml:space="preserve">Process level results of the CoF assessment are shown on a map of the WRP in </w:t>
      </w:r>
      <w:r w:rsidR="0047478E" w:rsidRPr="008A0812">
        <w:fldChar w:fldCharType="begin"/>
      </w:r>
      <w:r w:rsidR="0047478E" w:rsidRPr="008A0812">
        <w:instrText xml:space="preserve"> REF _Ref36231112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10</w:t>
      </w:r>
      <w:r w:rsidR="0047478E" w:rsidRPr="008A0812">
        <w:fldChar w:fldCharType="end"/>
      </w:r>
      <w:r w:rsidRPr="008A0812">
        <w:t xml:space="preserve"> and </w:t>
      </w:r>
      <w:r w:rsidR="0047478E" w:rsidRPr="008A0812">
        <w:fldChar w:fldCharType="begin"/>
      </w:r>
      <w:r w:rsidR="0047478E" w:rsidRPr="008A0812">
        <w:instrText xml:space="preserve"> REF _Ref36231155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11</w:t>
      </w:r>
      <w:r w:rsidR="0047478E" w:rsidRPr="008A0812">
        <w:fldChar w:fldCharType="end"/>
      </w:r>
      <w:r w:rsidRPr="008A0812">
        <w:t>. The results indicated the assets judged to have a higher consequence of failure are primarily associated with the primary, secondary and gas handling processes.</w:t>
      </w:r>
    </w:p>
    <w:p w14:paraId="4263F65D" w14:textId="1BB06556" w:rsidR="0047478E" w:rsidRPr="008A0812" w:rsidRDefault="0047478E" w:rsidP="00AF40CB">
      <w:pPr>
        <w:pStyle w:val="FigureHeading"/>
      </w:pPr>
      <w:bookmarkStart w:id="256" w:name="_Ref36231112"/>
      <w:bookmarkStart w:id="257" w:name="_Toc41684687"/>
      <w:r w:rsidRPr="008A0812">
        <w:t xml:space="preserve">Figure </w:t>
      </w:r>
      <w:fldSimple w:instr=" STYLEREF 1 \s ">
        <w:r w:rsidR="00AA68F8">
          <w:rPr>
            <w:noProof/>
          </w:rPr>
          <w:t>4</w:t>
        </w:r>
      </w:fldSimple>
      <w:r w:rsidR="00B233D1">
        <w:noBreakHyphen/>
      </w:r>
      <w:fldSimple w:instr=" SEQ Figure \* ARABIC \s 1 ">
        <w:r w:rsidR="00AA68F8">
          <w:rPr>
            <w:noProof/>
          </w:rPr>
          <w:t>10</w:t>
        </w:r>
      </w:fldSimple>
      <w:bookmarkEnd w:id="256"/>
      <w:r w:rsidRPr="008A0812">
        <w:t>: Process Level CoF Results (Colored Map)</w:t>
      </w:r>
      <w:bookmarkEnd w:id="257"/>
    </w:p>
    <w:p w14:paraId="13D62046" w14:textId="2FFE1B95" w:rsidR="0001683D" w:rsidRPr="008A0812" w:rsidRDefault="0001683D" w:rsidP="00A1350D">
      <w:pPr>
        <w:pStyle w:val="BodyText"/>
      </w:pPr>
      <w:r>
        <w:rPr>
          <w:noProof/>
        </w:rPr>
        <w:drawing>
          <wp:inline distT="0" distB="0" distL="0" distR="0" wp14:anchorId="4274E49E" wp14:editId="33F40DB7">
            <wp:extent cx="5943600" cy="3352165"/>
            <wp:effectExtent l="0" t="0" r="0" b="635"/>
            <wp:docPr id="22515365"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8">
                      <a:extLst>
                        <a:ext uri="{28A0092B-C50C-407E-A947-70E740481C1C}">
                          <a14:useLocalDpi xmlns:a14="http://schemas.microsoft.com/office/drawing/2010/main" val="0"/>
                        </a:ext>
                      </a:extLst>
                    </a:blip>
                    <a:stretch>
                      <a:fillRect/>
                    </a:stretch>
                  </pic:blipFill>
                  <pic:spPr>
                    <a:xfrm>
                      <a:off x="0" y="0"/>
                      <a:ext cx="5943600" cy="3352165"/>
                    </a:xfrm>
                    <a:prstGeom prst="rect">
                      <a:avLst/>
                    </a:prstGeom>
                  </pic:spPr>
                </pic:pic>
              </a:graphicData>
            </a:graphic>
          </wp:inline>
        </w:drawing>
      </w:r>
    </w:p>
    <w:p w14:paraId="47048453" w14:textId="24927A06" w:rsidR="0047478E" w:rsidRPr="008A0812" w:rsidRDefault="0047478E" w:rsidP="00AF40CB">
      <w:pPr>
        <w:pStyle w:val="FigureHeading"/>
      </w:pPr>
      <w:bookmarkStart w:id="258" w:name="_Ref36231155"/>
      <w:bookmarkStart w:id="259" w:name="_Toc41684688"/>
      <w:r w:rsidRPr="008A0812">
        <w:t xml:space="preserve">Figure </w:t>
      </w:r>
      <w:fldSimple w:instr=" STYLEREF 1 \s ">
        <w:r w:rsidR="00AA68F8">
          <w:rPr>
            <w:noProof/>
          </w:rPr>
          <w:t>4</w:t>
        </w:r>
      </w:fldSimple>
      <w:r w:rsidR="00B233D1">
        <w:noBreakHyphen/>
      </w:r>
      <w:fldSimple w:instr=" SEQ Figure \* ARABIC \s 1 ">
        <w:r w:rsidR="00AA68F8">
          <w:rPr>
            <w:noProof/>
          </w:rPr>
          <w:t>11</w:t>
        </w:r>
      </w:fldSimple>
      <w:bookmarkEnd w:id="258"/>
      <w:r w:rsidRPr="008A0812">
        <w:t>: Process Level CoF Results (Grayscale Map)</w:t>
      </w:r>
      <w:bookmarkEnd w:id="259"/>
    </w:p>
    <w:p w14:paraId="794442D5" w14:textId="1F4DB836" w:rsidR="00754E63" w:rsidRPr="008A0812" w:rsidRDefault="00754E63" w:rsidP="00754E63">
      <w:pPr>
        <w:pStyle w:val="BodyText"/>
      </w:pPr>
      <w:r>
        <w:rPr>
          <w:noProof/>
        </w:rPr>
        <w:drawing>
          <wp:inline distT="0" distB="0" distL="0" distR="0" wp14:anchorId="03A0B4B5" wp14:editId="0F12F1AC">
            <wp:extent cx="5943600" cy="3201670"/>
            <wp:effectExtent l="0" t="0" r="0" b="0"/>
            <wp:docPr id="162067180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69">
                      <a:extLst>
                        <a:ext uri="{28A0092B-C50C-407E-A947-70E740481C1C}">
                          <a14:useLocalDpi xmlns:a14="http://schemas.microsoft.com/office/drawing/2010/main" val="0"/>
                        </a:ext>
                      </a:extLst>
                    </a:blip>
                    <a:stretch>
                      <a:fillRect/>
                    </a:stretch>
                  </pic:blipFill>
                  <pic:spPr>
                    <a:xfrm>
                      <a:off x="0" y="0"/>
                      <a:ext cx="5943600" cy="3201670"/>
                    </a:xfrm>
                    <a:prstGeom prst="rect">
                      <a:avLst/>
                    </a:prstGeom>
                  </pic:spPr>
                </pic:pic>
              </a:graphicData>
            </a:graphic>
          </wp:inline>
        </w:drawing>
      </w:r>
    </w:p>
    <w:p w14:paraId="6AEB97ED" w14:textId="14B1D9C0" w:rsidR="0001683D" w:rsidRPr="008A0812" w:rsidRDefault="0047478E" w:rsidP="00A1350D">
      <w:pPr>
        <w:pStyle w:val="BodyText"/>
      </w:pPr>
      <w:r w:rsidRPr="008A0812">
        <w:fldChar w:fldCharType="begin"/>
      </w:r>
      <w:r w:rsidRPr="008A0812">
        <w:instrText xml:space="preserve"> REF _Ref36231183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12</w:t>
      </w:r>
      <w:r w:rsidRPr="008A0812">
        <w:fldChar w:fldCharType="end"/>
      </w:r>
      <w:r w:rsidR="00754E63" w:rsidRPr="008A0812">
        <w:t xml:space="preserve"> presents examples of assets with a high level CoF.</w:t>
      </w:r>
    </w:p>
    <w:p w14:paraId="5A3357D3" w14:textId="6014A547" w:rsidR="0047478E" w:rsidRPr="008A0812" w:rsidRDefault="0047478E" w:rsidP="00AF40CB">
      <w:pPr>
        <w:pStyle w:val="FigureHeading"/>
      </w:pPr>
      <w:bookmarkStart w:id="260" w:name="_Ref36231183"/>
      <w:bookmarkStart w:id="261" w:name="_Toc41684689"/>
      <w:r w:rsidRPr="008A0812">
        <w:t xml:space="preserve">Figure </w:t>
      </w:r>
      <w:fldSimple w:instr=" STYLEREF 1 \s ">
        <w:r w:rsidR="00AA68F8">
          <w:rPr>
            <w:noProof/>
          </w:rPr>
          <w:t>4</w:t>
        </w:r>
      </w:fldSimple>
      <w:r w:rsidR="00B233D1">
        <w:noBreakHyphen/>
      </w:r>
      <w:fldSimple w:instr=" SEQ Figure \* ARABIC \s 1 ">
        <w:r w:rsidR="00AA68F8">
          <w:rPr>
            <w:noProof/>
          </w:rPr>
          <w:t>12</w:t>
        </w:r>
      </w:fldSimple>
      <w:bookmarkEnd w:id="260"/>
      <w:r w:rsidRPr="008A0812">
        <w:t>: Examples of Assets with High CoF</w:t>
      </w:r>
      <w:bookmarkEnd w:id="261"/>
    </w:p>
    <w:p w14:paraId="00BBB92B" w14:textId="067324BA" w:rsidR="00754E63" w:rsidRPr="008A0812" w:rsidRDefault="00754E63" w:rsidP="00754E63">
      <w:pPr>
        <w:pStyle w:val="BodyText"/>
      </w:pPr>
      <w:r>
        <w:rPr>
          <w:noProof/>
        </w:rPr>
        <w:drawing>
          <wp:inline distT="0" distB="0" distL="0" distR="0" wp14:anchorId="0A54AEEB" wp14:editId="54B55601">
            <wp:extent cx="5943600" cy="1892935"/>
            <wp:effectExtent l="0" t="0" r="0" b="0"/>
            <wp:docPr id="54143577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0">
                      <a:extLst>
                        <a:ext uri="{FF2B5EF4-FFF2-40B4-BE49-F238E27FC236}">
                          <a16:creationId xmlns:arto="http://schemas.microsoft.com/office/word/2006/arto" xmlns:a16="http://schemas.microsoft.com/office/drawing/2014/main" xmlns:dgm="http://schemas.openxmlformats.org/drawingml/2006/diagram"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68A97AA7-A5A5-42A4-852A-3636067C25D1}"/>
                        </a:ext>
                      </a:extLst>
                    </a:blip>
                    <a:stretch>
                      <a:fillRect/>
                    </a:stretch>
                  </pic:blipFill>
                  <pic:spPr>
                    <a:xfrm>
                      <a:off x="0" y="0"/>
                      <a:ext cx="5943600" cy="1892935"/>
                    </a:xfrm>
                    <a:prstGeom prst="rect">
                      <a:avLst/>
                    </a:prstGeom>
                  </pic:spPr>
                </pic:pic>
              </a:graphicData>
            </a:graphic>
          </wp:inline>
        </w:drawing>
      </w:r>
    </w:p>
    <w:p w14:paraId="020C9CBF" w14:textId="54435A49" w:rsidR="00754E63" w:rsidRPr="008A0812" w:rsidRDefault="00EE5870" w:rsidP="00EE5870">
      <w:pPr>
        <w:pStyle w:val="BodyText"/>
      </w:pPr>
      <w:r w:rsidRPr="008A0812">
        <w:fldChar w:fldCharType="begin"/>
      </w:r>
      <w:r w:rsidRPr="008A0812">
        <w:instrText xml:space="preserve"> REF _Ref36231805 \h </w:instrText>
      </w:r>
      <w:r w:rsidR="008A0812">
        <w:instrText xml:space="preserve"> \* MERGEFORMAT </w:instrText>
      </w:r>
      <w:r w:rsidRPr="008A0812">
        <w:fldChar w:fldCharType="separate"/>
      </w:r>
      <w:r w:rsidR="00AA68F8" w:rsidRPr="008A0812">
        <w:t xml:space="preserve">Table </w:t>
      </w:r>
      <w:r w:rsidR="00AA68F8">
        <w:rPr>
          <w:noProof/>
        </w:rPr>
        <w:t>4</w:t>
      </w:r>
      <w:r w:rsidR="00AA68F8" w:rsidRPr="008A0812">
        <w:rPr>
          <w:noProof/>
        </w:rPr>
        <w:noBreakHyphen/>
      </w:r>
      <w:r w:rsidR="00AA68F8">
        <w:rPr>
          <w:noProof/>
        </w:rPr>
        <w:t>9</w:t>
      </w:r>
      <w:r w:rsidRPr="008A0812">
        <w:fldChar w:fldCharType="end"/>
      </w:r>
      <w:r w:rsidR="00754E63" w:rsidRPr="008A0812">
        <w:t xml:space="preserve"> presents the number of assets with high CoF at each of the different plant processes. A list of high CoF assets is presented in</w:t>
      </w:r>
      <w:r w:rsidR="007A6DB8" w:rsidRPr="008A0812">
        <w:t xml:space="preserve"> Appendix C</w:t>
      </w:r>
      <w:r w:rsidR="00754E63" w:rsidRPr="008A0812">
        <w:t>.</w:t>
      </w:r>
      <w:r w:rsidR="00754E63" w:rsidRPr="008A0812">
        <w:tab/>
      </w:r>
    </w:p>
    <w:p w14:paraId="32FB6445" w14:textId="408F540B" w:rsidR="00EE5870" w:rsidRPr="008A0812" w:rsidRDefault="00EE5870" w:rsidP="00EE5870">
      <w:pPr>
        <w:pStyle w:val="TableHeading"/>
      </w:pPr>
      <w:bookmarkStart w:id="262" w:name="_Ref36231805"/>
      <w:bookmarkStart w:id="263" w:name="_Toc36414051"/>
      <w:bookmarkStart w:id="264" w:name="_Toc41684752"/>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262"/>
      <w:r w:rsidRPr="008A0812">
        <w:t>: High CoF Assets</w:t>
      </w:r>
      <w:bookmarkEnd w:id="263"/>
      <w:bookmarkEnd w:id="264"/>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114"/>
        <w:gridCol w:w="3115"/>
        <w:gridCol w:w="3115"/>
      </w:tblGrid>
      <w:tr w:rsidR="00754E63" w:rsidRPr="008A0812" w14:paraId="0C345E4A" w14:textId="77777777" w:rsidTr="00EE5870">
        <w:trPr>
          <w:cantSplit/>
          <w:trHeight w:val="288"/>
          <w:tblHeader/>
        </w:trPr>
        <w:tc>
          <w:tcPr>
            <w:tcW w:w="3114" w:type="dxa"/>
            <w:shd w:val="clear" w:color="auto" w:fill="BFBFBF"/>
            <w:hideMark/>
          </w:tcPr>
          <w:p w14:paraId="38E5F606" w14:textId="77777777" w:rsidR="00754E63" w:rsidRPr="008A0812" w:rsidRDefault="00754E63" w:rsidP="008F6EA0">
            <w:pPr>
              <w:overflowPunct/>
              <w:autoSpaceDE/>
              <w:autoSpaceDN/>
              <w:adjustRightInd/>
              <w:jc w:val="center"/>
              <w:rPr>
                <w:b/>
                <w:bCs/>
              </w:rPr>
            </w:pPr>
            <w:r w:rsidRPr="008A0812">
              <w:rPr>
                <w:b/>
                <w:bCs/>
              </w:rPr>
              <w:t>Process</w:t>
            </w:r>
          </w:p>
        </w:tc>
        <w:tc>
          <w:tcPr>
            <w:tcW w:w="3115" w:type="dxa"/>
            <w:shd w:val="clear" w:color="auto" w:fill="BFBFBF"/>
          </w:tcPr>
          <w:p w14:paraId="691C0538" w14:textId="6A8DF70F" w:rsidR="00754E63" w:rsidRPr="008A0812" w:rsidRDefault="00754E63" w:rsidP="008F6EA0">
            <w:pPr>
              <w:overflowPunct/>
              <w:autoSpaceDE/>
              <w:autoSpaceDN/>
              <w:adjustRightInd/>
              <w:jc w:val="center"/>
              <w:rPr>
                <w:b/>
                <w:bCs/>
              </w:rPr>
            </w:pPr>
            <w:r w:rsidRPr="008A0812">
              <w:rPr>
                <w:b/>
                <w:bCs/>
              </w:rPr>
              <w:t>No. of Assets with High CoF</w:t>
            </w:r>
          </w:p>
        </w:tc>
        <w:tc>
          <w:tcPr>
            <w:tcW w:w="3115" w:type="dxa"/>
            <w:shd w:val="clear" w:color="auto" w:fill="BFBFBF"/>
            <w:hideMark/>
          </w:tcPr>
          <w:p w14:paraId="7301194C" w14:textId="738599BA" w:rsidR="00754E63" w:rsidRPr="008A0812" w:rsidRDefault="00754E63" w:rsidP="008F6EA0">
            <w:pPr>
              <w:overflowPunct/>
              <w:autoSpaceDE/>
              <w:autoSpaceDN/>
              <w:adjustRightInd/>
              <w:jc w:val="center"/>
              <w:rPr>
                <w:rFonts w:ascii="Times New Roman" w:hAnsi="Times New Roman"/>
                <w:sz w:val="24"/>
                <w:szCs w:val="24"/>
              </w:rPr>
            </w:pPr>
            <w:r w:rsidRPr="008A0812">
              <w:rPr>
                <w:b/>
                <w:bCs/>
              </w:rPr>
              <w:t>Percentage of Assets with High CoF</w:t>
            </w:r>
          </w:p>
        </w:tc>
      </w:tr>
      <w:tr w:rsidR="00754E63" w:rsidRPr="008A0812" w14:paraId="0EA92018" w14:textId="77777777" w:rsidTr="008F6EA0">
        <w:trPr>
          <w:trHeight w:val="288"/>
        </w:trPr>
        <w:tc>
          <w:tcPr>
            <w:tcW w:w="3114" w:type="dxa"/>
          </w:tcPr>
          <w:p w14:paraId="50120317" w14:textId="4FCF051C" w:rsidR="00754E63" w:rsidRPr="008A0812" w:rsidRDefault="00754E63" w:rsidP="00754E63">
            <w:pPr>
              <w:overflowPunct/>
              <w:autoSpaceDE/>
              <w:autoSpaceDN/>
              <w:adjustRightInd/>
              <w:rPr>
                <w:rFonts w:asciiTheme="minorHAnsi" w:hAnsiTheme="minorHAnsi"/>
              </w:rPr>
            </w:pPr>
            <w:r w:rsidRPr="008A0812">
              <w:t>Solids Treatment</w:t>
            </w:r>
          </w:p>
        </w:tc>
        <w:tc>
          <w:tcPr>
            <w:tcW w:w="3115" w:type="dxa"/>
          </w:tcPr>
          <w:p w14:paraId="5E0D6AC3" w14:textId="3D798087" w:rsidR="00754E63" w:rsidRPr="008A0812" w:rsidRDefault="00754E63" w:rsidP="00754E63">
            <w:pPr>
              <w:overflowPunct/>
              <w:autoSpaceDE/>
              <w:autoSpaceDN/>
              <w:adjustRightInd/>
              <w:jc w:val="center"/>
              <w:rPr>
                <w:rFonts w:asciiTheme="majorHAnsi" w:hAnsiTheme="majorHAnsi"/>
              </w:rPr>
            </w:pPr>
            <w:r w:rsidRPr="008A0812">
              <w:t>1</w:t>
            </w:r>
          </w:p>
        </w:tc>
        <w:tc>
          <w:tcPr>
            <w:tcW w:w="3115" w:type="dxa"/>
          </w:tcPr>
          <w:p w14:paraId="43C599C6" w14:textId="2D6A4AB9" w:rsidR="00754E63" w:rsidRPr="008A0812" w:rsidRDefault="00754E63" w:rsidP="00754E63">
            <w:pPr>
              <w:overflowPunct/>
              <w:autoSpaceDE/>
              <w:autoSpaceDN/>
              <w:adjustRightInd/>
              <w:jc w:val="center"/>
              <w:rPr>
                <w:rFonts w:asciiTheme="majorHAnsi" w:hAnsiTheme="majorHAnsi"/>
              </w:rPr>
            </w:pPr>
            <w:r w:rsidRPr="008A0812">
              <w:t>&lt;1</w:t>
            </w:r>
          </w:p>
        </w:tc>
      </w:tr>
      <w:tr w:rsidR="00754E63" w:rsidRPr="008A0812" w14:paraId="2BE427BB" w14:textId="77777777" w:rsidTr="008F6EA0">
        <w:trPr>
          <w:trHeight w:val="288"/>
        </w:trPr>
        <w:tc>
          <w:tcPr>
            <w:tcW w:w="3114" w:type="dxa"/>
          </w:tcPr>
          <w:p w14:paraId="0940E00F" w14:textId="32D552AD" w:rsidR="00754E63" w:rsidRPr="008A0812" w:rsidRDefault="00754E63" w:rsidP="00754E63">
            <w:pPr>
              <w:overflowPunct/>
              <w:autoSpaceDE/>
              <w:autoSpaceDN/>
              <w:adjustRightInd/>
              <w:rPr>
                <w:rFonts w:asciiTheme="minorHAnsi" w:hAnsiTheme="minorHAnsi"/>
              </w:rPr>
            </w:pPr>
            <w:r w:rsidRPr="008A0812">
              <w:t>Outfall</w:t>
            </w:r>
          </w:p>
        </w:tc>
        <w:tc>
          <w:tcPr>
            <w:tcW w:w="3115" w:type="dxa"/>
          </w:tcPr>
          <w:p w14:paraId="18E060CA" w14:textId="5794ADD3" w:rsidR="00754E63" w:rsidRPr="008A0812" w:rsidRDefault="00754E63" w:rsidP="00754E63">
            <w:pPr>
              <w:overflowPunct/>
              <w:autoSpaceDE/>
              <w:autoSpaceDN/>
              <w:adjustRightInd/>
              <w:jc w:val="center"/>
              <w:rPr>
                <w:rFonts w:asciiTheme="majorHAnsi" w:hAnsiTheme="majorHAnsi"/>
              </w:rPr>
            </w:pPr>
            <w:r w:rsidRPr="008A0812">
              <w:t>2</w:t>
            </w:r>
          </w:p>
        </w:tc>
        <w:tc>
          <w:tcPr>
            <w:tcW w:w="3115" w:type="dxa"/>
          </w:tcPr>
          <w:p w14:paraId="72EDE7D7" w14:textId="61C15832" w:rsidR="00754E63" w:rsidRPr="008A0812" w:rsidRDefault="00754E63" w:rsidP="00754E63">
            <w:pPr>
              <w:overflowPunct/>
              <w:autoSpaceDE/>
              <w:autoSpaceDN/>
              <w:adjustRightInd/>
              <w:jc w:val="center"/>
              <w:rPr>
                <w:rFonts w:asciiTheme="majorHAnsi" w:hAnsiTheme="majorHAnsi"/>
              </w:rPr>
            </w:pPr>
            <w:r w:rsidRPr="008A0812">
              <w:t>5</w:t>
            </w:r>
          </w:p>
        </w:tc>
      </w:tr>
      <w:tr w:rsidR="00754E63" w:rsidRPr="008A0812" w14:paraId="46D9EE1D" w14:textId="77777777" w:rsidTr="008F6EA0">
        <w:trPr>
          <w:trHeight w:val="288"/>
        </w:trPr>
        <w:tc>
          <w:tcPr>
            <w:tcW w:w="3114" w:type="dxa"/>
          </w:tcPr>
          <w:p w14:paraId="6AD4F7E3" w14:textId="4F0FFCF4" w:rsidR="00754E63" w:rsidRPr="008A0812" w:rsidRDefault="00754E63" w:rsidP="00754E63">
            <w:pPr>
              <w:overflowPunct/>
              <w:autoSpaceDE/>
              <w:autoSpaceDN/>
              <w:adjustRightInd/>
              <w:rPr>
                <w:rFonts w:asciiTheme="minorHAnsi" w:hAnsiTheme="minorHAnsi"/>
              </w:rPr>
            </w:pPr>
            <w:r w:rsidRPr="008A0812">
              <w:t>Primary</w:t>
            </w:r>
          </w:p>
        </w:tc>
        <w:tc>
          <w:tcPr>
            <w:tcW w:w="3115" w:type="dxa"/>
          </w:tcPr>
          <w:p w14:paraId="0736C032" w14:textId="2ED11D58" w:rsidR="00754E63" w:rsidRPr="008A0812" w:rsidRDefault="00754E63" w:rsidP="00754E63">
            <w:pPr>
              <w:overflowPunct/>
              <w:autoSpaceDE/>
              <w:autoSpaceDN/>
              <w:adjustRightInd/>
              <w:jc w:val="center"/>
              <w:rPr>
                <w:rFonts w:asciiTheme="majorHAnsi" w:hAnsiTheme="majorHAnsi"/>
              </w:rPr>
            </w:pPr>
            <w:r w:rsidRPr="008A0812">
              <w:t>2</w:t>
            </w:r>
          </w:p>
        </w:tc>
        <w:tc>
          <w:tcPr>
            <w:tcW w:w="3115" w:type="dxa"/>
          </w:tcPr>
          <w:p w14:paraId="5A77F409" w14:textId="516170D2" w:rsidR="00754E63" w:rsidRPr="008A0812" w:rsidRDefault="00754E63" w:rsidP="00754E63">
            <w:pPr>
              <w:overflowPunct/>
              <w:autoSpaceDE/>
              <w:autoSpaceDN/>
              <w:adjustRightInd/>
              <w:jc w:val="center"/>
              <w:rPr>
                <w:rFonts w:asciiTheme="majorHAnsi" w:hAnsiTheme="majorHAnsi"/>
              </w:rPr>
            </w:pPr>
            <w:r w:rsidRPr="008A0812">
              <w:t>&lt;1</w:t>
            </w:r>
          </w:p>
        </w:tc>
      </w:tr>
      <w:tr w:rsidR="00754E63" w:rsidRPr="008A0812" w14:paraId="221B76D7" w14:textId="77777777" w:rsidTr="008F6EA0">
        <w:trPr>
          <w:trHeight w:val="288"/>
        </w:trPr>
        <w:tc>
          <w:tcPr>
            <w:tcW w:w="3114" w:type="dxa"/>
          </w:tcPr>
          <w:p w14:paraId="31909724" w14:textId="3719D657" w:rsidR="00754E63" w:rsidRPr="008A0812" w:rsidRDefault="00754E63" w:rsidP="00754E63">
            <w:pPr>
              <w:overflowPunct/>
              <w:autoSpaceDE/>
              <w:autoSpaceDN/>
              <w:adjustRightInd/>
              <w:rPr>
                <w:rFonts w:asciiTheme="minorHAnsi" w:hAnsiTheme="minorHAnsi"/>
              </w:rPr>
            </w:pPr>
            <w:r w:rsidRPr="008A0812">
              <w:t>Solids Handling</w:t>
            </w:r>
          </w:p>
        </w:tc>
        <w:tc>
          <w:tcPr>
            <w:tcW w:w="3115" w:type="dxa"/>
          </w:tcPr>
          <w:p w14:paraId="13031A4B" w14:textId="153187AC" w:rsidR="00754E63" w:rsidRPr="008A0812" w:rsidRDefault="00754E63" w:rsidP="00754E63">
            <w:pPr>
              <w:overflowPunct/>
              <w:autoSpaceDE/>
              <w:autoSpaceDN/>
              <w:adjustRightInd/>
              <w:jc w:val="center"/>
              <w:rPr>
                <w:rFonts w:asciiTheme="majorHAnsi" w:hAnsiTheme="majorHAnsi"/>
              </w:rPr>
            </w:pPr>
            <w:r w:rsidRPr="008A0812">
              <w:t>2</w:t>
            </w:r>
          </w:p>
        </w:tc>
        <w:tc>
          <w:tcPr>
            <w:tcW w:w="3115" w:type="dxa"/>
          </w:tcPr>
          <w:p w14:paraId="79147D65" w14:textId="22320F64" w:rsidR="00754E63" w:rsidRPr="008A0812" w:rsidRDefault="00754E63" w:rsidP="00754E63">
            <w:pPr>
              <w:overflowPunct/>
              <w:autoSpaceDE/>
              <w:autoSpaceDN/>
              <w:adjustRightInd/>
              <w:jc w:val="center"/>
              <w:rPr>
                <w:rFonts w:asciiTheme="majorHAnsi" w:hAnsiTheme="majorHAnsi"/>
              </w:rPr>
            </w:pPr>
            <w:r w:rsidRPr="008A0812">
              <w:t>&lt;1</w:t>
            </w:r>
          </w:p>
        </w:tc>
      </w:tr>
      <w:tr w:rsidR="00754E63" w:rsidRPr="008A0812" w14:paraId="3546E160" w14:textId="77777777" w:rsidTr="008F6EA0">
        <w:trPr>
          <w:trHeight w:val="288"/>
        </w:trPr>
        <w:tc>
          <w:tcPr>
            <w:tcW w:w="3114" w:type="dxa"/>
          </w:tcPr>
          <w:p w14:paraId="12AAE65B" w14:textId="47A19093" w:rsidR="00754E63" w:rsidRPr="008A0812" w:rsidRDefault="00754E63" w:rsidP="00754E63">
            <w:pPr>
              <w:overflowPunct/>
              <w:autoSpaceDE/>
              <w:autoSpaceDN/>
              <w:adjustRightInd/>
              <w:rPr>
                <w:rFonts w:asciiTheme="minorHAnsi" w:hAnsiTheme="minorHAnsi"/>
              </w:rPr>
            </w:pPr>
            <w:r w:rsidRPr="008A0812">
              <w:t>Lift Stations</w:t>
            </w:r>
          </w:p>
        </w:tc>
        <w:tc>
          <w:tcPr>
            <w:tcW w:w="3115" w:type="dxa"/>
          </w:tcPr>
          <w:p w14:paraId="4153F924" w14:textId="1CEBD4D1" w:rsidR="00754E63" w:rsidRPr="008A0812" w:rsidRDefault="00754E63" w:rsidP="00754E63">
            <w:pPr>
              <w:overflowPunct/>
              <w:autoSpaceDE/>
              <w:autoSpaceDN/>
              <w:adjustRightInd/>
              <w:jc w:val="center"/>
              <w:rPr>
                <w:rFonts w:asciiTheme="majorHAnsi" w:hAnsiTheme="majorHAnsi"/>
              </w:rPr>
            </w:pPr>
            <w:r w:rsidRPr="008A0812">
              <w:t>7</w:t>
            </w:r>
          </w:p>
        </w:tc>
        <w:tc>
          <w:tcPr>
            <w:tcW w:w="3115" w:type="dxa"/>
          </w:tcPr>
          <w:p w14:paraId="4D89A9E0" w14:textId="758546C4" w:rsidR="00754E63" w:rsidRPr="008A0812" w:rsidRDefault="00754E63" w:rsidP="00754E63">
            <w:pPr>
              <w:overflowPunct/>
              <w:autoSpaceDE/>
              <w:autoSpaceDN/>
              <w:adjustRightInd/>
              <w:jc w:val="center"/>
              <w:rPr>
                <w:rFonts w:asciiTheme="majorHAnsi" w:hAnsiTheme="majorHAnsi"/>
              </w:rPr>
            </w:pPr>
            <w:r w:rsidRPr="008A0812">
              <w:t>6</w:t>
            </w:r>
          </w:p>
        </w:tc>
      </w:tr>
      <w:tr w:rsidR="00754E63" w:rsidRPr="008A0812" w14:paraId="5530D3D8" w14:textId="77777777" w:rsidTr="008F6EA0">
        <w:trPr>
          <w:trHeight w:val="288"/>
        </w:trPr>
        <w:tc>
          <w:tcPr>
            <w:tcW w:w="3114" w:type="dxa"/>
          </w:tcPr>
          <w:p w14:paraId="7B40E209" w14:textId="19016CD2" w:rsidR="00754E63" w:rsidRPr="008A0812" w:rsidRDefault="00754E63" w:rsidP="00754E63">
            <w:pPr>
              <w:overflowPunct/>
              <w:autoSpaceDE/>
              <w:autoSpaceDN/>
              <w:adjustRightInd/>
              <w:rPr>
                <w:rFonts w:asciiTheme="minorHAnsi" w:hAnsiTheme="minorHAnsi"/>
              </w:rPr>
            </w:pPr>
            <w:r w:rsidRPr="008A0812">
              <w:t>Gas Handling</w:t>
            </w:r>
          </w:p>
        </w:tc>
        <w:tc>
          <w:tcPr>
            <w:tcW w:w="3115" w:type="dxa"/>
          </w:tcPr>
          <w:p w14:paraId="032C5C06" w14:textId="00827AB7" w:rsidR="00754E63" w:rsidRPr="008A0812" w:rsidRDefault="00754E63" w:rsidP="00754E63">
            <w:pPr>
              <w:overflowPunct/>
              <w:autoSpaceDE/>
              <w:autoSpaceDN/>
              <w:adjustRightInd/>
              <w:jc w:val="center"/>
              <w:rPr>
                <w:rFonts w:asciiTheme="majorHAnsi" w:hAnsiTheme="majorHAnsi"/>
              </w:rPr>
            </w:pPr>
            <w:r w:rsidRPr="008A0812">
              <w:t>2</w:t>
            </w:r>
          </w:p>
        </w:tc>
        <w:tc>
          <w:tcPr>
            <w:tcW w:w="3115" w:type="dxa"/>
          </w:tcPr>
          <w:p w14:paraId="57D30342" w14:textId="14F8CC6F" w:rsidR="00754E63" w:rsidRPr="008A0812" w:rsidRDefault="00754E63" w:rsidP="00754E63">
            <w:pPr>
              <w:overflowPunct/>
              <w:autoSpaceDE/>
              <w:autoSpaceDN/>
              <w:adjustRightInd/>
              <w:jc w:val="center"/>
              <w:rPr>
                <w:rFonts w:asciiTheme="majorHAnsi" w:hAnsiTheme="majorHAnsi"/>
              </w:rPr>
            </w:pPr>
            <w:r w:rsidRPr="008A0812">
              <w:t>3</w:t>
            </w:r>
          </w:p>
        </w:tc>
      </w:tr>
      <w:tr w:rsidR="00754E63" w:rsidRPr="008A0812" w14:paraId="0BCB62C8" w14:textId="77777777" w:rsidTr="008F6EA0">
        <w:trPr>
          <w:trHeight w:val="288"/>
        </w:trPr>
        <w:tc>
          <w:tcPr>
            <w:tcW w:w="3114" w:type="dxa"/>
          </w:tcPr>
          <w:p w14:paraId="4D3BE048" w14:textId="4B6BDC22" w:rsidR="00754E63" w:rsidRPr="008A0812" w:rsidRDefault="00754E63" w:rsidP="00754E63">
            <w:pPr>
              <w:overflowPunct/>
              <w:autoSpaceDE/>
              <w:autoSpaceDN/>
              <w:adjustRightInd/>
              <w:rPr>
                <w:rFonts w:asciiTheme="minorHAnsi" w:hAnsiTheme="minorHAnsi"/>
              </w:rPr>
            </w:pPr>
            <w:r w:rsidRPr="008A0812">
              <w:t>Secondary</w:t>
            </w:r>
          </w:p>
        </w:tc>
        <w:tc>
          <w:tcPr>
            <w:tcW w:w="3115" w:type="dxa"/>
          </w:tcPr>
          <w:p w14:paraId="0D1809B1" w14:textId="2B367475" w:rsidR="00754E63" w:rsidRPr="008A0812" w:rsidRDefault="00754E63" w:rsidP="00754E63">
            <w:pPr>
              <w:overflowPunct/>
              <w:autoSpaceDE/>
              <w:autoSpaceDN/>
              <w:adjustRightInd/>
              <w:jc w:val="center"/>
              <w:rPr>
                <w:rFonts w:asciiTheme="majorHAnsi" w:hAnsiTheme="majorHAnsi"/>
              </w:rPr>
            </w:pPr>
            <w:r w:rsidRPr="008A0812">
              <w:t>13</w:t>
            </w:r>
          </w:p>
        </w:tc>
        <w:tc>
          <w:tcPr>
            <w:tcW w:w="3115" w:type="dxa"/>
          </w:tcPr>
          <w:p w14:paraId="6E38957A" w14:textId="27C78249" w:rsidR="00754E63" w:rsidRPr="008A0812" w:rsidRDefault="00754E63" w:rsidP="00754E63">
            <w:pPr>
              <w:overflowPunct/>
              <w:autoSpaceDE/>
              <w:autoSpaceDN/>
              <w:adjustRightInd/>
              <w:jc w:val="center"/>
              <w:rPr>
                <w:rFonts w:asciiTheme="majorHAnsi" w:hAnsiTheme="majorHAnsi"/>
              </w:rPr>
            </w:pPr>
            <w:r w:rsidRPr="008A0812">
              <w:t>2</w:t>
            </w:r>
          </w:p>
        </w:tc>
      </w:tr>
      <w:tr w:rsidR="00754E63" w:rsidRPr="008A0812" w14:paraId="4B5AF817" w14:textId="77777777" w:rsidTr="008F6EA0">
        <w:trPr>
          <w:trHeight w:val="288"/>
        </w:trPr>
        <w:tc>
          <w:tcPr>
            <w:tcW w:w="3114" w:type="dxa"/>
          </w:tcPr>
          <w:p w14:paraId="14995712" w14:textId="18CBC207" w:rsidR="00754E63" w:rsidRPr="008A0812" w:rsidRDefault="00754E63" w:rsidP="00754E63">
            <w:pPr>
              <w:overflowPunct/>
              <w:autoSpaceDE/>
              <w:autoSpaceDN/>
              <w:adjustRightInd/>
              <w:rPr>
                <w:rFonts w:asciiTheme="minorHAnsi" w:hAnsiTheme="minorHAnsi"/>
              </w:rPr>
            </w:pPr>
            <w:r w:rsidRPr="008A0812">
              <w:t>Preliminary</w:t>
            </w:r>
          </w:p>
        </w:tc>
        <w:tc>
          <w:tcPr>
            <w:tcW w:w="3115" w:type="dxa"/>
          </w:tcPr>
          <w:p w14:paraId="59ADFACB" w14:textId="243E8947" w:rsidR="00754E63" w:rsidRPr="008A0812" w:rsidRDefault="00754E63" w:rsidP="00754E63">
            <w:pPr>
              <w:overflowPunct/>
              <w:autoSpaceDE/>
              <w:autoSpaceDN/>
              <w:adjustRightInd/>
              <w:jc w:val="center"/>
              <w:rPr>
                <w:rFonts w:asciiTheme="majorHAnsi" w:hAnsiTheme="majorHAnsi"/>
              </w:rPr>
            </w:pPr>
            <w:r w:rsidRPr="008A0812">
              <w:t>22</w:t>
            </w:r>
          </w:p>
        </w:tc>
        <w:tc>
          <w:tcPr>
            <w:tcW w:w="3115" w:type="dxa"/>
          </w:tcPr>
          <w:p w14:paraId="027B32DD" w14:textId="2BDDFAB2" w:rsidR="00754E63" w:rsidRPr="008A0812" w:rsidRDefault="00754E63" w:rsidP="00754E63">
            <w:pPr>
              <w:overflowPunct/>
              <w:autoSpaceDE/>
              <w:autoSpaceDN/>
              <w:adjustRightInd/>
              <w:jc w:val="center"/>
              <w:rPr>
                <w:rFonts w:asciiTheme="majorHAnsi" w:hAnsiTheme="majorHAnsi"/>
              </w:rPr>
            </w:pPr>
            <w:r w:rsidRPr="008A0812">
              <w:t>6</w:t>
            </w:r>
          </w:p>
        </w:tc>
      </w:tr>
      <w:tr w:rsidR="00754E63" w:rsidRPr="008A0812" w14:paraId="5C71F11E" w14:textId="77777777" w:rsidTr="008F6EA0">
        <w:trPr>
          <w:trHeight w:val="288"/>
        </w:trPr>
        <w:tc>
          <w:tcPr>
            <w:tcW w:w="3114" w:type="dxa"/>
          </w:tcPr>
          <w:p w14:paraId="7BEC5FD9" w14:textId="1CB36FA6" w:rsidR="00754E63" w:rsidRPr="008A0812" w:rsidRDefault="00754E63" w:rsidP="00754E63">
            <w:pPr>
              <w:overflowPunct/>
              <w:autoSpaceDE/>
              <w:autoSpaceDN/>
              <w:adjustRightInd/>
              <w:rPr>
                <w:rFonts w:asciiTheme="minorHAnsi" w:hAnsiTheme="minorHAnsi"/>
              </w:rPr>
            </w:pPr>
            <w:r w:rsidRPr="008A0812">
              <w:t>Electrical</w:t>
            </w:r>
          </w:p>
        </w:tc>
        <w:tc>
          <w:tcPr>
            <w:tcW w:w="3115" w:type="dxa"/>
          </w:tcPr>
          <w:p w14:paraId="36260257" w14:textId="438BD447" w:rsidR="00754E63" w:rsidRPr="008A0812" w:rsidRDefault="00754E63" w:rsidP="00754E63">
            <w:pPr>
              <w:overflowPunct/>
              <w:autoSpaceDE/>
              <w:autoSpaceDN/>
              <w:adjustRightInd/>
              <w:jc w:val="center"/>
              <w:rPr>
                <w:rFonts w:asciiTheme="majorHAnsi" w:hAnsiTheme="majorHAnsi"/>
              </w:rPr>
            </w:pPr>
            <w:r w:rsidRPr="008A0812">
              <w:t>30</w:t>
            </w:r>
          </w:p>
        </w:tc>
        <w:tc>
          <w:tcPr>
            <w:tcW w:w="3115" w:type="dxa"/>
          </w:tcPr>
          <w:p w14:paraId="6B349CD8" w14:textId="4B4F0C45" w:rsidR="00754E63" w:rsidRPr="008A0812" w:rsidRDefault="00754E63" w:rsidP="00754E63">
            <w:pPr>
              <w:overflowPunct/>
              <w:autoSpaceDE/>
              <w:autoSpaceDN/>
              <w:adjustRightInd/>
              <w:jc w:val="center"/>
              <w:rPr>
                <w:rFonts w:asciiTheme="majorHAnsi" w:hAnsiTheme="majorHAnsi"/>
              </w:rPr>
            </w:pPr>
            <w:r w:rsidRPr="008A0812">
              <w:t>58</w:t>
            </w:r>
          </w:p>
        </w:tc>
      </w:tr>
      <w:tr w:rsidR="00754E63" w:rsidRPr="008A0812" w14:paraId="25D6082D" w14:textId="77777777" w:rsidTr="008F6EA0">
        <w:trPr>
          <w:trHeight w:val="288"/>
        </w:trPr>
        <w:tc>
          <w:tcPr>
            <w:tcW w:w="3114" w:type="dxa"/>
          </w:tcPr>
          <w:p w14:paraId="25C7EA06" w14:textId="77777777" w:rsidR="00754E63" w:rsidRPr="008A0812" w:rsidRDefault="00754E63" w:rsidP="00DB4BB5">
            <w:pPr>
              <w:overflowPunct/>
              <w:autoSpaceDE/>
              <w:autoSpaceDN/>
              <w:adjustRightInd/>
              <w:ind w:right="150"/>
              <w:jc w:val="right"/>
              <w:rPr>
                <w:rFonts w:asciiTheme="minorHAnsi" w:hAnsiTheme="minorHAnsi"/>
                <w:b/>
                <w:bCs/>
              </w:rPr>
            </w:pPr>
            <w:r w:rsidRPr="008A0812">
              <w:rPr>
                <w:b/>
                <w:bCs/>
              </w:rPr>
              <w:t>Total</w:t>
            </w:r>
          </w:p>
        </w:tc>
        <w:tc>
          <w:tcPr>
            <w:tcW w:w="3115" w:type="dxa"/>
          </w:tcPr>
          <w:p w14:paraId="0169BF07" w14:textId="5FAE53D7" w:rsidR="00754E63" w:rsidRPr="008A0812" w:rsidRDefault="00754E63" w:rsidP="00754E63">
            <w:pPr>
              <w:overflowPunct/>
              <w:autoSpaceDE/>
              <w:autoSpaceDN/>
              <w:adjustRightInd/>
              <w:jc w:val="center"/>
              <w:rPr>
                <w:rFonts w:asciiTheme="majorHAnsi" w:hAnsiTheme="majorHAnsi"/>
                <w:b/>
                <w:bCs/>
              </w:rPr>
            </w:pPr>
            <w:r w:rsidRPr="008A0812">
              <w:rPr>
                <w:b/>
                <w:bCs/>
              </w:rPr>
              <w:t>81</w:t>
            </w:r>
          </w:p>
        </w:tc>
        <w:tc>
          <w:tcPr>
            <w:tcW w:w="3115" w:type="dxa"/>
          </w:tcPr>
          <w:p w14:paraId="50D210A9" w14:textId="32968EC8" w:rsidR="00754E63" w:rsidRPr="008A0812" w:rsidRDefault="00754E63" w:rsidP="00754E63">
            <w:pPr>
              <w:overflowPunct/>
              <w:autoSpaceDE/>
              <w:autoSpaceDN/>
              <w:adjustRightInd/>
              <w:jc w:val="center"/>
              <w:rPr>
                <w:rFonts w:asciiTheme="majorHAnsi" w:hAnsiTheme="majorHAnsi"/>
                <w:b/>
                <w:bCs/>
              </w:rPr>
            </w:pPr>
            <w:r w:rsidRPr="008A0812">
              <w:rPr>
                <w:b/>
                <w:bCs/>
              </w:rPr>
              <w:t>3</w:t>
            </w:r>
          </w:p>
        </w:tc>
      </w:tr>
    </w:tbl>
    <w:p w14:paraId="6FF1DA4D" w14:textId="1A400B0E" w:rsidR="00754E63" w:rsidRPr="008A0812" w:rsidRDefault="00754E63" w:rsidP="00754E63">
      <w:pPr>
        <w:pStyle w:val="Heading2"/>
      </w:pPr>
      <w:bookmarkStart w:id="265" w:name="_Toc41680847"/>
      <w:r w:rsidRPr="008A0812">
        <w:t>Business Risk Exposure Summary Results</w:t>
      </w:r>
      <w:bookmarkEnd w:id="265"/>
    </w:p>
    <w:p w14:paraId="15BB36A5" w14:textId="77777777" w:rsidR="00754E63" w:rsidRPr="008A0812" w:rsidRDefault="00754E63" w:rsidP="00754E63">
      <w:pPr>
        <w:pStyle w:val="BodyText"/>
      </w:pPr>
      <w:r w:rsidRPr="008A0812">
        <w:t>Through a workshop, the Hazen team worked with SBMWD staff to determine the appropriate risk assessment methodology to calculate the risk score for each asset.</w:t>
      </w:r>
    </w:p>
    <w:p w14:paraId="25F4E0D8" w14:textId="47B99AB0" w:rsidR="00754E63" w:rsidRPr="008A0812" w:rsidRDefault="00754E63" w:rsidP="00754E63">
      <w:pPr>
        <w:pStyle w:val="BodyText"/>
      </w:pPr>
      <w:r w:rsidRPr="008A0812">
        <w:t xml:space="preserve">Business Risk Exposure (BRE) is a component of both the probability of failure and consequence of failure based on the formula presented in </w:t>
      </w:r>
      <w:r w:rsidR="0047478E" w:rsidRPr="008A0812">
        <w:fldChar w:fldCharType="begin"/>
      </w:r>
      <w:r w:rsidR="0047478E" w:rsidRPr="008A0812">
        <w:instrText xml:space="preserve"> REF _Ref36231202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13</w:t>
      </w:r>
      <w:r w:rsidR="0047478E" w:rsidRPr="008A0812">
        <w:fldChar w:fldCharType="end"/>
      </w:r>
      <w:r w:rsidRPr="008A0812">
        <w:t>.</w:t>
      </w:r>
    </w:p>
    <w:p w14:paraId="5783F066" w14:textId="799D1814" w:rsidR="0047478E" w:rsidRPr="008A0812" w:rsidRDefault="0047478E" w:rsidP="00AF40CB">
      <w:pPr>
        <w:pStyle w:val="FigureHeading"/>
      </w:pPr>
      <w:bookmarkStart w:id="266" w:name="_Ref36231202"/>
      <w:bookmarkStart w:id="267" w:name="_Toc41684690"/>
      <w:r w:rsidRPr="008A0812">
        <w:t xml:space="preserve">Figure </w:t>
      </w:r>
      <w:fldSimple w:instr=" STYLEREF 1 \s ">
        <w:r w:rsidR="00AA68F8">
          <w:rPr>
            <w:noProof/>
          </w:rPr>
          <w:t>4</w:t>
        </w:r>
      </w:fldSimple>
      <w:r w:rsidR="00B233D1">
        <w:noBreakHyphen/>
      </w:r>
      <w:fldSimple w:instr=" SEQ Figure \* ARABIC \s 1 ">
        <w:r w:rsidR="00AA68F8">
          <w:rPr>
            <w:noProof/>
          </w:rPr>
          <w:t>13</w:t>
        </w:r>
      </w:fldSimple>
      <w:bookmarkEnd w:id="266"/>
      <w:r w:rsidRPr="008A0812">
        <w:t>: Business Risk Exposure Formula</w:t>
      </w:r>
      <w:bookmarkEnd w:id="267"/>
    </w:p>
    <w:p w14:paraId="425AAE48" w14:textId="3A652CBF" w:rsidR="00754E63" w:rsidRPr="008A0812" w:rsidRDefault="00754E63" w:rsidP="00754E63">
      <w:pPr>
        <w:pStyle w:val="BodyText"/>
        <w:jc w:val="center"/>
      </w:pPr>
      <w:r>
        <w:rPr>
          <w:noProof/>
        </w:rPr>
        <w:drawing>
          <wp:inline distT="0" distB="0" distL="0" distR="0" wp14:anchorId="56727A65" wp14:editId="23CCE2FD">
            <wp:extent cx="4559935" cy="1853565"/>
            <wp:effectExtent l="0" t="0" r="0" b="0"/>
            <wp:docPr id="1364652995"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71">
                      <a:extLst>
                        <a:ext uri="{28A0092B-C50C-407E-A947-70E740481C1C}">
                          <a14:useLocalDpi xmlns:a14="http://schemas.microsoft.com/office/drawing/2010/main" val="0"/>
                        </a:ext>
                      </a:extLst>
                    </a:blip>
                    <a:stretch>
                      <a:fillRect/>
                    </a:stretch>
                  </pic:blipFill>
                  <pic:spPr>
                    <a:xfrm>
                      <a:off x="0" y="0"/>
                      <a:ext cx="4559935" cy="1853565"/>
                    </a:xfrm>
                    <a:prstGeom prst="rect">
                      <a:avLst/>
                    </a:prstGeom>
                  </pic:spPr>
                </pic:pic>
              </a:graphicData>
            </a:graphic>
          </wp:inline>
        </w:drawing>
      </w:r>
    </w:p>
    <w:p w14:paraId="600F45C9" w14:textId="35FC9B23" w:rsidR="00754E63" w:rsidRPr="008A0812" w:rsidRDefault="00754E63" w:rsidP="00754E63">
      <w:pPr>
        <w:pStyle w:val="BodyText"/>
      </w:pPr>
      <w:r w:rsidRPr="008A0812">
        <w:t xml:space="preserve">Mapping the risk results on a matrix is a powerful tool to visualize how each asset is scored against the main constituents of the risk (PoF and CoF). The risk matrix, presented in </w:t>
      </w:r>
      <w:r w:rsidR="0047478E" w:rsidRPr="008A0812">
        <w:fldChar w:fldCharType="begin"/>
      </w:r>
      <w:r w:rsidR="0047478E" w:rsidRPr="008A0812">
        <w:instrText xml:space="preserve"> REF _Ref36231224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14</w:t>
      </w:r>
      <w:r w:rsidR="0047478E" w:rsidRPr="008A0812">
        <w:fldChar w:fldCharType="end"/>
      </w:r>
      <w:r w:rsidRPr="008A0812">
        <w:t>, demonstrates the probability of failure on the vertical axis and consequence of failure on the horizontal axis.  The numbers inside the individual cells denote the number of assets identified in that risk level.</w:t>
      </w:r>
    </w:p>
    <w:p w14:paraId="5D216CB1" w14:textId="182B47F0" w:rsidR="0047478E" w:rsidRPr="008A0812" w:rsidRDefault="0047478E" w:rsidP="00AF40CB">
      <w:pPr>
        <w:pStyle w:val="FigureHeading"/>
      </w:pPr>
      <w:bookmarkStart w:id="268" w:name="_Ref36231224"/>
      <w:bookmarkStart w:id="269" w:name="_Toc41684691"/>
      <w:r w:rsidRPr="008A0812">
        <w:t xml:space="preserve">Figure </w:t>
      </w:r>
      <w:fldSimple w:instr=" STYLEREF 1 \s ">
        <w:r w:rsidR="00AA68F8">
          <w:rPr>
            <w:noProof/>
          </w:rPr>
          <w:t>4</w:t>
        </w:r>
      </w:fldSimple>
      <w:r w:rsidR="00B233D1">
        <w:noBreakHyphen/>
      </w:r>
      <w:fldSimple w:instr=" SEQ Figure \* ARABIC \s 1 ">
        <w:r w:rsidR="00AA68F8">
          <w:rPr>
            <w:noProof/>
          </w:rPr>
          <w:t>14</w:t>
        </w:r>
      </w:fldSimple>
      <w:bookmarkEnd w:id="268"/>
      <w:r w:rsidRPr="008A0812">
        <w:t>: Risk Matrix</w:t>
      </w:r>
      <w:bookmarkEnd w:id="269"/>
    </w:p>
    <w:p w14:paraId="423DBFE8" w14:textId="21C21AE1" w:rsidR="00754E63" w:rsidRPr="008A0812" w:rsidRDefault="00754E63" w:rsidP="00754E63">
      <w:pPr>
        <w:pStyle w:val="BodyText"/>
        <w:jc w:val="center"/>
      </w:pPr>
      <w:r w:rsidRPr="008A0812">
        <w:rPr>
          <w:noProof/>
        </w:rPr>
        <w:drawing>
          <wp:inline distT="0" distB="0" distL="0" distR="0" wp14:anchorId="2E8DE5D5" wp14:editId="07556420">
            <wp:extent cx="5943600" cy="2377440"/>
            <wp:effectExtent l="0" t="0" r="0" b="3810"/>
            <wp:docPr id="242" name="Picture 24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377440"/>
                    </a:xfrm>
                    <a:prstGeom prst="rect">
                      <a:avLst/>
                    </a:prstGeom>
                    <a:noFill/>
                    <a:ln>
                      <a:noFill/>
                    </a:ln>
                  </pic:spPr>
                </pic:pic>
              </a:graphicData>
            </a:graphic>
          </wp:inline>
        </w:drawing>
      </w:r>
    </w:p>
    <w:p w14:paraId="0D1A5C7D" w14:textId="77777777" w:rsidR="00754E63" w:rsidRPr="008A0812" w:rsidRDefault="00754E63" w:rsidP="00754E63">
      <w:pPr>
        <w:pStyle w:val="BodyText"/>
      </w:pPr>
      <w:r w:rsidRPr="008A0812">
        <w:t>Assets within the WRP were mapped on the risk matrix based on their categories (i.e., High, Medium, and Low). The risk matrix was categorized and color-coded into high, medium, and low risk zones (red, orange, and green respectively).  Assets located on the top-right corner of the risk matrix are considered high risk and assets located on the bottom-left of the risk matrix are considered low risk assets. Here is a summary of the logics set up to categorize assets into high, medium, and low risk zones:</w:t>
      </w:r>
    </w:p>
    <w:p w14:paraId="475AE3E1" w14:textId="01E4C38E" w:rsidR="00754E63" w:rsidRPr="008A0812" w:rsidRDefault="00754E63" w:rsidP="00754E63">
      <w:pPr>
        <w:pStyle w:val="Bullet"/>
      </w:pPr>
      <w:r w:rsidRPr="008A0812">
        <w:t>For assets with High PoF:</w:t>
      </w:r>
    </w:p>
    <w:p w14:paraId="04E4F89F" w14:textId="5D5A9736" w:rsidR="00754E63" w:rsidRPr="008A0812" w:rsidRDefault="00754E63" w:rsidP="00754E63">
      <w:pPr>
        <w:pStyle w:val="BulletIndent"/>
      </w:pPr>
      <w:r w:rsidRPr="008A0812">
        <w:t>If the CoF is Medium or High, the asset is considered High Risk</w:t>
      </w:r>
    </w:p>
    <w:p w14:paraId="5F22A2FB" w14:textId="67C1AC25" w:rsidR="00754E63" w:rsidRPr="008A0812" w:rsidRDefault="00754E63" w:rsidP="00754E63">
      <w:pPr>
        <w:pStyle w:val="BulletIndent"/>
      </w:pPr>
      <w:r w:rsidRPr="008A0812">
        <w:t>If the CoF is Low or Negligible, the asset is considered Medium Risk</w:t>
      </w:r>
    </w:p>
    <w:p w14:paraId="4ED3725D" w14:textId="734353A7" w:rsidR="00754E63" w:rsidRPr="008A0812" w:rsidRDefault="00754E63" w:rsidP="00754E63">
      <w:pPr>
        <w:pStyle w:val="Bullet"/>
      </w:pPr>
      <w:r w:rsidRPr="008A0812">
        <w:t>For assets with Medium PoF:</w:t>
      </w:r>
    </w:p>
    <w:p w14:paraId="20D74B4E" w14:textId="3C3F6A31" w:rsidR="00754E63" w:rsidRPr="008A0812" w:rsidRDefault="00754E63" w:rsidP="00754E63">
      <w:pPr>
        <w:pStyle w:val="BulletIndent"/>
      </w:pPr>
      <w:r w:rsidRPr="008A0812">
        <w:t>If the CoF is High, the asset is considered High Risk</w:t>
      </w:r>
    </w:p>
    <w:p w14:paraId="7E70A9ED" w14:textId="26A222AF" w:rsidR="00754E63" w:rsidRPr="008A0812" w:rsidRDefault="00754E63" w:rsidP="00754E63">
      <w:pPr>
        <w:pStyle w:val="BulletIndent"/>
      </w:pPr>
      <w:r w:rsidRPr="008A0812">
        <w:t>If the CoF is Low or Medium, the asset is considered Medium Risk</w:t>
      </w:r>
    </w:p>
    <w:p w14:paraId="4333EAF3" w14:textId="26010CCF" w:rsidR="00754E63" w:rsidRPr="008A0812" w:rsidRDefault="00754E63" w:rsidP="00754E63">
      <w:pPr>
        <w:pStyle w:val="BulletIndent"/>
      </w:pPr>
      <w:r w:rsidRPr="008A0812">
        <w:t>If the CoF is Negligible, the asset is considered Low Risk</w:t>
      </w:r>
    </w:p>
    <w:p w14:paraId="39C93DE0" w14:textId="0CDB0AEA" w:rsidR="00754E63" w:rsidRPr="008A0812" w:rsidRDefault="00754E63" w:rsidP="00754E63">
      <w:pPr>
        <w:pStyle w:val="Bullet"/>
      </w:pPr>
      <w:r w:rsidRPr="008A0812">
        <w:t>For assets with Low PoF:</w:t>
      </w:r>
    </w:p>
    <w:p w14:paraId="78578CCB" w14:textId="55C3822B" w:rsidR="00754E63" w:rsidRPr="008A0812" w:rsidRDefault="00754E63" w:rsidP="00754E63">
      <w:pPr>
        <w:pStyle w:val="BulletIndent"/>
      </w:pPr>
      <w:r w:rsidRPr="008A0812">
        <w:t>If the CoF is Medium or High, the asset is considered Medium Risk</w:t>
      </w:r>
    </w:p>
    <w:p w14:paraId="51C14074" w14:textId="7AA986EE" w:rsidR="00754E63" w:rsidRPr="008A0812" w:rsidRDefault="00754E63" w:rsidP="00754E63">
      <w:pPr>
        <w:pStyle w:val="BulletIndent"/>
      </w:pPr>
      <w:r w:rsidRPr="008A0812">
        <w:t>If the CoF is Negligible or Low, the asset is considered Low Risk</w:t>
      </w:r>
    </w:p>
    <w:p w14:paraId="7DD293F4" w14:textId="2720B79C" w:rsidR="00754E63" w:rsidRPr="008A0812" w:rsidRDefault="00754E63" w:rsidP="00754E63">
      <w:pPr>
        <w:pStyle w:val="Bullet"/>
      </w:pPr>
      <w:r w:rsidRPr="008A0812">
        <w:t>For assets with Negligible PoF:</w:t>
      </w:r>
    </w:p>
    <w:p w14:paraId="1282F479" w14:textId="3C970377" w:rsidR="00754E63" w:rsidRPr="008A0812" w:rsidRDefault="00754E63" w:rsidP="00754E63">
      <w:pPr>
        <w:pStyle w:val="BulletIndent"/>
      </w:pPr>
      <w:r w:rsidRPr="008A0812">
        <w:t>Regardless of the CoF score, the asset is considered Low Risk</w:t>
      </w:r>
    </w:p>
    <w:p w14:paraId="394F0419" w14:textId="2754C399" w:rsidR="0001683D" w:rsidRPr="008A0812" w:rsidRDefault="00EE5870" w:rsidP="00754E63">
      <w:pPr>
        <w:pStyle w:val="BodyText"/>
      </w:pPr>
      <w:r w:rsidRPr="008A0812">
        <w:fldChar w:fldCharType="begin"/>
      </w:r>
      <w:r w:rsidRPr="008A0812">
        <w:instrText xml:space="preserve"> REF _Ref36231867 \h </w:instrText>
      </w:r>
      <w:r w:rsidR="008A0812">
        <w:instrText xml:space="preserve"> \* MERGEFORMAT </w:instrText>
      </w:r>
      <w:r w:rsidRPr="008A0812">
        <w:fldChar w:fldCharType="separate"/>
      </w:r>
      <w:r w:rsidR="00AA68F8" w:rsidRPr="008A0812">
        <w:t xml:space="preserve">Table </w:t>
      </w:r>
      <w:r w:rsidR="00AA68F8">
        <w:rPr>
          <w:noProof/>
        </w:rPr>
        <w:t>4</w:t>
      </w:r>
      <w:r w:rsidR="00AA68F8" w:rsidRPr="008A0812">
        <w:rPr>
          <w:noProof/>
        </w:rPr>
        <w:noBreakHyphen/>
      </w:r>
      <w:r w:rsidR="00AA68F8">
        <w:rPr>
          <w:noProof/>
        </w:rPr>
        <w:t>10</w:t>
      </w:r>
      <w:r w:rsidRPr="008A0812">
        <w:fldChar w:fldCharType="end"/>
      </w:r>
      <w:r w:rsidR="00754E63" w:rsidRPr="008A0812">
        <w:t xml:space="preserve"> presents the number of assets with high risk BRE scores at each of the different plant processes. A list of high </w:t>
      </w:r>
      <w:r w:rsidR="00200418">
        <w:t>r</w:t>
      </w:r>
      <w:r w:rsidR="00754E63" w:rsidRPr="008A0812">
        <w:t xml:space="preserve">isk BRE assets is shown in Appendix </w:t>
      </w:r>
      <w:r w:rsidR="007A6DB8" w:rsidRPr="008A0812">
        <w:t>C</w:t>
      </w:r>
      <w:r w:rsidR="00754E63" w:rsidRPr="008A0812">
        <w:t>.</w:t>
      </w:r>
    </w:p>
    <w:p w14:paraId="5F4A376D" w14:textId="79EDF8D0" w:rsidR="00EE5870" w:rsidRPr="008A0812" w:rsidRDefault="00EE5870" w:rsidP="00EE5870">
      <w:pPr>
        <w:pStyle w:val="TableHeading"/>
      </w:pPr>
      <w:bookmarkStart w:id="270" w:name="_Ref36231867"/>
      <w:bookmarkStart w:id="271" w:name="_Toc36414052"/>
      <w:bookmarkStart w:id="272" w:name="_Toc41684753"/>
      <w:r w:rsidRPr="008A0812">
        <w:t xml:space="preserve">Table </w:t>
      </w:r>
      <w:r>
        <w:fldChar w:fldCharType="begin"/>
      </w:r>
      <w:r>
        <w:instrText>STYLEREF 1 \s</w:instrText>
      </w:r>
      <w:r>
        <w:fldChar w:fldCharType="separate"/>
      </w:r>
      <w:r w:rsidR="00AA68F8">
        <w:rPr>
          <w:noProof/>
        </w:rPr>
        <w:t>4</w:t>
      </w:r>
      <w:r>
        <w:fldChar w:fldCharType="end"/>
      </w:r>
      <w:r w:rsidR="00524B10" w:rsidRPr="008A0812">
        <w:noBreakHyphen/>
      </w:r>
      <w:r>
        <w:fldChar w:fldCharType="begin"/>
      </w:r>
      <w:r>
        <w:instrText>SEQ Table \* ARABIC \s 1</w:instrText>
      </w:r>
      <w:r>
        <w:fldChar w:fldCharType="separate"/>
      </w:r>
      <w:r w:rsidR="00AA68F8">
        <w:rPr>
          <w:noProof/>
        </w:rPr>
        <w:t>10</w:t>
      </w:r>
      <w:r>
        <w:fldChar w:fldCharType="end"/>
      </w:r>
      <w:bookmarkEnd w:id="270"/>
      <w:r w:rsidRPr="008A0812">
        <w:t>: High Risk Assets</w:t>
      </w:r>
      <w:bookmarkEnd w:id="271"/>
      <w:bookmarkEnd w:id="272"/>
    </w:p>
    <w:tbl>
      <w:tblPr>
        <w:tblW w:w="93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114"/>
        <w:gridCol w:w="3115"/>
        <w:gridCol w:w="3115"/>
      </w:tblGrid>
      <w:tr w:rsidR="00754E63" w:rsidRPr="008A0812" w14:paraId="3322B93D" w14:textId="77777777" w:rsidTr="0047478E">
        <w:trPr>
          <w:cantSplit/>
          <w:trHeight w:val="288"/>
          <w:tblHeader/>
        </w:trPr>
        <w:tc>
          <w:tcPr>
            <w:tcW w:w="3114" w:type="dxa"/>
            <w:shd w:val="clear" w:color="auto" w:fill="BFBFBF"/>
            <w:vAlign w:val="center"/>
            <w:hideMark/>
          </w:tcPr>
          <w:p w14:paraId="3473D48A" w14:textId="77777777" w:rsidR="00754E63" w:rsidRPr="008A0812" w:rsidRDefault="00754E63" w:rsidP="00EE5870">
            <w:pPr>
              <w:keepNext/>
              <w:overflowPunct/>
              <w:autoSpaceDE/>
              <w:autoSpaceDN/>
              <w:adjustRightInd/>
              <w:jc w:val="center"/>
              <w:rPr>
                <w:b/>
                <w:bCs/>
              </w:rPr>
            </w:pPr>
            <w:r w:rsidRPr="008A0812">
              <w:rPr>
                <w:b/>
                <w:bCs/>
              </w:rPr>
              <w:t>Process</w:t>
            </w:r>
          </w:p>
        </w:tc>
        <w:tc>
          <w:tcPr>
            <w:tcW w:w="3115" w:type="dxa"/>
            <w:shd w:val="clear" w:color="auto" w:fill="BFBFBF"/>
            <w:vAlign w:val="center"/>
          </w:tcPr>
          <w:p w14:paraId="5AAD8F7E" w14:textId="77777777" w:rsidR="00754E63" w:rsidRPr="008A0812" w:rsidRDefault="00754E63" w:rsidP="00EE5870">
            <w:pPr>
              <w:keepNext/>
              <w:overflowPunct/>
              <w:autoSpaceDE/>
              <w:autoSpaceDN/>
              <w:adjustRightInd/>
              <w:jc w:val="center"/>
              <w:rPr>
                <w:b/>
                <w:bCs/>
              </w:rPr>
            </w:pPr>
            <w:r w:rsidRPr="008A0812">
              <w:rPr>
                <w:b/>
                <w:bCs/>
              </w:rPr>
              <w:t>No. of Assets with High CoF</w:t>
            </w:r>
          </w:p>
        </w:tc>
        <w:tc>
          <w:tcPr>
            <w:tcW w:w="3115" w:type="dxa"/>
            <w:shd w:val="clear" w:color="auto" w:fill="BFBFBF"/>
            <w:vAlign w:val="center"/>
            <w:hideMark/>
          </w:tcPr>
          <w:p w14:paraId="4F66BB0D" w14:textId="77777777" w:rsidR="00754E63" w:rsidRPr="008A0812" w:rsidRDefault="00754E63" w:rsidP="00EE5870">
            <w:pPr>
              <w:keepNext/>
              <w:overflowPunct/>
              <w:autoSpaceDE/>
              <w:autoSpaceDN/>
              <w:adjustRightInd/>
              <w:jc w:val="center"/>
              <w:rPr>
                <w:rFonts w:ascii="Times New Roman" w:hAnsi="Times New Roman"/>
                <w:sz w:val="24"/>
                <w:szCs w:val="24"/>
              </w:rPr>
            </w:pPr>
            <w:r w:rsidRPr="008A0812">
              <w:rPr>
                <w:b/>
                <w:bCs/>
              </w:rPr>
              <w:t>Percentage of Assets with High CoF</w:t>
            </w:r>
          </w:p>
        </w:tc>
      </w:tr>
      <w:tr w:rsidR="00754E63" w:rsidRPr="008A0812" w14:paraId="45AC4AD2" w14:textId="77777777" w:rsidTr="00754E63">
        <w:trPr>
          <w:trHeight w:val="288"/>
        </w:trPr>
        <w:tc>
          <w:tcPr>
            <w:tcW w:w="3114" w:type="dxa"/>
            <w:vAlign w:val="center"/>
          </w:tcPr>
          <w:p w14:paraId="562938FE" w14:textId="18E1406B" w:rsidR="00754E63" w:rsidRPr="008A0812" w:rsidRDefault="00754E63" w:rsidP="00EE5870">
            <w:pPr>
              <w:keepNext/>
              <w:overflowPunct/>
              <w:autoSpaceDE/>
              <w:autoSpaceDN/>
              <w:adjustRightInd/>
              <w:rPr>
                <w:rFonts w:asciiTheme="minorHAnsi" w:hAnsiTheme="minorHAnsi"/>
              </w:rPr>
            </w:pPr>
            <w:r w:rsidRPr="008A0812">
              <w:t>Solids Handling</w:t>
            </w:r>
          </w:p>
        </w:tc>
        <w:tc>
          <w:tcPr>
            <w:tcW w:w="3115" w:type="dxa"/>
            <w:vAlign w:val="center"/>
          </w:tcPr>
          <w:p w14:paraId="067C4E54" w14:textId="0FA3A718" w:rsidR="00754E63" w:rsidRPr="008A0812" w:rsidRDefault="00754E63" w:rsidP="00EE5870">
            <w:pPr>
              <w:keepNext/>
              <w:overflowPunct/>
              <w:autoSpaceDE/>
              <w:autoSpaceDN/>
              <w:adjustRightInd/>
              <w:jc w:val="center"/>
              <w:rPr>
                <w:rFonts w:asciiTheme="majorHAnsi" w:hAnsiTheme="majorHAnsi"/>
              </w:rPr>
            </w:pPr>
            <w:r w:rsidRPr="008A0812">
              <w:t>2</w:t>
            </w:r>
          </w:p>
        </w:tc>
        <w:tc>
          <w:tcPr>
            <w:tcW w:w="3115" w:type="dxa"/>
            <w:vAlign w:val="center"/>
          </w:tcPr>
          <w:p w14:paraId="69D5AF20" w14:textId="3DB9675E" w:rsidR="00754E63" w:rsidRPr="008A0812" w:rsidRDefault="00754E63" w:rsidP="00EE5870">
            <w:pPr>
              <w:keepNext/>
              <w:overflowPunct/>
              <w:autoSpaceDE/>
              <w:autoSpaceDN/>
              <w:adjustRightInd/>
              <w:jc w:val="center"/>
              <w:rPr>
                <w:rFonts w:asciiTheme="majorHAnsi" w:hAnsiTheme="majorHAnsi"/>
              </w:rPr>
            </w:pPr>
            <w:r w:rsidRPr="008A0812">
              <w:t>&lt;1</w:t>
            </w:r>
          </w:p>
        </w:tc>
      </w:tr>
      <w:tr w:rsidR="00754E63" w:rsidRPr="008A0812" w14:paraId="16FA2600" w14:textId="77777777" w:rsidTr="00754E63">
        <w:trPr>
          <w:trHeight w:val="288"/>
        </w:trPr>
        <w:tc>
          <w:tcPr>
            <w:tcW w:w="3114" w:type="dxa"/>
            <w:vAlign w:val="center"/>
          </w:tcPr>
          <w:p w14:paraId="7DBF3F37" w14:textId="4E346C81" w:rsidR="00754E63" w:rsidRPr="008A0812" w:rsidRDefault="00754E63" w:rsidP="00EE5870">
            <w:pPr>
              <w:keepNext/>
              <w:overflowPunct/>
              <w:autoSpaceDE/>
              <w:autoSpaceDN/>
              <w:adjustRightInd/>
              <w:rPr>
                <w:rFonts w:asciiTheme="minorHAnsi" w:hAnsiTheme="minorHAnsi"/>
              </w:rPr>
            </w:pPr>
            <w:r w:rsidRPr="008A0812">
              <w:t>Primary</w:t>
            </w:r>
          </w:p>
        </w:tc>
        <w:tc>
          <w:tcPr>
            <w:tcW w:w="3115" w:type="dxa"/>
            <w:vAlign w:val="center"/>
          </w:tcPr>
          <w:p w14:paraId="2CE91485" w14:textId="1083AEA5" w:rsidR="00754E63" w:rsidRPr="008A0812" w:rsidRDefault="00754E63" w:rsidP="00EE5870">
            <w:pPr>
              <w:keepNext/>
              <w:overflowPunct/>
              <w:autoSpaceDE/>
              <w:autoSpaceDN/>
              <w:adjustRightInd/>
              <w:jc w:val="center"/>
              <w:rPr>
                <w:rFonts w:asciiTheme="majorHAnsi" w:hAnsiTheme="majorHAnsi"/>
              </w:rPr>
            </w:pPr>
            <w:r w:rsidRPr="008A0812">
              <w:t>3</w:t>
            </w:r>
          </w:p>
        </w:tc>
        <w:tc>
          <w:tcPr>
            <w:tcW w:w="3115" w:type="dxa"/>
            <w:vAlign w:val="center"/>
          </w:tcPr>
          <w:p w14:paraId="04C50FC2" w14:textId="0CBF5C6A" w:rsidR="00754E63" w:rsidRPr="008A0812" w:rsidRDefault="00754E63" w:rsidP="00EE5870">
            <w:pPr>
              <w:keepNext/>
              <w:overflowPunct/>
              <w:autoSpaceDE/>
              <w:autoSpaceDN/>
              <w:adjustRightInd/>
              <w:jc w:val="center"/>
              <w:rPr>
                <w:rFonts w:asciiTheme="majorHAnsi" w:hAnsiTheme="majorHAnsi"/>
              </w:rPr>
            </w:pPr>
            <w:r w:rsidRPr="008A0812">
              <w:t>1</w:t>
            </w:r>
          </w:p>
        </w:tc>
      </w:tr>
      <w:tr w:rsidR="00754E63" w:rsidRPr="008A0812" w14:paraId="7B12218B" w14:textId="77777777" w:rsidTr="00754E63">
        <w:trPr>
          <w:trHeight w:val="288"/>
        </w:trPr>
        <w:tc>
          <w:tcPr>
            <w:tcW w:w="3114" w:type="dxa"/>
            <w:vAlign w:val="center"/>
          </w:tcPr>
          <w:p w14:paraId="15907B09" w14:textId="6A2CDD19" w:rsidR="00754E63" w:rsidRPr="008A0812" w:rsidRDefault="00754E63" w:rsidP="00754E63">
            <w:pPr>
              <w:overflowPunct/>
              <w:autoSpaceDE/>
              <w:autoSpaceDN/>
              <w:adjustRightInd/>
              <w:rPr>
                <w:rFonts w:asciiTheme="minorHAnsi" w:hAnsiTheme="minorHAnsi"/>
              </w:rPr>
            </w:pPr>
            <w:r w:rsidRPr="008A0812">
              <w:t>Outfall</w:t>
            </w:r>
          </w:p>
        </w:tc>
        <w:tc>
          <w:tcPr>
            <w:tcW w:w="3115" w:type="dxa"/>
            <w:vAlign w:val="center"/>
          </w:tcPr>
          <w:p w14:paraId="62CCC21D" w14:textId="0A046BC9" w:rsidR="00754E63" w:rsidRPr="008A0812" w:rsidRDefault="00754E63" w:rsidP="00754E63">
            <w:pPr>
              <w:overflowPunct/>
              <w:autoSpaceDE/>
              <w:autoSpaceDN/>
              <w:adjustRightInd/>
              <w:jc w:val="center"/>
              <w:rPr>
                <w:rFonts w:asciiTheme="majorHAnsi" w:hAnsiTheme="majorHAnsi"/>
              </w:rPr>
            </w:pPr>
            <w:r w:rsidRPr="008A0812">
              <w:t>7</w:t>
            </w:r>
          </w:p>
        </w:tc>
        <w:tc>
          <w:tcPr>
            <w:tcW w:w="3115" w:type="dxa"/>
            <w:vAlign w:val="center"/>
          </w:tcPr>
          <w:p w14:paraId="643FB510" w14:textId="24490B20" w:rsidR="00754E63" w:rsidRPr="008A0812" w:rsidRDefault="00754E63" w:rsidP="00754E63">
            <w:pPr>
              <w:overflowPunct/>
              <w:autoSpaceDE/>
              <w:autoSpaceDN/>
              <w:adjustRightInd/>
              <w:jc w:val="center"/>
              <w:rPr>
                <w:rFonts w:asciiTheme="majorHAnsi" w:hAnsiTheme="majorHAnsi"/>
              </w:rPr>
            </w:pPr>
            <w:r w:rsidRPr="008A0812">
              <w:t>18</w:t>
            </w:r>
          </w:p>
        </w:tc>
      </w:tr>
      <w:tr w:rsidR="00754E63" w:rsidRPr="008A0812" w14:paraId="34C1D06C" w14:textId="77777777" w:rsidTr="00754E63">
        <w:trPr>
          <w:trHeight w:val="288"/>
        </w:trPr>
        <w:tc>
          <w:tcPr>
            <w:tcW w:w="3114" w:type="dxa"/>
            <w:vAlign w:val="center"/>
          </w:tcPr>
          <w:p w14:paraId="019DBF92" w14:textId="47F017F9" w:rsidR="00754E63" w:rsidRPr="008A0812" w:rsidRDefault="00754E63" w:rsidP="00754E63">
            <w:pPr>
              <w:overflowPunct/>
              <w:autoSpaceDE/>
              <w:autoSpaceDN/>
              <w:adjustRightInd/>
              <w:rPr>
                <w:rFonts w:asciiTheme="minorHAnsi" w:hAnsiTheme="minorHAnsi"/>
              </w:rPr>
            </w:pPr>
            <w:r w:rsidRPr="008A0812">
              <w:t>Lift Stations</w:t>
            </w:r>
          </w:p>
        </w:tc>
        <w:tc>
          <w:tcPr>
            <w:tcW w:w="3115" w:type="dxa"/>
            <w:vAlign w:val="center"/>
          </w:tcPr>
          <w:p w14:paraId="1BCAF113" w14:textId="48237FE6" w:rsidR="00754E63" w:rsidRPr="008A0812" w:rsidRDefault="00754E63" w:rsidP="00754E63">
            <w:pPr>
              <w:overflowPunct/>
              <w:autoSpaceDE/>
              <w:autoSpaceDN/>
              <w:adjustRightInd/>
              <w:jc w:val="center"/>
              <w:rPr>
                <w:rFonts w:asciiTheme="majorHAnsi" w:hAnsiTheme="majorHAnsi"/>
              </w:rPr>
            </w:pPr>
            <w:r w:rsidRPr="008A0812">
              <w:t>9</w:t>
            </w:r>
          </w:p>
        </w:tc>
        <w:tc>
          <w:tcPr>
            <w:tcW w:w="3115" w:type="dxa"/>
            <w:vAlign w:val="center"/>
          </w:tcPr>
          <w:p w14:paraId="538F1FBF" w14:textId="213CA271" w:rsidR="00754E63" w:rsidRPr="008A0812" w:rsidRDefault="00754E63" w:rsidP="00754E63">
            <w:pPr>
              <w:overflowPunct/>
              <w:autoSpaceDE/>
              <w:autoSpaceDN/>
              <w:adjustRightInd/>
              <w:jc w:val="center"/>
              <w:rPr>
                <w:rFonts w:asciiTheme="majorHAnsi" w:hAnsiTheme="majorHAnsi"/>
              </w:rPr>
            </w:pPr>
            <w:r w:rsidRPr="008A0812">
              <w:t>8</w:t>
            </w:r>
          </w:p>
        </w:tc>
      </w:tr>
      <w:tr w:rsidR="00754E63" w:rsidRPr="008A0812" w14:paraId="75733218" w14:textId="77777777" w:rsidTr="00754E63">
        <w:trPr>
          <w:trHeight w:val="288"/>
        </w:trPr>
        <w:tc>
          <w:tcPr>
            <w:tcW w:w="3114" w:type="dxa"/>
            <w:vAlign w:val="center"/>
          </w:tcPr>
          <w:p w14:paraId="0A657BEE" w14:textId="5421853F" w:rsidR="00754E63" w:rsidRPr="008A0812" w:rsidRDefault="00754E63" w:rsidP="00754E63">
            <w:pPr>
              <w:overflowPunct/>
              <w:autoSpaceDE/>
              <w:autoSpaceDN/>
              <w:adjustRightInd/>
              <w:rPr>
                <w:rFonts w:asciiTheme="minorHAnsi" w:hAnsiTheme="minorHAnsi"/>
              </w:rPr>
            </w:pPr>
            <w:r w:rsidRPr="008A0812">
              <w:t>Secondary</w:t>
            </w:r>
          </w:p>
        </w:tc>
        <w:tc>
          <w:tcPr>
            <w:tcW w:w="3115" w:type="dxa"/>
            <w:vAlign w:val="center"/>
          </w:tcPr>
          <w:p w14:paraId="725011E1" w14:textId="19F723BF" w:rsidR="00754E63" w:rsidRPr="008A0812" w:rsidRDefault="00754E63" w:rsidP="00754E63">
            <w:pPr>
              <w:overflowPunct/>
              <w:autoSpaceDE/>
              <w:autoSpaceDN/>
              <w:adjustRightInd/>
              <w:jc w:val="center"/>
              <w:rPr>
                <w:rFonts w:asciiTheme="majorHAnsi" w:hAnsiTheme="majorHAnsi"/>
              </w:rPr>
            </w:pPr>
            <w:r w:rsidRPr="008A0812">
              <w:t>10</w:t>
            </w:r>
          </w:p>
        </w:tc>
        <w:tc>
          <w:tcPr>
            <w:tcW w:w="3115" w:type="dxa"/>
            <w:vAlign w:val="center"/>
          </w:tcPr>
          <w:p w14:paraId="04CADC54" w14:textId="2E309E65" w:rsidR="00754E63" w:rsidRPr="008A0812" w:rsidRDefault="00754E63" w:rsidP="00754E63">
            <w:pPr>
              <w:overflowPunct/>
              <w:autoSpaceDE/>
              <w:autoSpaceDN/>
              <w:adjustRightInd/>
              <w:jc w:val="center"/>
              <w:rPr>
                <w:rFonts w:asciiTheme="majorHAnsi" w:hAnsiTheme="majorHAnsi"/>
              </w:rPr>
            </w:pPr>
            <w:r w:rsidRPr="008A0812">
              <w:t>1</w:t>
            </w:r>
          </w:p>
        </w:tc>
      </w:tr>
      <w:tr w:rsidR="00754E63" w:rsidRPr="008A0812" w14:paraId="70BDA9CE" w14:textId="77777777" w:rsidTr="00754E63">
        <w:trPr>
          <w:trHeight w:val="288"/>
        </w:trPr>
        <w:tc>
          <w:tcPr>
            <w:tcW w:w="3114" w:type="dxa"/>
            <w:vAlign w:val="center"/>
          </w:tcPr>
          <w:p w14:paraId="5F55A9AB" w14:textId="4A7DB7B5" w:rsidR="00754E63" w:rsidRPr="008A0812" w:rsidRDefault="00754E63" w:rsidP="00754E63">
            <w:pPr>
              <w:overflowPunct/>
              <w:autoSpaceDE/>
              <w:autoSpaceDN/>
              <w:adjustRightInd/>
              <w:rPr>
                <w:rFonts w:asciiTheme="minorHAnsi" w:hAnsiTheme="minorHAnsi"/>
              </w:rPr>
            </w:pPr>
            <w:r w:rsidRPr="008A0812">
              <w:t>Solids Treatment</w:t>
            </w:r>
          </w:p>
        </w:tc>
        <w:tc>
          <w:tcPr>
            <w:tcW w:w="3115" w:type="dxa"/>
            <w:vAlign w:val="center"/>
          </w:tcPr>
          <w:p w14:paraId="745AF523" w14:textId="12C7D7BC" w:rsidR="00754E63" w:rsidRPr="008A0812" w:rsidRDefault="00754E63" w:rsidP="00754E63">
            <w:pPr>
              <w:overflowPunct/>
              <w:autoSpaceDE/>
              <w:autoSpaceDN/>
              <w:adjustRightInd/>
              <w:jc w:val="center"/>
              <w:rPr>
                <w:rFonts w:asciiTheme="majorHAnsi" w:hAnsiTheme="majorHAnsi"/>
              </w:rPr>
            </w:pPr>
            <w:r w:rsidRPr="008A0812">
              <w:t>14</w:t>
            </w:r>
          </w:p>
        </w:tc>
        <w:tc>
          <w:tcPr>
            <w:tcW w:w="3115" w:type="dxa"/>
            <w:vAlign w:val="center"/>
          </w:tcPr>
          <w:p w14:paraId="607B2EC2" w14:textId="1A395E43" w:rsidR="00754E63" w:rsidRPr="008A0812" w:rsidRDefault="00754E63" w:rsidP="00754E63">
            <w:pPr>
              <w:overflowPunct/>
              <w:autoSpaceDE/>
              <w:autoSpaceDN/>
              <w:adjustRightInd/>
              <w:jc w:val="center"/>
              <w:rPr>
                <w:rFonts w:asciiTheme="majorHAnsi" w:hAnsiTheme="majorHAnsi"/>
              </w:rPr>
            </w:pPr>
            <w:r w:rsidRPr="008A0812">
              <w:t>8</w:t>
            </w:r>
          </w:p>
        </w:tc>
      </w:tr>
      <w:tr w:rsidR="00754E63" w:rsidRPr="008A0812" w14:paraId="75755E81" w14:textId="77777777" w:rsidTr="00754E63">
        <w:trPr>
          <w:trHeight w:val="288"/>
        </w:trPr>
        <w:tc>
          <w:tcPr>
            <w:tcW w:w="3114" w:type="dxa"/>
            <w:vAlign w:val="center"/>
          </w:tcPr>
          <w:p w14:paraId="3728422A" w14:textId="3CD9439E" w:rsidR="00754E63" w:rsidRPr="008A0812" w:rsidRDefault="00754E63" w:rsidP="00754E63">
            <w:pPr>
              <w:overflowPunct/>
              <w:autoSpaceDE/>
              <w:autoSpaceDN/>
              <w:adjustRightInd/>
              <w:rPr>
                <w:rFonts w:asciiTheme="minorHAnsi" w:hAnsiTheme="minorHAnsi"/>
              </w:rPr>
            </w:pPr>
            <w:r w:rsidRPr="008A0812">
              <w:t>Electrical</w:t>
            </w:r>
          </w:p>
        </w:tc>
        <w:tc>
          <w:tcPr>
            <w:tcW w:w="3115" w:type="dxa"/>
            <w:vAlign w:val="center"/>
          </w:tcPr>
          <w:p w14:paraId="1E7F28B1" w14:textId="3A16E2BE" w:rsidR="00754E63" w:rsidRPr="008A0812" w:rsidRDefault="00754E63" w:rsidP="00754E63">
            <w:pPr>
              <w:overflowPunct/>
              <w:autoSpaceDE/>
              <w:autoSpaceDN/>
              <w:adjustRightInd/>
              <w:jc w:val="center"/>
              <w:rPr>
                <w:rFonts w:asciiTheme="majorHAnsi" w:hAnsiTheme="majorHAnsi"/>
              </w:rPr>
            </w:pPr>
            <w:r w:rsidRPr="008A0812">
              <w:t>29</w:t>
            </w:r>
          </w:p>
        </w:tc>
        <w:tc>
          <w:tcPr>
            <w:tcW w:w="3115" w:type="dxa"/>
            <w:vAlign w:val="center"/>
          </w:tcPr>
          <w:p w14:paraId="0F48C334" w14:textId="25E1F474" w:rsidR="00754E63" w:rsidRPr="008A0812" w:rsidRDefault="00754E63" w:rsidP="00754E63">
            <w:pPr>
              <w:overflowPunct/>
              <w:autoSpaceDE/>
              <w:autoSpaceDN/>
              <w:adjustRightInd/>
              <w:jc w:val="center"/>
              <w:rPr>
                <w:rFonts w:asciiTheme="majorHAnsi" w:hAnsiTheme="majorHAnsi"/>
              </w:rPr>
            </w:pPr>
            <w:r w:rsidRPr="008A0812">
              <w:t>29</w:t>
            </w:r>
          </w:p>
        </w:tc>
      </w:tr>
      <w:tr w:rsidR="00754E63" w:rsidRPr="008A0812" w14:paraId="0DDE7576" w14:textId="77777777" w:rsidTr="00754E63">
        <w:trPr>
          <w:trHeight w:val="288"/>
        </w:trPr>
        <w:tc>
          <w:tcPr>
            <w:tcW w:w="3114" w:type="dxa"/>
            <w:vAlign w:val="center"/>
          </w:tcPr>
          <w:p w14:paraId="32B7790B" w14:textId="0AFEF807" w:rsidR="00754E63" w:rsidRPr="008A0812" w:rsidRDefault="00754E63" w:rsidP="00754E63">
            <w:pPr>
              <w:overflowPunct/>
              <w:autoSpaceDE/>
              <w:autoSpaceDN/>
              <w:adjustRightInd/>
              <w:rPr>
                <w:rFonts w:asciiTheme="minorHAnsi" w:hAnsiTheme="minorHAnsi"/>
              </w:rPr>
            </w:pPr>
            <w:r w:rsidRPr="008A0812">
              <w:t>Preliminary</w:t>
            </w:r>
          </w:p>
        </w:tc>
        <w:tc>
          <w:tcPr>
            <w:tcW w:w="3115" w:type="dxa"/>
            <w:vAlign w:val="center"/>
          </w:tcPr>
          <w:p w14:paraId="43AB7057" w14:textId="39877375" w:rsidR="00754E63" w:rsidRPr="008A0812" w:rsidRDefault="00754E63" w:rsidP="00754E63">
            <w:pPr>
              <w:overflowPunct/>
              <w:autoSpaceDE/>
              <w:autoSpaceDN/>
              <w:adjustRightInd/>
              <w:jc w:val="center"/>
              <w:rPr>
                <w:rFonts w:asciiTheme="majorHAnsi" w:hAnsiTheme="majorHAnsi"/>
              </w:rPr>
            </w:pPr>
            <w:r w:rsidRPr="008A0812">
              <w:t>29</w:t>
            </w:r>
          </w:p>
        </w:tc>
        <w:tc>
          <w:tcPr>
            <w:tcW w:w="3115" w:type="dxa"/>
            <w:vAlign w:val="center"/>
          </w:tcPr>
          <w:p w14:paraId="23018F2D" w14:textId="686BBDE3" w:rsidR="00754E63" w:rsidRPr="008A0812" w:rsidRDefault="00754E63" w:rsidP="00754E63">
            <w:pPr>
              <w:overflowPunct/>
              <w:autoSpaceDE/>
              <w:autoSpaceDN/>
              <w:adjustRightInd/>
              <w:jc w:val="center"/>
              <w:rPr>
                <w:rFonts w:asciiTheme="majorHAnsi" w:hAnsiTheme="majorHAnsi"/>
              </w:rPr>
            </w:pPr>
            <w:r w:rsidRPr="008A0812">
              <w:t>7</w:t>
            </w:r>
          </w:p>
        </w:tc>
      </w:tr>
      <w:tr w:rsidR="00754E63" w:rsidRPr="008A0812" w14:paraId="06E47C65" w14:textId="77777777" w:rsidTr="00754E63">
        <w:trPr>
          <w:trHeight w:val="288"/>
        </w:trPr>
        <w:tc>
          <w:tcPr>
            <w:tcW w:w="3114" w:type="dxa"/>
            <w:vAlign w:val="center"/>
          </w:tcPr>
          <w:p w14:paraId="69624592" w14:textId="77777777" w:rsidR="00754E63" w:rsidRPr="008A0812" w:rsidRDefault="00754E63" w:rsidP="00754E63">
            <w:pPr>
              <w:overflowPunct/>
              <w:autoSpaceDE/>
              <w:autoSpaceDN/>
              <w:adjustRightInd/>
              <w:jc w:val="right"/>
              <w:rPr>
                <w:rFonts w:asciiTheme="minorHAnsi" w:hAnsiTheme="minorHAnsi"/>
                <w:b/>
                <w:bCs/>
              </w:rPr>
            </w:pPr>
            <w:r w:rsidRPr="008A0812">
              <w:rPr>
                <w:b/>
                <w:bCs/>
              </w:rPr>
              <w:t>Total</w:t>
            </w:r>
          </w:p>
        </w:tc>
        <w:tc>
          <w:tcPr>
            <w:tcW w:w="3115" w:type="dxa"/>
            <w:vAlign w:val="center"/>
          </w:tcPr>
          <w:p w14:paraId="7A13F323" w14:textId="7131D827" w:rsidR="00754E63" w:rsidRPr="008A0812" w:rsidRDefault="00754E63" w:rsidP="00754E63">
            <w:pPr>
              <w:overflowPunct/>
              <w:autoSpaceDE/>
              <w:autoSpaceDN/>
              <w:adjustRightInd/>
              <w:jc w:val="center"/>
              <w:rPr>
                <w:rFonts w:asciiTheme="majorHAnsi" w:hAnsiTheme="majorHAnsi"/>
                <w:b/>
                <w:bCs/>
              </w:rPr>
            </w:pPr>
            <w:r w:rsidRPr="008A0812">
              <w:rPr>
                <w:b/>
                <w:bCs/>
              </w:rPr>
              <w:t>103</w:t>
            </w:r>
          </w:p>
        </w:tc>
        <w:tc>
          <w:tcPr>
            <w:tcW w:w="3115" w:type="dxa"/>
            <w:vAlign w:val="center"/>
          </w:tcPr>
          <w:p w14:paraId="6A6384A4" w14:textId="08608CB4" w:rsidR="00754E63" w:rsidRPr="008A0812" w:rsidRDefault="00754E63" w:rsidP="00754E63">
            <w:pPr>
              <w:overflowPunct/>
              <w:autoSpaceDE/>
              <w:autoSpaceDN/>
              <w:adjustRightInd/>
              <w:jc w:val="center"/>
              <w:rPr>
                <w:rFonts w:asciiTheme="majorHAnsi" w:hAnsiTheme="majorHAnsi"/>
                <w:b/>
                <w:bCs/>
              </w:rPr>
            </w:pPr>
            <w:r w:rsidRPr="008A0812">
              <w:rPr>
                <w:b/>
                <w:bCs/>
              </w:rPr>
              <w:t>4</w:t>
            </w:r>
          </w:p>
        </w:tc>
      </w:tr>
    </w:tbl>
    <w:p w14:paraId="7161E6E9" w14:textId="04719302" w:rsidR="00754E63" w:rsidRPr="008A0812" w:rsidRDefault="0047478E" w:rsidP="00A1350D">
      <w:pPr>
        <w:pStyle w:val="BodyText"/>
      </w:pPr>
      <w:r w:rsidRPr="008A0812">
        <w:fldChar w:fldCharType="begin"/>
      </w:r>
      <w:r w:rsidRPr="008A0812">
        <w:instrText xml:space="preserve"> REF _Ref36231270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15</w:t>
      </w:r>
      <w:r w:rsidRPr="008A0812">
        <w:fldChar w:fldCharType="end"/>
      </w:r>
      <w:r w:rsidR="00754E63" w:rsidRPr="008A0812">
        <w:t xml:space="preserve"> and </w:t>
      </w:r>
      <w:r w:rsidRPr="008A0812">
        <w:fldChar w:fldCharType="begin"/>
      </w:r>
      <w:r w:rsidRPr="008A0812">
        <w:instrText xml:space="preserve"> REF _Ref36231290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16</w:t>
      </w:r>
      <w:r w:rsidRPr="008A0812">
        <w:fldChar w:fldCharType="end"/>
      </w:r>
      <w:r w:rsidRPr="008A0812">
        <w:t xml:space="preserve"> </w:t>
      </w:r>
      <w:r w:rsidR="00754E63" w:rsidRPr="008A0812">
        <w:t>show location-based BRE results.</w:t>
      </w:r>
    </w:p>
    <w:p w14:paraId="7D79A6DD" w14:textId="64DF008D" w:rsidR="0047478E" w:rsidRPr="008A0812" w:rsidRDefault="0047478E" w:rsidP="00AF40CB">
      <w:pPr>
        <w:pStyle w:val="FigureHeading"/>
      </w:pPr>
      <w:bookmarkStart w:id="273" w:name="_Ref36231270"/>
      <w:bookmarkStart w:id="274" w:name="_Toc41684692"/>
      <w:r w:rsidRPr="008A0812">
        <w:t xml:space="preserve">Figure </w:t>
      </w:r>
      <w:fldSimple w:instr=" STYLEREF 1 \s ">
        <w:r w:rsidR="00AA68F8">
          <w:rPr>
            <w:noProof/>
          </w:rPr>
          <w:t>4</w:t>
        </w:r>
      </w:fldSimple>
      <w:r w:rsidR="00B233D1">
        <w:noBreakHyphen/>
      </w:r>
      <w:fldSimple w:instr=" SEQ Figure \* ARABIC \s 1 ">
        <w:r w:rsidR="00AA68F8">
          <w:rPr>
            <w:noProof/>
          </w:rPr>
          <w:t>15</w:t>
        </w:r>
      </w:fldSimple>
      <w:bookmarkEnd w:id="273"/>
      <w:r w:rsidRPr="008A0812">
        <w:t>: Location-Based BRE Results (Colored Map)</w:t>
      </w:r>
      <w:bookmarkEnd w:id="274"/>
    </w:p>
    <w:p w14:paraId="761DE18B" w14:textId="63AEE31F" w:rsidR="001F7177" w:rsidRPr="008A0812" w:rsidRDefault="001F7177" w:rsidP="001F7177">
      <w:pPr>
        <w:pStyle w:val="BodyText"/>
        <w:jc w:val="center"/>
      </w:pPr>
      <w:r>
        <w:rPr>
          <w:noProof/>
        </w:rPr>
        <w:drawing>
          <wp:inline distT="0" distB="0" distL="0" distR="0" wp14:anchorId="474C023D" wp14:editId="25D744EF">
            <wp:extent cx="5943600" cy="2828290"/>
            <wp:effectExtent l="0" t="0" r="0" b="0"/>
            <wp:docPr id="1510434302"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ic:nvPicPr>
                  <pic:blipFill>
                    <a:blip r:embed="rId73">
                      <a:extLst>
                        <a:ext uri="{28A0092B-C50C-407E-A947-70E740481C1C}">
                          <a14:useLocalDpi xmlns:a14="http://schemas.microsoft.com/office/drawing/2010/main" val="0"/>
                        </a:ext>
                      </a:extLst>
                    </a:blip>
                    <a:stretch>
                      <a:fillRect/>
                    </a:stretch>
                  </pic:blipFill>
                  <pic:spPr>
                    <a:xfrm>
                      <a:off x="0" y="0"/>
                      <a:ext cx="5943600" cy="2828290"/>
                    </a:xfrm>
                    <a:prstGeom prst="rect">
                      <a:avLst/>
                    </a:prstGeom>
                  </pic:spPr>
                </pic:pic>
              </a:graphicData>
            </a:graphic>
          </wp:inline>
        </w:drawing>
      </w:r>
    </w:p>
    <w:p w14:paraId="1FCD33FC" w14:textId="012EF4A6" w:rsidR="0047478E" w:rsidRPr="008A0812" w:rsidRDefault="0047478E" w:rsidP="00AF40CB">
      <w:pPr>
        <w:pStyle w:val="FigureHeading"/>
      </w:pPr>
      <w:bookmarkStart w:id="275" w:name="_Ref36231290"/>
      <w:bookmarkStart w:id="276" w:name="_Toc41684693"/>
      <w:r w:rsidRPr="008A0812">
        <w:t xml:space="preserve">Figure </w:t>
      </w:r>
      <w:fldSimple w:instr=" STYLEREF 1 \s ">
        <w:r w:rsidR="00AA68F8">
          <w:rPr>
            <w:noProof/>
          </w:rPr>
          <w:t>4</w:t>
        </w:r>
      </w:fldSimple>
      <w:r w:rsidR="00B233D1">
        <w:noBreakHyphen/>
      </w:r>
      <w:fldSimple w:instr=" SEQ Figure \* ARABIC \s 1 ">
        <w:r w:rsidR="00AA68F8">
          <w:rPr>
            <w:noProof/>
          </w:rPr>
          <w:t>16</w:t>
        </w:r>
      </w:fldSimple>
      <w:bookmarkEnd w:id="275"/>
      <w:r w:rsidRPr="008A0812">
        <w:t>: Location-Based BRE Results (Grayscale Map)</w:t>
      </w:r>
      <w:bookmarkEnd w:id="276"/>
    </w:p>
    <w:p w14:paraId="7AF21D22" w14:textId="27646F64" w:rsidR="00754E63" w:rsidRPr="008A0812" w:rsidRDefault="001F7177" w:rsidP="00A1350D">
      <w:pPr>
        <w:pStyle w:val="BodyText"/>
      </w:pPr>
      <w:r>
        <w:rPr>
          <w:noProof/>
        </w:rPr>
        <w:drawing>
          <wp:inline distT="0" distB="0" distL="0" distR="0" wp14:anchorId="5312208D" wp14:editId="380BCD9A">
            <wp:extent cx="5943600" cy="3231515"/>
            <wp:effectExtent l="0" t="0" r="0" b="6985"/>
            <wp:docPr id="8801082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74">
                      <a:extLst>
                        <a:ext uri="{28A0092B-C50C-407E-A947-70E740481C1C}">
                          <a14:useLocalDpi xmlns:a14="http://schemas.microsoft.com/office/drawing/2010/main" val="0"/>
                        </a:ext>
                      </a:extLst>
                    </a:blip>
                    <a:stretch>
                      <a:fillRect/>
                    </a:stretch>
                  </pic:blipFill>
                  <pic:spPr>
                    <a:xfrm>
                      <a:off x="0" y="0"/>
                      <a:ext cx="5943600" cy="3231515"/>
                    </a:xfrm>
                    <a:prstGeom prst="rect">
                      <a:avLst/>
                    </a:prstGeom>
                  </pic:spPr>
                </pic:pic>
              </a:graphicData>
            </a:graphic>
          </wp:inline>
        </w:drawing>
      </w:r>
    </w:p>
    <w:p w14:paraId="7ACC148E" w14:textId="7DCC2A55" w:rsidR="001F7177" w:rsidRPr="008A0812" w:rsidRDefault="0047478E" w:rsidP="001F7177">
      <w:pPr>
        <w:pStyle w:val="BodyText"/>
      </w:pPr>
      <w:r w:rsidRPr="008A0812">
        <w:fldChar w:fldCharType="begin"/>
      </w:r>
      <w:r w:rsidRPr="008A0812">
        <w:instrText xml:space="preserve"> REF _Ref36231317 \h </w:instrText>
      </w:r>
      <w:r w:rsidR="008A0812">
        <w:instrText xml:space="preserve"> \* MERGEFORMAT </w:instrText>
      </w:r>
      <w:r w:rsidRPr="008A0812">
        <w:fldChar w:fldCharType="separate"/>
      </w:r>
      <w:r w:rsidR="00AA68F8" w:rsidRPr="008A0812">
        <w:t xml:space="preserve">Figure </w:t>
      </w:r>
      <w:r w:rsidR="00AA68F8">
        <w:rPr>
          <w:noProof/>
        </w:rPr>
        <w:t>4</w:t>
      </w:r>
      <w:r w:rsidR="00AA68F8">
        <w:rPr>
          <w:noProof/>
        </w:rPr>
        <w:noBreakHyphen/>
        <w:t>17</w:t>
      </w:r>
      <w:r w:rsidRPr="008A0812">
        <w:fldChar w:fldCharType="end"/>
      </w:r>
      <w:r w:rsidR="001F7177" w:rsidRPr="008A0812">
        <w:t xml:space="preserve"> presents the count of assets for each BRE score of 0 through 10.</w:t>
      </w:r>
    </w:p>
    <w:p w14:paraId="382C7383" w14:textId="6997B58F" w:rsidR="0047478E" w:rsidRPr="008A0812" w:rsidRDefault="0047478E" w:rsidP="00AF40CB">
      <w:pPr>
        <w:pStyle w:val="FigureHeading"/>
      </w:pPr>
      <w:bookmarkStart w:id="277" w:name="_Ref36231317"/>
      <w:bookmarkStart w:id="278" w:name="_Toc41684694"/>
      <w:r w:rsidRPr="008A0812">
        <w:t xml:space="preserve">Figure </w:t>
      </w:r>
      <w:fldSimple w:instr=" STYLEREF 1 \s ">
        <w:r w:rsidR="00AA68F8">
          <w:rPr>
            <w:noProof/>
          </w:rPr>
          <w:t>4</w:t>
        </w:r>
      </w:fldSimple>
      <w:r w:rsidR="00B233D1">
        <w:noBreakHyphen/>
      </w:r>
      <w:fldSimple w:instr=" SEQ Figure \* ARABIC \s 1 ">
        <w:r w:rsidR="00AA68F8">
          <w:rPr>
            <w:noProof/>
          </w:rPr>
          <w:t>17</w:t>
        </w:r>
      </w:fldSimple>
      <w:bookmarkEnd w:id="277"/>
      <w:r w:rsidRPr="008A0812">
        <w:t>: Asset Count by BRE Score</w:t>
      </w:r>
      <w:bookmarkEnd w:id="278"/>
    </w:p>
    <w:p w14:paraId="15ACA6FB" w14:textId="0DC224A4" w:rsidR="001F7177" w:rsidRPr="008A0812" w:rsidRDefault="001F7177" w:rsidP="001F7177">
      <w:pPr>
        <w:pStyle w:val="BodyText"/>
        <w:jc w:val="center"/>
      </w:pPr>
      <w:r>
        <w:rPr>
          <w:noProof/>
        </w:rPr>
        <w:drawing>
          <wp:inline distT="0" distB="0" distL="0" distR="0" wp14:anchorId="6C046338" wp14:editId="7F85FE9C">
            <wp:extent cx="5157472" cy="3005455"/>
            <wp:effectExtent l="0" t="0" r="5080" b="4445"/>
            <wp:docPr id="318148713"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75">
                      <a:extLst>
                        <a:ext uri="{28A0092B-C50C-407E-A947-70E740481C1C}">
                          <a14:useLocalDpi xmlns:a14="http://schemas.microsoft.com/office/drawing/2010/main" val="0"/>
                        </a:ext>
                      </a:extLst>
                    </a:blip>
                    <a:stretch>
                      <a:fillRect/>
                    </a:stretch>
                  </pic:blipFill>
                  <pic:spPr>
                    <a:xfrm>
                      <a:off x="0" y="0"/>
                      <a:ext cx="5157472" cy="3005455"/>
                    </a:xfrm>
                    <a:prstGeom prst="rect">
                      <a:avLst/>
                    </a:prstGeom>
                  </pic:spPr>
                </pic:pic>
              </a:graphicData>
            </a:graphic>
          </wp:inline>
        </w:drawing>
      </w:r>
    </w:p>
    <w:p w14:paraId="09DDC0E3" w14:textId="4C41AE17" w:rsidR="00754E63" w:rsidRPr="008A0812" w:rsidRDefault="001F7177" w:rsidP="00A1350D">
      <w:pPr>
        <w:pStyle w:val="BodyText"/>
      </w:pPr>
      <w:r w:rsidRPr="008A0812">
        <w:t xml:space="preserve">The results of the risk assessment are combined with the results of the remaining useful life analysis in order to prioritize the replacement of the assets. </w:t>
      </w:r>
      <w:r w:rsidR="0047478E" w:rsidRPr="008A0812">
        <w:fldChar w:fldCharType="begin"/>
      </w:r>
      <w:r w:rsidR="0047478E" w:rsidRPr="008A0812">
        <w:instrText xml:space="preserve"> REF _Ref36231337 \h </w:instrText>
      </w:r>
      <w:r w:rsidR="008A0812">
        <w:instrText xml:space="preserve"> \* MERGEFORMAT </w:instrText>
      </w:r>
      <w:r w:rsidR="0047478E" w:rsidRPr="008A0812">
        <w:fldChar w:fldCharType="separate"/>
      </w:r>
      <w:r w:rsidR="00AA68F8" w:rsidRPr="008A0812">
        <w:t xml:space="preserve">Figure </w:t>
      </w:r>
      <w:r w:rsidR="00AA68F8">
        <w:rPr>
          <w:noProof/>
        </w:rPr>
        <w:t>4</w:t>
      </w:r>
      <w:r w:rsidR="00AA68F8">
        <w:rPr>
          <w:noProof/>
        </w:rPr>
        <w:noBreakHyphen/>
        <w:t>18</w:t>
      </w:r>
      <w:r w:rsidR="0047478E" w:rsidRPr="008A0812">
        <w:fldChar w:fldCharType="end"/>
      </w:r>
      <w:r w:rsidRPr="008A0812">
        <w:t xml:space="preserve"> exhibits a risk-based prioritization of assets by categorizing the assets that are reaching the end of their useful lives in the next 20 years into high risk, medium risk, and low risk. This will help SBMWD to prioritize the rehabilitation and replacement investments by focusing on assets with higher business risk exposure.</w:t>
      </w:r>
    </w:p>
    <w:p w14:paraId="4D97C769" w14:textId="5C6B0E23" w:rsidR="0047478E" w:rsidRPr="008A0812" w:rsidRDefault="0047478E" w:rsidP="00AF40CB">
      <w:pPr>
        <w:pStyle w:val="FigureHeading"/>
      </w:pPr>
      <w:bookmarkStart w:id="279" w:name="_Ref36231337"/>
      <w:bookmarkStart w:id="280" w:name="_Toc41684695"/>
      <w:r w:rsidRPr="008A0812">
        <w:t xml:space="preserve">Figure </w:t>
      </w:r>
      <w:fldSimple w:instr=" STYLEREF 1 \s ">
        <w:r w:rsidR="00AA68F8">
          <w:rPr>
            <w:noProof/>
          </w:rPr>
          <w:t>4</w:t>
        </w:r>
      </w:fldSimple>
      <w:r w:rsidR="00B233D1">
        <w:noBreakHyphen/>
      </w:r>
      <w:fldSimple w:instr=" SEQ Figure \* ARABIC \s 1 ">
        <w:r w:rsidR="00AA68F8">
          <w:rPr>
            <w:noProof/>
          </w:rPr>
          <w:t>18</w:t>
        </w:r>
      </w:fldSimple>
      <w:bookmarkEnd w:id="279"/>
      <w:r w:rsidRPr="008A0812">
        <w:t>: Risk-Based Prioritization of Assets</w:t>
      </w:r>
      <w:bookmarkEnd w:id="280"/>
    </w:p>
    <w:p w14:paraId="444C843D" w14:textId="031C84CE" w:rsidR="001F7177" w:rsidRPr="008A0812" w:rsidRDefault="001F7177" w:rsidP="001F7177">
      <w:pPr>
        <w:pStyle w:val="BodyText"/>
        <w:jc w:val="center"/>
      </w:pPr>
      <w:r>
        <w:rPr>
          <w:noProof/>
        </w:rPr>
        <w:drawing>
          <wp:inline distT="0" distB="0" distL="0" distR="0" wp14:anchorId="781F7B5E" wp14:editId="3A5E40A5">
            <wp:extent cx="5596892" cy="3499485"/>
            <wp:effectExtent l="0" t="0" r="3810" b="5715"/>
            <wp:docPr id="28661203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6">
                      <a:extLst>
                        <a:ext uri="{28A0092B-C50C-407E-A947-70E740481C1C}">
                          <a14:useLocalDpi xmlns:a14="http://schemas.microsoft.com/office/drawing/2010/main" val="0"/>
                        </a:ext>
                      </a:extLst>
                    </a:blip>
                    <a:stretch>
                      <a:fillRect/>
                    </a:stretch>
                  </pic:blipFill>
                  <pic:spPr>
                    <a:xfrm>
                      <a:off x="0" y="0"/>
                      <a:ext cx="5596892" cy="3499485"/>
                    </a:xfrm>
                    <a:prstGeom prst="rect">
                      <a:avLst/>
                    </a:prstGeom>
                  </pic:spPr>
                </pic:pic>
              </a:graphicData>
            </a:graphic>
          </wp:inline>
        </w:drawing>
      </w:r>
    </w:p>
    <w:p w14:paraId="3AF06CAE" w14:textId="6C0B1F09" w:rsidR="001F7177" w:rsidRPr="008A0812" w:rsidRDefault="001F7177" w:rsidP="00A1350D">
      <w:pPr>
        <w:pStyle w:val="BodyText"/>
      </w:pPr>
      <w:r w:rsidRPr="008A0812">
        <w:t xml:space="preserve">The results show approximately 132 assets have reached the end of their useful life. The list of assets at the end of their useful life that are high and medium risk can be found in </w:t>
      </w:r>
      <w:r w:rsidR="007A6DB8" w:rsidRPr="008A0812">
        <w:t>Appendix C</w:t>
      </w:r>
      <w:r w:rsidRPr="008A0812">
        <w:t>.</w:t>
      </w:r>
    </w:p>
    <w:p w14:paraId="207CC6BC" w14:textId="77777777" w:rsidR="00754E63" w:rsidRPr="008A0812" w:rsidRDefault="00754E63" w:rsidP="00A1350D">
      <w:pPr>
        <w:pStyle w:val="BodyText"/>
      </w:pPr>
    </w:p>
    <w:p w14:paraId="1218C21B" w14:textId="77777777" w:rsidR="00335AAE" w:rsidRPr="008A0812" w:rsidRDefault="00335AAE" w:rsidP="00335AAE">
      <w:pPr>
        <w:pStyle w:val="BodyText"/>
        <w:jc w:val="left"/>
        <w:sectPr w:rsidR="00335AAE"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32F8D2AB" w14:textId="69B6F05C" w:rsidR="00335AAE" w:rsidRPr="008A0812" w:rsidRDefault="00335AAE" w:rsidP="00335AAE">
      <w:pPr>
        <w:pStyle w:val="Heading1"/>
      </w:pPr>
      <w:bookmarkStart w:id="281" w:name="_Toc41680848"/>
      <w:r w:rsidRPr="008A0812">
        <w:t>Facility Planning Assumptions</w:t>
      </w:r>
      <w:bookmarkEnd w:id="281"/>
    </w:p>
    <w:p w14:paraId="466B5CBB" w14:textId="7A5FA935" w:rsidR="00486199" w:rsidRPr="008A0812" w:rsidRDefault="00335AAE" w:rsidP="00335AAE">
      <w:pPr>
        <w:pStyle w:val="BodyText"/>
      </w:pPr>
      <w:r w:rsidRPr="008A0812">
        <w:t xml:space="preserve">Facilities master planning for the SBWRP </w:t>
      </w:r>
      <w:r w:rsidR="00DA4672" w:rsidRPr="008A0812">
        <w:t xml:space="preserve">addresses numerous </w:t>
      </w:r>
      <w:r w:rsidR="0053537C" w:rsidRPr="008A0812">
        <w:t xml:space="preserve">water resource </w:t>
      </w:r>
      <w:r w:rsidR="00DA4672" w:rsidRPr="008A0812">
        <w:t>considerations such as stormwater management</w:t>
      </w:r>
      <w:r w:rsidR="0053537C" w:rsidRPr="008A0812">
        <w:t>,</w:t>
      </w:r>
      <w:r w:rsidR="00DA4672" w:rsidRPr="008A0812">
        <w:t xml:space="preserve"> </w:t>
      </w:r>
      <w:r w:rsidR="0053537C" w:rsidRPr="008A0812">
        <w:t xml:space="preserve">liquefaction and </w:t>
      </w:r>
      <w:r w:rsidR="00DA4672" w:rsidRPr="008A0812">
        <w:t>flooding potential</w:t>
      </w:r>
      <w:r w:rsidR="0053537C" w:rsidRPr="008A0812">
        <w:t>, and planned water recycling projects</w:t>
      </w:r>
      <w:r w:rsidR="00DA4672" w:rsidRPr="008A0812">
        <w:t xml:space="preserve"> at the site. In addition to these site-specific concerns, there are </w:t>
      </w:r>
      <w:r w:rsidRPr="008A0812">
        <w:t xml:space="preserve">offsite </w:t>
      </w:r>
      <w:r w:rsidR="00DA4672" w:rsidRPr="008A0812">
        <w:t>projects with impacts to the SBWRP</w:t>
      </w:r>
      <w:r w:rsidR="00486199" w:rsidRPr="008A0812">
        <w:t>: t</w:t>
      </w:r>
      <w:r w:rsidR="00DA4672" w:rsidRPr="008A0812">
        <w:t xml:space="preserve">he </w:t>
      </w:r>
      <w:r w:rsidR="0053537C" w:rsidRPr="008A0812">
        <w:t xml:space="preserve">future </w:t>
      </w:r>
      <w:r w:rsidR="00DA4672" w:rsidRPr="008A0812">
        <w:t xml:space="preserve">East Valley Water District (EVWD) Sterling Natural Resource Center (SNRC) </w:t>
      </w:r>
      <w:r w:rsidR="0053537C" w:rsidRPr="008A0812">
        <w:t xml:space="preserve">in the </w:t>
      </w:r>
      <w:r w:rsidR="00664101" w:rsidRPr="008A0812">
        <w:t>C</w:t>
      </w:r>
      <w:r w:rsidR="0053537C" w:rsidRPr="008A0812">
        <w:t xml:space="preserve">ity of Highland </w:t>
      </w:r>
      <w:r w:rsidR="001E21DB" w:rsidRPr="008A0812">
        <w:t xml:space="preserve">that </w:t>
      </w:r>
      <w:r w:rsidR="0053537C" w:rsidRPr="008A0812">
        <w:t>will reduce wastewater flow to the SBWRP</w:t>
      </w:r>
      <w:r w:rsidR="00486199" w:rsidRPr="008A0812">
        <w:t>;</w:t>
      </w:r>
      <w:r w:rsidR="0053537C" w:rsidRPr="008A0812">
        <w:t xml:space="preserve"> and </w:t>
      </w:r>
      <w:r w:rsidR="00DA4672" w:rsidRPr="008A0812">
        <w:t xml:space="preserve">the Santa Ana River </w:t>
      </w:r>
      <w:r w:rsidR="0053537C" w:rsidRPr="008A0812">
        <w:t xml:space="preserve">discharge requirements </w:t>
      </w:r>
      <w:r w:rsidR="00DA4672" w:rsidRPr="008A0812">
        <w:t>from the Rapid Infiltration Extraction (RIX) facility</w:t>
      </w:r>
      <w:r w:rsidR="0053537C" w:rsidRPr="008A0812">
        <w:t xml:space="preserve"> </w:t>
      </w:r>
      <w:r w:rsidR="001E21DB" w:rsidRPr="008A0812">
        <w:t>that</w:t>
      </w:r>
      <w:r w:rsidR="0053537C" w:rsidRPr="008A0812">
        <w:t xml:space="preserve"> may impact the volume of water that can be recycled at the SBWRP</w:t>
      </w:r>
      <w:r w:rsidR="00DA4672" w:rsidRPr="008A0812">
        <w:t xml:space="preserve">. </w:t>
      </w:r>
      <w:r w:rsidRPr="008A0812">
        <w:t xml:space="preserve">This </w:t>
      </w:r>
      <w:r w:rsidR="00664101" w:rsidRPr="008A0812">
        <w:t>S</w:t>
      </w:r>
      <w:r w:rsidRPr="008A0812">
        <w:t xml:space="preserve">ection </w:t>
      </w:r>
      <w:r w:rsidR="0053537C" w:rsidRPr="008A0812">
        <w:t xml:space="preserve">discusses how these water resource considerations </w:t>
      </w:r>
      <w:r w:rsidRPr="008A0812">
        <w:t>impact</w:t>
      </w:r>
      <w:r w:rsidR="0053537C" w:rsidRPr="008A0812">
        <w:t xml:space="preserve"> facility planning for the SBWRP</w:t>
      </w:r>
      <w:r w:rsidRPr="008A0812">
        <w:t xml:space="preserve">. </w:t>
      </w:r>
    </w:p>
    <w:p w14:paraId="7CB75A53" w14:textId="35180125" w:rsidR="00335AAE" w:rsidRPr="008A0812" w:rsidRDefault="00FF025C" w:rsidP="00335AAE">
      <w:pPr>
        <w:pStyle w:val="BodyText"/>
      </w:pPr>
      <w:r w:rsidRPr="008A0812">
        <w:fldChar w:fldCharType="begin"/>
      </w:r>
      <w:r w:rsidRPr="008A0812">
        <w:instrText xml:space="preserve"> REF _Ref36232219 \h </w:instrText>
      </w:r>
      <w:r w:rsidR="008A0812">
        <w:instrText xml:space="preserve"> \* MERGEFORMAT </w:instrText>
      </w:r>
      <w:r w:rsidRPr="008A0812">
        <w:fldChar w:fldCharType="separate"/>
      </w:r>
      <w:r w:rsidR="00AA68F8" w:rsidRPr="008A0812">
        <w:t xml:space="preserve">Figure </w:t>
      </w:r>
      <w:r w:rsidR="00AA68F8">
        <w:rPr>
          <w:noProof/>
        </w:rPr>
        <w:t>5</w:t>
      </w:r>
      <w:r w:rsidR="00AA68F8">
        <w:rPr>
          <w:noProof/>
        </w:rPr>
        <w:noBreakHyphen/>
        <w:t>1</w:t>
      </w:r>
      <w:r w:rsidRPr="008A0812">
        <w:fldChar w:fldCharType="end"/>
      </w:r>
      <w:r w:rsidR="00335AAE" w:rsidRPr="008A0812">
        <w:t xml:space="preserve"> presents the setting for many of the planning assumptions. </w:t>
      </w:r>
      <w:r w:rsidR="00486199" w:rsidRPr="008A0812">
        <w:t xml:space="preserve">The shaded areas represent </w:t>
      </w:r>
      <w:r w:rsidR="001E21DB" w:rsidRPr="008A0812">
        <w:t xml:space="preserve">the current service areas for the SBWRP, including the City of San Bernardino Municipal Water Department, the East Valley Water District, and the City of Loma Linda. </w:t>
      </w:r>
      <w:r w:rsidR="0032148D" w:rsidRPr="008A0812">
        <w:t>At the RIX facility in the City of Colton, s</w:t>
      </w:r>
      <w:r w:rsidR="001E21DB" w:rsidRPr="008A0812">
        <w:t xml:space="preserve">econdary treated wastewater from SBWRP’s service area combines with flows from outside </w:t>
      </w:r>
      <w:r w:rsidR="0032148D" w:rsidRPr="008A0812">
        <w:t xml:space="preserve">its </w:t>
      </w:r>
      <w:r w:rsidR="001E21DB" w:rsidRPr="008A0812">
        <w:t xml:space="preserve">service area, including the City of Colton and the satellite collection system of the City of Grand Terrace. </w:t>
      </w:r>
      <w:r w:rsidR="0032148D" w:rsidRPr="008A0812">
        <w:t>The s</w:t>
      </w:r>
      <w:r w:rsidR="001E21DB" w:rsidRPr="008A0812">
        <w:t xml:space="preserve">econdary-treated wastewater </w:t>
      </w:r>
      <w:r w:rsidR="0032148D" w:rsidRPr="008A0812">
        <w:t xml:space="preserve">is further combined with extracted </w:t>
      </w:r>
      <w:r w:rsidR="001E21DB" w:rsidRPr="008A0812">
        <w:t xml:space="preserve">groundwater </w:t>
      </w:r>
      <w:r w:rsidR="0032148D" w:rsidRPr="008A0812">
        <w:t xml:space="preserve">and </w:t>
      </w:r>
      <w:r w:rsidR="001E21DB" w:rsidRPr="008A0812">
        <w:t>undergoes tertiary treatment a</w:t>
      </w:r>
      <w:r w:rsidR="0032148D" w:rsidRPr="008A0812">
        <w:t>t RIX before it is d</w:t>
      </w:r>
      <w:r w:rsidR="001E21DB" w:rsidRPr="008A0812">
        <w:t xml:space="preserve">ischarged to the Santa Ana River. </w:t>
      </w:r>
    </w:p>
    <w:p w14:paraId="4586D9FB" w14:textId="7A12FCD8" w:rsidR="00EE5870" w:rsidRPr="008A0812" w:rsidRDefault="00EE5870" w:rsidP="00AF40CB">
      <w:pPr>
        <w:pStyle w:val="FigureHeading"/>
      </w:pPr>
      <w:bookmarkStart w:id="282" w:name="_Ref36232219"/>
      <w:bookmarkStart w:id="283" w:name="_Ref36232339"/>
      <w:bookmarkStart w:id="284" w:name="_Toc36414053"/>
      <w:bookmarkStart w:id="285" w:name="_Toc41684696"/>
      <w:r w:rsidRPr="008A0812">
        <w:t xml:space="preserve">Figure </w:t>
      </w:r>
      <w:fldSimple w:instr=" STYLEREF 1 \s ">
        <w:r w:rsidR="00AA68F8">
          <w:rPr>
            <w:noProof/>
          </w:rPr>
          <w:t>5</w:t>
        </w:r>
      </w:fldSimple>
      <w:r w:rsidR="00B233D1">
        <w:noBreakHyphen/>
      </w:r>
      <w:fldSimple w:instr=" SEQ Figure \* ARABIC \s 1 ">
        <w:r w:rsidR="00AA68F8">
          <w:rPr>
            <w:noProof/>
          </w:rPr>
          <w:t>1</w:t>
        </w:r>
      </w:fldSimple>
      <w:bookmarkEnd w:id="282"/>
      <w:bookmarkEnd w:id="283"/>
      <w:r w:rsidRPr="008A0812">
        <w:t>: Planning Assumption Setting</w:t>
      </w:r>
      <w:bookmarkEnd w:id="284"/>
      <w:bookmarkEnd w:id="285"/>
    </w:p>
    <w:p w14:paraId="2AF250BE" w14:textId="55190114" w:rsidR="00335AAE" w:rsidRPr="008A0812" w:rsidRDefault="00335AAE" w:rsidP="00335AAE">
      <w:r>
        <w:rPr>
          <w:noProof/>
        </w:rPr>
        <w:drawing>
          <wp:inline distT="0" distB="0" distL="0" distR="0" wp14:anchorId="3B4B40BF" wp14:editId="0F0FE551">
            <wp:extent cx="5943600" cy="4240020"/>
            <wp:effectExtent l="0" t="0" r="0" b="8255"/>
            <wp:docPr id="919032592" name="Picture 13" descr="C:\Users\jhodgens\AppData\Local\Microsoft\Windows\INetCache\Content.MSO\16D52A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7">
                      <a:extLst>
                        <a:ext uri="{28A0092B-C50C-407E-A947-70E740481C1C}">
                          <a14:useLocalDpi xmlns:a14="http://schemas.microsoft.com/office/drawing/2010/main" val="0"/>
                        </a:ext>
                      </a:extLst>
                    </a:blip>
                    <a:stretch>
                      <a:fillRect/>
                    </a:stretch>
                  </pic:blipFill>
                  <pic:spPr>
                    <a:xfrm>
                      <a:off x="0" y="0"/>
                      <a:ext cx="5943600" cy="4240020"/>
                    </a:xfrm>
                    <a:prstGeom prst="rect">
                      <a:avLst/>
                    </a:prstGeom>
                  </pic:spPr>
                </pic:pic>
              </a:graphicData>
            </a:graphic>
          </wp:inline>
        </w:drawing>
      </w:r>
    </w:p>
    <w:p w14:paraId="61A55B25" w14:textId="5A17553E" w:rsidR="00335AAE" w:rsidRPr="008A0812" w:rsidRDefault="00335AAE" w:rsidP="00335AAE">
      <w:pPr>
        <w:pStyle w:val="Heading2"/>
      </w:pPr>
      <w:bookmarkStart w:id="286" w:name="_Toc41680849"/>
      <w:r w:rsidRPr="008A0812">
        <w:t xml:space="preserve">Current Projects with </w:t>
      </w:r>
      <w:r w:rsidR="00743EF1" w:rsidRPr="008A0812">
        <w:t xml:space="preserve">Potential </w:t>
      </w:r>
      <w:r w:rsidRPr="008A0812">
        <w:t>Impacts to the Facilities Master Plan</w:t>
      </w:r>
      <w:bookmarkEnd w:id="286"/>
    </w:p>
    <w:p w14:paraId="2910D1AF" w14:textId="5EF0ACAB" w:rsidR="00335AAE" w:rsidRPr="008A0812" w:rsidRDefault="00335AAE" w:rsidP="00335AAE">
      <w:pPr>
        <w:pStyle w:val="Heading3"/>
      </w:pPr>
      <w:bookmarkStart w:id="287" w:name="_Toc41680850"/>
      <w:r w:rsidRPr="008A0812">
        <w:t>East Valley Water District Sterling Natural Resource Center</w:t>
      </w:r>
      <w:bookmarkEnd w:id="287"/>
    </w:p>
    <w:p w14:paraId="70B8E2F1" w14:textId="1DBDF0E5" w:rsidR="00335AAE" w:rsidRPr="008A0812" w:rsidRDefault="00335AAE" w:rsidP="00335AAE">
      <w:pPr>
        <w:pStyle w:val="BodyText"/>
      </w:pPr>
      <w:r w:rsidRPr="008A0812">
        <w:t xml:space="preserve">Wastewater produced in East Valley Water District (EVWD) is currently treated at the SBWRP. </w:t>
      </w:r>
      <w:r w:rsidR="00712B1C" w:rsidRPr="008A0812">
        <w:t xml:space="preserve">GIS analysis shows that approximately 13% of San Bernardino’s land area is contained within EVWD’s service area. </w:t>
      </w:r>
      <w:r w:rsidRPr="008A0812">
        <w:t>Flow from the EVWD combines with flow from the SB</w:t>
      </w:r>
      <w:r w:rsidR="00395459" w:rsidRPr="008A0812">
        <w:t>WRP</w:t>
      </w:r>
      <w:r w:rsidRPr="008A0812">
        <w:t xml:space="preserve"> service area and enters the plant through the East Trunk Sewer. The flow contribution from EVWD is approximately 6 mgd or 28% of the current SBWRP flow.</w:t>
      </w:r>
      <w:r w:rsidR="003A30C9" w:rsidRPr="008A0812">
        <w:t xml:space="preserve"> </w:t>
      </w:r>
    </w:p>
    <w:p w14:paraId="181CA822" w14:textId="4599ED38" w:rsidR="00FB0544" w:rsidRPr="008A0812" w:rsidRDefault="00335AAE" w:rsidP="00395459">
      <w:pPr>
        <w:pStyle w:val="BodyText"/>
      </w:pPr>
      <w:r w:rsidRPr="008A0812">
        <w:t xml:space="preserve">EVWD is building a new water recycling </w:t>
      </w:r>
      <w:r w:rsidR="003D58C0" w:rsidRPr="008A0812">
        <w:t>plant</w:t>
      </w:r>
      <w:r w:rsidRPr="008A0812">
        <w:t xml:space="preserve"> called the Sterling Natural Resources Center (SNRC) that, when complete, will divert EVWD’s wastewater flow from the SBWRP to a new reclamation facility in Highland (</w:t>
      </w:r>
      <w:r w:rsidR="00FF025C" w:rsidRPr="008A0812">
        <w:fldChar w:fldCharType="begin"/>
      </w:r>
      <w:r w:rsidR="00FF025C" w:rsidRPr="008A0812">
        <w:instrText xml:space="preserve"> REF _Ref36232339 \h </w:instrText>
      </w:r>
      <w:r w:rsidR="008A0812">
        <w:instrText xml:space="preserve"> \* MERGEFORMAT </w:instrText>
      </w:r>
      <w:r w:rsidR="00FF025C" w:rsidRPr="008A0812">
        <w:fldChar w:fldCharType="separate"/>
      </w:r>
      <w:r w:rsidR="00AA68F8" w:rsidRPr="008A0812">
        <w:t xml:space="preserve">Figure </w:t>
      </w:r>
      <w:r w:rsidR="00AA68F8">
        <w:rPr>
          <w:noProof/>
        </w:rPr>
        <w:t>5</w:t>
      </w:r>
      <w:r w:rsidR="00AA68F8">
        <w:rPr>
          <w:noProof/>
        </w:rPr>
        <w:noBreakHyphen/>
        <w:t>1</w:t>
      </w:r>
      <w:r w:rsidR="00FF025C" w:rsidRPr="008A0812">
        <w:fldChar w:fldCharType="end"/>
      </w:r>
      <w:r w:rsidRPr="008A0812">
        <w:t xml:space="preserve">). The SNRC will produce Title 22 disinfected tertiary recycled water to recharge the Bunker Hill Groundwater Basin and meet environmental commitments to the Santa Ana River. The SNRC is under construction and anticipated to be completed in </w:t>
      </w:r>
      <w:r w:rsidR="00CA3136" w:rsidRPr="008A0812">
        <w:t xml:space="preserve">October/November </w:t>
      </w:r>
      <w:r w:rsidRPr="008A0812">
        <w:t>2021.</w:t>
      </w:r>
      <w:r w:rsidR="00CA3136" w:rsidRPr="008A0812">
        <w:t xml:space="preserve"> </w:t>
      </w:r>
      <w:r w:rsidRPr="008A0812">
        <w:t xml:space="preserve">When the SNRC starts up, an estimated 6 mgd of flow will cease to flow to the SBWRP. As shown on </w:t>
      </w:r>
      <w:r w:rsidR="00FF025C" w:rsidRPr="008A0812">
        <w:fldChar w:fldCharType="begin"/>
      </w:r>
      <w:r w:rsidR="00FF025C" w:rsidRPr="008A0812">
        <w:instrText xml:space="preserve"> REF _Ref36232263 \h </w:instrText>
      </w:r>
      <w:r w:rsidR="008A0812">
        <w:instrText xml:space="preserve"> \* MERGEFORMAT </w:instrText>
      </w:r>
      <w:r w:rsidR="00FF025C" w:rsidRPr="008A0812">
        <w:fldChar w:fldCharType="separate"/>
      </w:r>
      <w:r w:rsidR="00AA68F8" w:rsidRPr="008A0812">
        <w:t xml:space="preserve">Figure </w:t>
      </w:r>
      <w:r w:rsidR="00AA68F8">
        <w:rPr>
          <w:noProof/>
        </w:rPr>
        <w:t>5</w:t>
      </w:r>
      <w:r w:rsidR="00AA68F8">
        <w:rPr>
          <w:noProof/>
        </w:rPr>
        <w:noBreakHyphen/>
        <w:t>2</w:t>
      </w:r>
      <w:r w:rsidR="00FF025C" w:rsidRPr="008A0812">
        <w:fldChar w:fldCharType="end"/>
      </w:r>
      <w:r w:rsidRPr="008A0812">
        <w:t>, anticipated growth in the SBWRP service area from 202</w:t>
      </w:r>
      <w:r w:rsidR="00A061C7" w:rsidRPr="008A0812">
        <w:t>3</w:t>
      </w:r>
      <w:r w:rsidRPr="008A0812">
        <w:t xml:space="preserve"> to 2040 will make up a portion of the loss of flow from EVWD; however, growth will not likely fully recover the loss of 6 mgd of EVWD flow by the year 2040.</w:t>
      </w:r>
      <w:r w:rsidR="00FB0544" w:rsidRPr="008A0812">
        <w:t xml:space="preserve"> </w:t>
      </w:r>
      <w:r w:rsidR="00FB0544" w:rsidRPr="008A0812">
        <w:tab/>
      </w:r>
    </w:p>
    <w:p w14:paraId="009D0380" w14:textId="4FDACE46" w:rsidR="00FF025C" w:rsidRPr="008A0812" w:rsidRDefault="00FF025C" w:rsidP="00AF40CB">
      <w:pPr>
        <w:pStyle w:val="FigureHeading"/>
      </w:pPr>
      <w:bookmarkStart w:id="288" w:name="_Ref36232263"/>
      <w:bookmarkStart w:id="289" w:name="_Toc36414054"/>
      <w:bookmarkStart w:id="290" w:name="_Toc41684697"/>
      <w:r w:rsidRPr="008A0812">
        <w:t xml:space="preserve">Figure </w:t>
      </w:r>
      <w:fldSimple w:instr=" STYLEREF 1 \s ">
        <w:r w:rsidR="00AA68F8">
          <w:rPr>
            <w:noProof/>
          </w:rPr>
          <w:t>5</w:t>
        </w:r>
      </w:fldSimple>
      <w:r w:rsidR="00B233D1">
        <w:noBreakHyphen/>
      </w:r>
      <w:fldSimple w:instr=" SEQ Figure \* ARABIC \s 1 ">
        <w:r w:rsidR="00AA68F8">
          <w:rPr>
            <w:noProof/>
          </w:rPr>
          <w:t>2</w:t>
        </w:r>
      </w:fldSimple>
      <w:bookmarkEnd w:id="288"/>
      <w:r w:rsidRPr="008A0812">
        <w:t>: Projected Wastewater Flow</w:t>
      </w:r>
      <w:bookmarkEnd w:id="289"/>
      <w:bookmarkEnd w:id="290"/>
    </w:p>
    <w:p w14:paraId="5C866458" w14:textId="13A95665" w:rsidR="00FB0544" w:rsidRPr="008A0812" w:rsidRDefault="00113F39" w:rsidP="00FB0544">
      <w:r>
        <w:rPr>
          <w:noProof/>
        </w:rPr>
        <w:drawing>
          <wp:inline distT="0" distB="0" distL="0" distR="0" wp14:anchorId="62640ACD" wp14:editId="3DAD260B">
            <wp:extent cx="5943600" cy="4333240"/>
            <wp:effectExtent l="0" t="0" r="0" b="0"/>
            <wp:docPr id="4351688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8">
                      <a:extLst>
                        <a:ext uri="{28A0092B-C50C-407E-A947-70E740481C1C}">
                          <a14:useLocalDpi xmlns:a14="http://schemas.microsoft.com/office/drawing/2010/main" val="0"/>
                        </a:ext>
                      </a:extLst>
                    </a:blip>
                    <a:stretch>
                      <a:fillRect/>
                    </a:stretch>
                  </pic:blipFill>
                  <pic:spPr>
                    <a:xfrm>
                      <a:off x="0" y="0"/>
                      <a:ext cx="5943600" cy="4333240"/>
                    </a:xfrm>
                    <a:prstGeom prst="rect">
                      <a:avLst/>
                    </a:prstGeom>
                  </pic:spPr>
                </pic:pic>
              </a:graphicData>
            </a:graphic>
          </wp:inline>
        </w:drawing>
      </w:r>
    </w:p>
    <w:p w14:paraId="30362627" w14:textId="0F81EBD7" w:rsidR="00FB0544" w:rsidRPr="008A0812" w:rsidRDefault="00FB0544" w:rsidP="00743EF1">
      <w:pPr>
        <w:pStyle w:val="BodyText"/>
      </w:pPr>
      <w:r w:rsidRPr="008A0812">
        <w:t>The net flow decrease from the EVWD will have multiple impacts to operation of the SBWRP, including a loss of approximately 28% of the total flow into the plant</w:t>
      </w:r>
      <w:r w:rsidR="0053537C" w:rsidRPr="008A0812">
        <w:t xml:space="preserve">. </w:t>
      </w:r>
      <w:r w:rsidR="003353F5" w:rsidRPr="008A0812">
        <w:t xml:space="preserve">Because the cost structure for the SBWRP is a combination of costs that are fixed (not flow-dependent) and variable (flow-dependent), the corresponding operational savings from the future flow reduction is estimated at </w:t>
      </w:r>
      <w:r w:rsidRPr="008A0812">
        <w:t>less than 10% (Section</w:t>
      </w:r>
      <w:r w:rsidR="00ED698F" w:rsidRPr="008A0812">
        <w:t xml:space="preserve"> </w:t>
      </w:r>
      <w:r w:rsidR="00ED698F" w:rsidRPr="008A0812">
        <w:fldChar w:fldCharType="begin"/>
      </w:r>
      <w:r w:rsidR="00ED698F" w:rsidRPr="008A0812">
        <w:instrText xml:space="preserve"> REF _Ref20216624 \r \h </w:instrText>
      </w:r>
      <w:r w:rsidR="008A0812">
        <w:instrText xml:space="preserve"> \* MERGEFORMAT </w:instrText>
      </w:r>
      <w:r w:rsidR="00ED698F" w:rsidRPr="008A0812">
        <w:fldChar w:fldCharType="separate"/>
      </w:r>
      <w:r w:rsidR="00AA68F8">
        <w:t>10.2.2</w:t>
      </w:r>
      <w:r w:rsidR="00ED698F" w:rsidRPr="008A0812">
        <w:fldChar w:fldCharType="end"/>
      </w:r>
      <w:r w:rsidRPr="008A0812">
        <w:t>).</w:t>
      </w:r>
      <w:r w:rsidR="00743EF1" w:rsidRPr="008A0812">
        <w:t xml:space="preserve"> </w:t>
      </w:r>
      <w:r w:rsidRPr="008A0812">
        <w:t xml:space="preserve">Without options to divert wastewater from other sources, the </w:t>
      </w:r>
      <w:r w:rsidR="00395459" w:rsidRPr="008A0812">
        <w:t>Department</w:t>
      </w:r>
      <w:r w:rsidRPr="008A0812">
        <w:t xml:space="preserve"> must make changes to</w:t>
      </w:r>
      <w:r w:rsidR="00307BA7" w:rsidRPr="008A0812">
        <w:t xml:space="preserve"> minimize the impact to rates within the SB</w:t>
      </w:r>
      <w:r w:rsidR="00395459" w:rsidRPr="008A0812">
        <w:t>WRP</w:t>
      </w:r>
      <w:r w:rsidR="00307BA7" w:rsidRPr="008A0812">
        <w:t xml:space="preserve"> service </w:t>
      </w:r>
      <w:r w:rsidR="00395459" w:rsidRPr="008A0812">
        <w:t>areas.</w:t>
      </w:r>
      <w:r w:rsidR="000D2D44" w:rsidRPr="008A0812">
        <w:t xml:space="preserve"> </w:t>
      </w:r>
    </w:p>
    <w:p w14:paraId="3D5C8967" w14:textId="666531DE" w:rsidR="00335AAE" w:rsidRPr="008A0812" w:rsidRDefault="0051472E" w:rsidP="00743EF1">
      <w:pPr>
        <w:pStyle w:val="Heading3"/>
      </w:pPr>
      <w:bookmarkStart w:id="291" w:name="_Toc41680851"/>
      <w:r w:rsidRPr="008A0812">
        <w:t>East Valley Water District Sewer Exchange Flow Agreement</w:t>
      </w:r>
      <w:bookmarkEnd w:id="291"/>
    </w:p>
    <w:p w14:paraId="3D0EC7C0" w14:textId="6EE78C0B" w:rsidR="0051472E" w:rsidRPr="008A0812" w:rsidRDefault="0051472E" w:rsidP="0051472E">
      <w:pPr>
        <w:pStyle w:val="BodyText"/>
      </w:pPr>
      <w:r w:rsidRPr="008A0812">
        <w:t xml:space="preserve">A small portion of flow from EVWD will be diverted to SBWRP as part of a sewer exchange flow </w:t>
      </w:r>
      <w:r w:rsidR="00155290" w:rsidRPr="008A0812">
        <w:t>A</w:t>
      </w:r>
      <w:r w:rsidRPr="008A0812">
        <w:t xml:space="preserve">greement. The sewer exchange flow </w:t>
      </w:r>
      <w:r w:rsidR="00155290" w:rsidRPr="008A0812">
        <w:t>A</w:t>
      </w:r>
      <w:r w:rsidRPr="008A0812">
        <w:t>greement between EVWD and SBMWD stipulates that 398,500 gpd from EVWD service area will be diverted to the SBWRP and 355,746 gpd from SB</w:t>
      </w:r>
      <w:r w:rsidR="00395459" w:rsidRPr="008A0812">
        <w:t>WRP</w:t>
      </w:r>
      <w:r w:rsidRPr="008A0812">
        <w:t xml:space="preserve"> will be directed to the SNRC. The sewer exchange areas are shown on </w:t>
      </w:r>
      <w:r w:rsidR="00FF025C" w:rsidRPr="008A0812">
        <w:fldChar w:fldCharType="begin"/>
      </w:r>
      <w:r w:rsidR="00FF025C" w:rsidRPr="008A0812">
        <w:instrText xml:space="preserve"> REF _Ref36232219 \h </w:instrText>
      </w:r>
      <w:r w:rsidR="008A0812">
        <w:instrText xml:space="preserve"> \* MERGEFORMAT </w:instrText>
      </w:r>
      <w:r w:rsidR="00FF025C" w:rsidRPr="008A0812">
        <w:fldChar w:fldCharType="separate"/>
      </w:r>
      <w:r w:rsidR="00AA68F8" w:rsidRPr="008A0812">
        <w:t xml:space="preserve">Figure </w:t>
      </w:r>
      <w:r w:rsidR="00AA68F8">
        <w:rPr>
          <w:noProof/>
        </w:rPr>
        <w:t>5</w:t>
      </w:r>
      <w:r w:rsidR="00AA68F8">
        <w:rPr>
          <w:noProof/>
        </w:rPr>
        <w:noBreakHyphen/>
        <w:t>1</w:t>
      </w:r>
      <w:r w:rsidR="00FF025C" w:rsidRPr="008A0812">
        <w:fldChar w:fldCharType="end"/>
      </w:r>
      <w:r w:rsidRPr="008A0812">
        <w:t xml:space="preserve">. </w:t>
      </w:r>
    </w:p>
    <w:p w14:paraId="7DE02BBC" w14:textId="314700B5" w:rsidR="0051472E" w:rsidRPr="008A0812" w:rsidRDefault="0051472E" w:rsidP="0051472E">
      <w:pPr>
        <w:pStyle w:val="Heading3"/>
      </w:pPr>
      <w:bookmarkStart w:id="292" w:name="_Ref20223594"/>
      <w:bookmarkStart w:id="293" w:name="_Ref20223600"/>
      <w:bookmarkStart w:id="294" w:name="_Toc41680852"/>
      <w:r w:rsidRPr="008A0812">
        <w:t>Clean Water Factory</w:t>
      </w:r>
      <w:bookmarkEnd w:id="292"/>
      <w:bookmarkEnd w:id="293"/>
      <w:bookmarkEnd w:id="294"/>
    </w:p>
    <w:p w14:paraId="47E6E529" w14:textId="7FC4F0DB" w:rsidR="0051472E" w:rsidRPr="008A0812" w:rsidRDefault="0051472E" w:rsidP="0051472E">
      <w:pPr>
        <w:pStyle w:val="BodyText"/>
      </w:pPr>
      <w:r w:rsidRPr="008A0812">
        <w:t xml:space="preserve">The SBMWD is planning a recycled water </w:t>
      </w:r>
      <w:r w:rsidR="00F33CAC" w:rsidRPr="008A0812">
        <w:t>p</w:t>
      </w:r>
      <w:r w:rsidRPr="008A0812">
        <w:t>roject called the Clean Water Factory</w:t>
      </w:r>
      <w:r w:rsidR="00F33CAC" w:rsidRPr="008A0812">
        <w:t xml:space="preserve"> (CWF)</w:t>
      </w:r>
      <w:r w:rsidRPr="008A0812">
        <w:t xml:space="preserve"> which will be a Title</w:t>
      </w:r>
      <w:r w:rsidR="00F33CAC" w:rsidRPr="008A0812">
        <w:t xml:space="preserve"> </w:t>
      </w:r>
      <w:r w:rsidRPr="008A0812">
        <w:t>22</w:t>
      </w:r>
      <w:r w:rsidR="00F33CAC" w:rsidRPr="008A0812">
        <w:t>-</w:t>
      </w:r>
      <w:r w:rsidRPr="008A0812">
        <w:t xml:space="preserve">compliant tertiary treatment </w:t>
      </w:r>
      <w:r w:rsidR="00F33CAC" w:rsidRPr="008A0812">
        <w:t>facility</w:t>
      </w:r>
      <w:r w:rsidRPr="008A0812">
        <w:t xml:space="preserve"> that will supply recycled water for: </w:t>
      </w:r>
    </w:p>
    <w:p w14:paraId="0AF57BC3" w14:textId="3A48F86D" w:rsidR="0051472E" w:rsidRPr="008A0812" w:rsidRDefault="0051472E" w:rsidP="0051472E">
      <w:pPr>
        <w:pStyle w:val="Bullet"/>
      </w:pPr>
      <w:r w:rsidRPr="008A0812">
        <w:t xml:space="preserve">Operational needs within the plant, eliminating in-plant use of groundwater </w:t>
      </w:r>
      <w:r w:rsidR="00B820A3" w:rsidRPr="008A0812">
        <w:t>and onsite groundwater storage</w:t>
      </w:r>
    </w:p>
    <w:p w14:paraId="50102B44" w14:textId="1BFA9F7F" w:rsidR="0051472E" w:rsidRPr="008A0812" w:rsidRDefault="0051472E" w:rsidP="0051472E">
      <w:pPr>
        <w:pStyle w:val="Bullet"/>
      </w:pPr>
      <w:r w:rsidRPr="008A0812">
        <w:t>Groundwater recharge of the Bunker Hill Groundwater Basin, which is SBMWD’s sole source of water supply</w:t>
      </w:r>
    </w:p>
    <w:p w14:paraId="4183B31D" w14:textId="18ED846A" w:rsidR="0051472E" w:rsidRPr="008A0812" w:rsidRDefault="00F33CAC" w:rsidP="0051472E">
      <w:pPr>
        <w:pStyle w:val="Bullet"/>
      </w:pPr>
      <w:r w:rsidRPr="008A0812">
        <w:t>Supplying</w:t>
      </w:r>
      <w:r w:rsidR="0051472E" w:rsidRPr="008A0812">
        <w:t xml:space="preserve"> </w:t>
      </w:r>
      <w:r w:rsidRPr="008A0812">
        <w:t xml:space="preserve">potential </w:t>
      </w:r>
      <w:r w:rsidR="0051472E" w:rsidRPr="008A0812">
        <w:t>future recycled water customers.</w:t>
      </w:r>
      <w:r w:rsidR="000D2D44" w:rsidRPr="008A0812">
        <w:t xml:space="preserve"> </w:t>
      </w:r>
    </w:p>
    <w:p w14:paraId="38BF5B07" w14:textId="1257D9F2" w:rsidR="0051472E" w:rsidRPr="008A0812" w:rsidRDefault="0051472E" w:rsidP="0051472E">
      <w:pPr>
        <w:pStyle w:val="BodyText"/>
      </w:pPr>
      <w:r w:rsidRPr="008A0812">
        <w:t xml:space="preserve">The </w:t>
      </w:r>
      <w:r w:rsidR="00F33CAC" w:rsidRPr="008A0812">
        <w:t>CWF</w:t>
      </w:r>
      <w:r w:rsidRPr="008A0812">
        <w:t xml:space="preserve"> is currently in the preliminary design phase and is expected to be operational in 2021. </w:t>
      </w:r>
      <w:r w:rsidR="003353F5" w:rsidRPr="008A0812">
        <w:t>Based on the</w:t>
      </w:r>
      <w:r w:rsidRPr="008A0812">
        <w:t xml:space="preserve"> preliminary design</w:t>
      </w:r>
      <w:r w:rsidR="003353F5" w:rsidRPr="008A0812">
        <w:t xml:space="preserve">, </w:t>
      </w:r>
      <w:r w:rsidRPr="008A0812">
        <w:t xml:space="preserve">the </w:t>
      </w:r>
      <w:r w:rsidR="00B820A3" w:rsidRPr="008A0812">
        <w:t>CWF</w:t>
      </w:r>
      <w:r w:rsidRPr="008A0812">
        <w:t xml:space="preserve"> </w:t>
      </w:r>
      <w:r w:rsidR="003353F5" w:rsidRPr="008A0812">
        <w:t>is sited on</w:t>
      </w:r>
      <w:r w:rsidR="00712B1C" w:rsidRPr="008A0812">
        <w:t xml:space="preserve"> the former site of the pre-aerator structure,</w:t>
      </w:r>
      <w:r w:rsidR="003353F5" w:rsidRPr="008A0812">
        <w:t xml:space="preserve"> </w:t>
      </w:r>
      <w:r w:rsidRPr="008A0812">
        <w:t>a currently unused area</w:t>
      </w:r>
      <w:r w:rsidR="00712B1C" w:rsidRPr="008A0812">
        <w:t>,</w:t>
      </w:r>
      <w:r w:rsidRPr="008A0812">
        <w:t xml:space="preserve"> east of the Unit 1 secondary clarifiers</w:t>
      </w:r>
      <w:r w:rsidR="00B820A3" w:rsidRPr="008A0812">
        <w:t xml:space="preserve"> </w:t>
      </w:r>
      <w:r w:rsidRPr="008A0812">
        <w:t xml:space="preserve">as shown in </w:t>
      </w:r>
      <w:r w:rsidR="00870806" w:rsidRPr="008A0812">
        <w:fldChar w:fldCharType="begin"/>
      </w:r>
      <w:r w:rsidR="00870806" w:rsidRPr="008A0812">
        <w:instrText xml:space="preserve"> REF _Ref36232705 \h </w:instrText>
      </w:r>
      <w:r w:rsidR="008A0812">
        <w:instrText xml:space="preserve"> \* MERGEFORMAT </w:instrText>
      </w:r>
      <w:r w:rsidR="00870806" w:rsidRPr="008A0812">
        <w:fldChar w:fldCharType="separate"/>
      </w:r>
      <w:r w:rsidR="00AA68F8" w:rsidRPr="008A0812">
        <w:t xml:space="preserve">Figure </w:t>
      </w:r>
      <w:r w:rsidR="00AA68F8">
        <w:rPr>
          <w:noProof/>
        </w:rPr>
        <w:t>5</w:t>
      </w:r>
      <w:r w:rsidR="00AA68F8">
        <w:rPr>
          <w:noProof/>
        </w:rPr>
        <w:noBreakHyphen/>
        <w:t>3</w:t>
      </w:r>
      <w:r w:rsidR="00870806" w:rsidRPr="008A0812">
        <w:fldChar w:fldCharType="end"/>
      </w:r>
      <w:r w:rsidRPr="008A0812">
        <w:t>.</w:t>
      </w:r>
      <w:r w:rsidR="000D2D44" w:rsidRPr="008A0812">
        <w:t xml:space="preserve"> </w:t>
      </w:r>
      <w:r w:rsidRPr="008A0812">
        <w:t>The design</w:t>
      </w:r>
      <w:r w:rsidR="00B820A3" w:rsidRPr="008A0812">
        <w:t xml:space="preserve"> includes </w:t>
      </w:r>
      <w:r w:rsidRPr="008A0812">
        <w:t>a new pump station and pipelines to convey secondary effluent to new filtration and disinfection processes. After treatment, the tertiary recycled water will be stored in a</w:t>
      </w:r>
      <w:r w:rsidR="00B820A3" w:rsidRPr="008A0812">
        <w:t>n existing</w:t>
      </w:r>
      <w:r w:rsidRPr="008A0812">
        <w:t xml:space="preserve"> reservoir that </w:t>
      </w:r>
      <w:r w:rsidR="00B820A3" w:rsidRPr="008A0812">
        <w:t>will be rehabilitated and modified to store tertiary effluent (</w:t>
      </w:r>
      <w:r w:rsidR="005657C9" w:rsidRPr="008A0812">
        <w:t xml:space="preserve">existing </w:t>
      </w:r>
      <w:r w:rsidR="00B820A3" w:rsidRPr="008A0812">
        <w:t xml:space="preserve">reservoir </w:t>
      </w:r>
      <w:r w:rsidRPr="008A0812">
        <w:t>currently stores groundwater</w:t>
      </w:r>
      <w:r w:rsidR="00B820A3" w:rsidRPr="008A0812">
        <w:t>)</w:t>
      </w:r>
      <w:r w:rsidRPr="008A0812">
        <w:t>. Production of tertiary disinfected recycled water from the CWF will be phased with provisions to allow future expansion of up to 5 mgd (AECOM, 2019)</w:t>
      </w:r>
      <w:r w:rsidR="00307BA7" w:rsidRPr="008A0812">
        <w:t xml:space="preserve"> </w:t>
      </w:r>
      <w:r w:rsidR="000628F5" w:rsidRPr="008A0812">
        <w:t>and</w:t>
      </w:r>
      <w:r w:rsidR="00307BA7" w:rsidRPr="008A0812">
        <w:t xml:space="preserve"> will only occur in the volume that exceeds discharge commitments to the SAR from the RIX</w:t>
      </w:r>
      <w:r w:rsidRPr="008A0812">
        <w:t>.</w:t>
      </w:r>
      <w:r w:rsidR="000D2D44" w:rsidRPr="008A0812">
        <w:t xml:space="preserve"> </w:t>
      </w:r>
    </w:p>
    <w:p w14:paraId="03299866" w14:textId="7F3AB3A3" w:rsidR="0051472E" w:rsidRPr="008A0812" w:rsidRDefault="0051472E" w:rsidP="0051472E">
      <w:pPr>
        <w:pStyle w:val="BodyText"/>
      </w:pPr>
      <w:r w:rsidRPr="008A0812">
        <w:t xml:space="preserve">The CWF has been approved for funding through the </w:t>
      </w:r>
      <w:r w:rsidR="00BD14B5" w:rsidRPr="008A0812">
        <w:t>San Bernardino Valley Municipal Water District</w:t>
      </w:r>
      <w:r w:rsidR="00E55551" w:rsidRPr="008A0812">
        <w:t xml:space="preserve"> (Valley District)</w:t>
      </w:r>
      <w:r w:rsidRPr="008A0812" w:rsidDel="00E55551">
        <w:t xml:space="preserve"> </w:t>
      </w:r>
      <w:r w:rsidRPr="008A0812">
        <w:t xml:space="preserve">Local Resource Investment Program (LRIP). The LRIP has a target of investing in 15,000 acre-feet of locally supplied water in the region. The </w:t>
      </w:r>
      <w:r w:rsidR="000E46D3" w:rsidRPr="008A0812">
        <w:t>Valley District</w:t>
      </w:r>
      <w:r w:rsidRPr="008A0812">
        <w:t xml:space="preserve"> Board of Directors approved the Clean Water Factory for funding of approximately $970,000 per year for 20 years once the project comes online in 2021 (based on a production rate of 5,600 AF (5 mgd) of recycled water).</w:t>
      </w:r>
    </w:p>
    <w:p w14:paraId="03E07E3E" w14:textId="6D2202F1" w:rsidR="0051472E" w:rsidRPr="008A0812" w:rsidRDefault="008D7CB2" w:rsidP="008D7CB2">
      <w:pPr>
        <w:pStyle w:val="BodyText"/>
      </w:pPr>
      <w:r w:rsidRPr="008A0812">
        <w:t>The CWF presents implications to the Facilities Master Plan and future operation of the SBWRP. Space needs to be reserved</w:t>
      </w:r>
      <w:r w:rsidR="005657C9" w:rsidRPr="008A0812">
        <w:t xml:space="preserve"> and p</w:t>
      </w:r>
      <w:r w:rsidRPr="008A0812">
        <w:t xml:space="preserve">ower requirements and other interfacing issues need to be considered. </w:t>
      </w:r>
      <w:r w:rsidR="003353F5" w:rsidRPr="008A0812">
        <w:t xml:space="preserve">The CWF will require consistent influent water quality from the SBWRP. There are also minimum </w:t>
      </w:r>
      <w:r w:rsidR="00B05522" w:rsidRPr="008A0812">
        <w:t xml:space="preserve">discharge </w:t>
      </w:r>
      <w:r w:rsidR="003353F5" w:rsidRPr="008A0812">
        <w:t>requirements</w:t>
      </w:r>
      <w:r w:rsidRPr="008A0812">
        <w:t xml:space="preserve"> to the Santa Ana River </w:t>
      </w:r>
      <w:r w:rsidR="003353F5" w:rsidRPr="008A0812">
        <w:t xml:space="preserve">through the RIX facility that </w:t>
      </w:r>
      <w:r w:rsidRPr="008A0812">
        <w:t xml:space="preserve">may limit recycled water production (Section </w:t>
      </w:r>
      <w:r w:rsidRPr="008A0812">
        <w:fldChar w:fldCharType="begin"/>
      </w:r>
      <w:r w:rsidRPr="008A0812">
        <w:instrText xml:space="preserve"> REF _Ref20216972 \r \h </w:instrText>
      </w:r>
      <w:r w:rsidR="008A0812">
        <w:instrText xml:space="preserve"> \* MERGEFORMAT </w:instrText>
      </w:r>
      <w:r w:rsidRPr="008A0812">
        <w:fldChar w:fldCharType="separate"/>
      </w:r>
      <w:r w:rsidR="00AA68F8">
        <w:t>5.2</w:t>
      </w:r>
      <w:r w:rsidRPr="008A0812">
        <w:fldChar w:fldCharType="end"/>
      </w:r>
      <w:r w:rsidRPr="008A0812">
        <w:t xml:space="preserve">). </w:t>
      </w:r>
    </w:p>
    <w:p w14:paraId="31FF0218" w14:textId="0A2E6491" w:rsidR="00870806" w:rsidRPr="008A0812" w:rsidRDefault="00870806" w:rsidP="00AF40CB">
      <w:pPr>
        <w:pStyle w:val="FigureHeading"/>
      </w:pPr>
      <w:bookmarkStart w:id="295" w:name="_Ref36232705"/>
      <w:bookmarkStart w:id="296" w:name="_Toc36414055"/>
      <w:bookmarkStart w:id="297" w:name="_Toc41684698"/>
      <w:r w:rsidRPr="008A0812">
        <w:t xml:space="preserve">Figure </w:t>
      </w:r>
      <w:fldSimple w:instr=" STYLEREF 1 \s ">
        <w:r w:rsidR="00AA68F8">
          <w:rPr>
            <w:noProof/>
          </w:rPr>
          <w:t>5</w:t>
        </w:r>
      </w:fldSimple>
      <w:r w:rsidR="00B233D1">
        <w:noBreakHyphen/>
      </w:r>
      <w:fldSimple w:instr=" SEQ Figure \* ARABIC \s 1 ">
        <w:r w:rsidR="00AA68F8">
          <w:rPr>
            <w:noProof/>
          </w:rPr>
          <w:t>3</w:t>
        </w:r>
      </w:fldSimple>
      <w:bookmarkEnd w:id="295"/>
      <w:r w:rsidRPr="008A0812">
        <w:t>: Proposed Clean Water Factory Tertiary Treatment Facility</w:t>
      </w:r>
      <w:bookmarkEnd w:id="296"/>
      <w:bookmarkEnd w:id="297"/>
    </w:p>
    <w:p w14:paraId="43775368" w14:textId="058F832A" w:rsidR="00E32D07" w:rsidRPr="008A0812" w:rsidRDefault="00B51EEE" w:rsidP="00F33CAC">
      <w:pPr>
        <w:pStyle w:val="Bullet"/>
        <w:keepNext/>
        <w:numPr>
          <w:ilvl w:val="0"/>
          <w:numId w:val="0"/>
        </w:numPr>
        <w:spacing w:after="0"/>
        <w:ind w:left="360" w:hanging="360"/>
        <w:jc w:val="center"/>
      </w:pPr>
      <w:r w:rsidRPr="008A0812">
        <w:rPr>
          <w:noProof/>
        </w:rPr>
        <w:drawing>
          <wp:inline distT="0" distB="0" distL="0" distR="0" wp14:anchorId="62F039AB" wp14:editId="268DBE46">
            <wp:extent cx="5534025" cy="6006428"/>
            <wp:effectExtent l="19050" t="19050" r="9525"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55340" cy="6029562"/>
                    </a:xfrm>
                    <a:prstGeom prst="rect">
                      <a:avLst/>
                    </a:prstGeom>
                    <a:ln w="12700">
                      <a:solidFill>
                        <a:schemeClr val="accent1"/>
                      </a:solidFill>
                    </a:ln>
                  </pic:spPr>
                </pic:pic>
              </a:graphicData>
            </a:graphic>
          </wp:inline>
        </w:drawing>
      </w:r>
    </w:p>
    <w:p w14:paraId="003A13A9" w14:textId="0DDF3131" w:rsidR="0024366E" w:rsidRPr="008A0812" w:rsidRDefault="0024366E" w:rsidP="00F33CAC">
      <w:pPr>
        <w:keepNext/>
        <w:overflowPunct/>
        <w:autoSpaceDE/>
        <w:autoSpaceDN/>
        <w:adjustRightInd/>
        <w:ind w:left="360"/>
        <w:jc w:val="center"/>
        <w:rPr>
          <w:rFonts w:cs="Segoe UI"/>
          <w:i/>
          <w:iCs/>
          <w:sz w:val="20"/>
          <w:szCs w:val="20"/>
        </w:rPr>
      </w:pPr>
      <w:bookmarkStart w:id="298" w:name="_Hlk20149141"/>
      <w:r w:rsidRPr="008A0812">
        <w:rPr>
          <w:rFonts w:cs="Segoe UI"/>
          <w:i/>
          <w:iCs/>
          <w:sz w:val="20"/>
          <w:szCs w:val="20"/>
        </w:rPr>
        <w:t>Source: AECOM, 2019, Tertiary Treatment System</w:t>
      </w:r>
      <w:r w:rsidR="00B51EEE" w:rsidRPr="008A0812">
        <w:rPr>
          <w:rFonts w:cs="Segoe UI"/>
          <w:i/>
          <w:iCs/>
          <w:sz w:val="20"/>
          <w:szCs w:val="20"/>
        </w:rPr>
        <w:t xml:space="preserve"> Design Plan</w:t>
      </w:r>
      <w:r w:rsidR="00F33CAC" w:rsidRPr="008A0812">
        <w:rPr>
          <w:rFonts w:cs="Segoe UI"/>
          <w:i/>
          <w:iCs/>
          <w:sz w:val="20"/>
          <w:szCs w:val="20"/>
        </w:rPr>
        <w:t>s</w:t>
      </w:r>
      <w:r w:rsidR="00B51EEE" w:rsidRPr="008A0812">
        <w:rPr>
          <w:rFonts w:cs="Segoe UI"/>
          <w:i/>
          <w:iCs/>
          <w:sz w:val="20"/>
          <w:szCs w:val="20"/>
        </w:rPr>
        <w:t xml:space="preserve"> (Progress Set)</w:t>
      </w:r>
    </w:p>
    <w:p w14:paraId="0DC388B3" w14:textId="2BDB8FD8" w:rsidR="0024366E" w:rsidRPr="008A0812" w:rsidRDefault="0024366E" w:rsidP="0024366E">
      <w:pPr>
        <w:pStyle w:val="Heading2"/>
      </w:pPr>
      <w:bookmarkStart w:id="299" w:name="_Ref20216972"/>
      <w:bookmarkStart w:id="300" w:name="_Toc41680853"/>
      <w:bookmarkEnd w:id="298"/>
      <w:r w:rsidRPr="008A0812">
        <w:t>Santa Ana River Discharge Considerations</w:t>
      </w:r>
      <w:bookmarkEnd w:id="299"/>
      <w:bookmarkEnd w:id="300"/>
    </w:p>
    <w:p w14:paraId="7D8D4030" w14:textId="158812E6" w:rsidR="0024366E" w:rsidRPr="008A0812" w:rsidRDefault="0024366E" w:rsidP="0024366E">
      <w:pPr>
        <w:pStyle w:val="BodyText"/>
      </w:pPr>
      <w:r w:rsidRPr="008A0812">
        <w:t xml:space="preserve">Discharges to the Santa Ana River are one of the considerations for the SBWRP Facilities Master Plan. Some of the wastewater treatment and water reclamation plants that discharge to the Santa Ana River are obligated to provide certain volumes of water into the river to satisfy legal and environmental requirements downstream. </w:t>
      </w:r>
      <w:r w:rsidR="003353F5" w:rsidRPr="008A0812">
        <w:t xml:space="preserve">Further, management of groundwater levels </w:t>
      </w:r>
      <w:r w:rsidR="003E4C64" w:rsidRPr="008A0812">
        <w:t xml:space="preserve">below the Rapid Infiltration Extraction (RIX) facility requires the extraction of additional volumes of groundwater, which are discharged to the Santa Ana River. </w:t>
      </w:r>
      <w:r w:rsidRPr="008A0812">
        <w:t>The following sections briefly describe the Santa Ana River discharge considerations for the SBWRP.</w:t>
      </w:r>
    </w:p>
    <w:p w14:paraId="194FE23B" w14:textId="0FEE62C2" w:rsidR="0024366E" w:rsidRPr="008A0812" w:rsidRDefault="0024366E" w:rsidP="0024366E">
      <w:pPr>
        <w:pStyle w:val="Heading3"/>
      </w:pPr>
      <w:bookmarkStart w:id="301" w:name="_Ref20216542"/>
      <w:bookmarkStart w:id="302" w:name="_Toc41680854"/>
      <w:r w:rsidRPr="008A0812">
        <w:t>Rapid Infiltration Extraction Facility</w:t>
      </w:r>
      <w:bookmarkEnd w:id="301"/>
      <w:bookmarkEnd w:id="302"/>
    </w:p>
    <w:p w14:paraId="37751ED0" w14:textId="0AE3F577" w:rsidR="0024366E" w:rsidRPr="008A0812" w:rsidRDefault="0024366E" w:rsidP="0024366E">
      <w:pPr>
        <w:pStyle w:val="BodyText"/>
      </w:pPr>
      <w:r w:rsidRPr="008A0812">
        <w:t xml:space="preserve">Effluent from the SBWRP is currently conveyed to the RIX facility located at 1990 Agua Mansa Road in Colton for additional treatment prior to discharge to the Santa Ana River. RIX </w:t>
      </w:r>
      <w:r w:rsidR="00614D42" w:rsidRPr="008A0812">
        <w:t xml:space="preserve">was established in 1994 as a method to effectively meet the filtration and disinfection requirements for discharge to the Santa Ana River. RIX </w:t>
      </w:r>
      <w:r w:rsidRPr="008A0812">
        <w:t>is jointly owned by the City of San Bernardino and the City of Colton through a Joint Powers Authority (JPA)</w:t>
      </w:r>
      <w:r w:rsidR="00614D42" w:rsidRPr="008A0812">
        <w:t>, which created</w:t>
      </w:r>
      <w:r w:rsidRPr="008A0812">
        <w:t xml:space="preserve"> the “Colton/San Bernardino Regional Tertiary Treatment and Reclamation Authority.”</w:t>
      </w:r>
    </w:p>
    <w:p w14:paraId="66B36E66" w14:textId="65D289B7" w:rsidR="0024366E" w:rsidRPr="008A0812" w:rsidRDefault="0024366E" w:rsidP="0024366E">
      <w:pPr>
        <w:pStyle w:val="BodyText"/>
      </w:pPr>
      <w:r w:rsidRPr="008A0812">
        <w:t xml:space="preserve">RIX infiltrates secondary treated wastewater from the SBWRP and the City of Colton’s wastewater treatment plant. The secondary effluent plus a small volume of native groundwater is extracted prior to discharge. The soil beneath the percolation ponds provides additional filtration, which is then followed by ultraviolet (UV) disinfection before discharge to the Santa Ana River. RIX is permitted to treat an influent flow rate of up to 40 mgd, with the subsequent UV disinfection system designed to treat 64 </w:t>
      </w:r>
      <w:r w:rsidR="005062D0" w:rsidRPr="008A0812">
        <w:t>mgd</w:t>
      </w:r>
      <w:r w:rsidRPr="008A0812">
        <w:t xml:space="preserve"> to account for the extracted groundwater.</w:t>
      </w:r>
      <w:r w:rsidR="000D2D44" w:rsidRPr="008A0812">
        <w:t xml:space="preserve"> </w:t>
      </w:r>
    </w:p>
    <w:p w14:paraId="7ADC6B6B" w14:textId="2B261C67" w:rsidR="0024366E" w:rsidRPr="008A0812" w:rsidRDefault="0024366E" w:rsidP="0024366E">
      <w:pPr>
        <w:pStyle w:val="BodyText"/>
      </w:pPr>
      <w:r w:rsidRPr="008A0812">
        <w:t xml:space="preserve">As shown in </w:t>
      </w:r>
      <w:r w:rsidR="00EE5870" w:rsidRPr="008A0812">
        <w:fldChar w:fldCharType="begin"/>
      </w:r>
      <w:r w:rsidR="00EE5870" w:rsidRPr="008A0812">
        <w:instrText xml:space="preserve"> REF _Ref36232077 \h </w:instrText>
      </w:r>
      <w:r w:rsidR="008A0812">
        <w:instrText xml:space="preserve"> \* MERGEFORMAT </w:instrText>
      </w:r>
      <w:r w:rsidR="00EE5870" w:rsidRPr="008A0812">
        <w:fldChar w:fldCharType="separate"/>
      </w:r>
      <w:r w:rsidR="00AA68F8" w:rsidRPr="008A0812">
        <w:t xml:space="preserve">Table </w:t>
      </w:r>
      <w:r w:rsidR="00AA68F8">
        <w:rPr>
          <w:noProof/>
        </w:rPr>
        <w:t>5</w:t>
      </w:r>
      <w:r w:rsidR="00AA68F8" w:rsidRPr="008A0812">
        <w:rPr>
          <w:noProof/>
        </w:rPr>
        <w:noBreakHyphen/>
      </w:r>
      <w:r w:rsidR="00AA68F8">
        <w:rPr>
          <w:noProof/>
        </w:rPr>
        <w:t>1</w:t>
      </w:r>
      <w:r w:rsidR="00EE5870" w:rsidRPr="008A0812">
        <w:fldChar w:fldCharType="end"/>
      </w:r>
      <w:r w:rsidRPr="008A0812">
        <w:t xml:space="preserve">, from August 2018 through July 2019, the influent flow to RIX was approximately 26.5 mgd, with 80% from the SBWRP (21.5 mgd) and 20% from the City of Colton (5.0 mgd). The monthly discharge from RIX to the Santa Ana River averaged 29.3 mgd for this 12-month period, including 2.8 mgd of extracted groundwater (Colton/San Bernardino Tertiary Treatment and Reclamation Authority, August 2018 - July 2019). The volume of native groundwater that is over extracted has been approximately 10% of the secondary influent volume in recent years, but historically has been as high as 40%. </w:t>
      </w:r>
    </w:p>
    <w:p w14:paraId="49365C82" w14:textId="2293E351" w:rsidR="00EE5870" w:rsidRPr="008A0812" w:rsidRDefault="00EE5870" w:rsidP="00EE5870">
      <w:pPr>
        <w:pStyle w:val="TableHeading"/>
      </w:pPr>
      <w:bookmarkStart w:id="303" w:name="_Ref36232077"/>
      <w:bookmarkStart w:id="304" w:name="_Toc36414056"/>
      <w:bookmarkStart w:id="305" w:name="_Toc41684754"/>
      <w:r w:rsidRPr="008A0812">
        <w:t xml:space="preserve">Table </w:t>
      </w:r>
      <w:r>
        <w:fldChar w:fldCharType="begin"/>
      </w:r>
      <w:r>
        <w:instrText>STYLEREF 1 \s</w:instrText>
      </w:r>
      <w:r>
        <w:fldChar w:fldCharType="separate"/>
      </w:r>
      <w:r w:rsidR="00AA68F8">
        <w:rPr>
          <w:noProof/>
        </w:rPr>
        <w:t>5</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303"/>
      <w:r w:rsidRPr="008A0812">
        <w:t>: RIX Flows August 2018 – July 2019</w:t>
      </w:r>
      <w:bookmarkEnd w:id="304"/>
      <w:bookmarkEnd w:id="305"/>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62"/>
        <w:gridCol w:w="1080"/>
        <w:gridCol w:w="1772"/>
        <w:gridCol w:w="1772"/>
        <w:gridCol w:w="1772"/>
        <w:gridCol w:w="1773"/>
      </w:tblGrid>
      <w:tr w:rsidR="0024366E" w:rsidRPr="008A0812" w14:paraId="68265A0F" w14:textId="77777777" w:rsidTr="0024366E">
        <w:tc>
          <w:tcPr>
            <w:tcW w:w="2242" w:type="dxa"/>
            <w:gridSpan w:val="2"/>
            <w:tcBorders>
              <w:top w:val="single" w:sz="6" w:space="0" w:color="auto"/>
              <w:left w:val="single" w:sz="6" w:space="0" w:color="auto"/>
              <w:bottom w:val="single" w:sz="6" w:space="0" w:color="auto"/>
              <w:right w:val="single" w:sz="6" w:space="0" w:color="auto"/>
            </w:tcBorders>
            <w:shd w:val="clear" w:color="auto" w:fill="BFBFBF"/>
            <w:vAlign w:val="bottom"/>
            <w:hideMark/>
          </w:tcPr>
          <w:p w14:paraId="088B1C59"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Month</w:t>
            </w:r>
            <w:r w:rsidRPr="008A0812">
              <w:t> </w:t>
            </w:r>
          </w:p>
        </w:tc>
        <w:tc>
          <w:tcPr>
            <w:tcW w:w="1772" w:type="dxa"/>
            <w:tcBorders>
              <w:top w:val="single" w:sz="6" w:space="0" w:color="auto"/>
              <w:left w:val="nil"/>
              <w:bottom w:val="single" w:sz="6" w:space="0" w:color="auto"/>
              <w:right w:val="single" w:sz="6" w:space="0" w:color="auto"/>
            </w:tcBorders>
            <w:shd w:val="clear" w:color="auto" w:fill="BFBFBF"/>
            <w:vAlign w:val="bottom"/>
            <w:hideMark/>
          </w:tcPr>
          <w:p w14:paraId="5BCB4A30" w14:textId="4F4226AD" w:rsidR="0024366E" w:rsidRPr="008A0812" w:rsidRDefault="0024366E" w:rsidP="0024366E">
            <w:pPr>
              <w:overflowPunct/>
              <w:autoSpaceDE/>
              <w:autoSpaceDN/>
              <w:adjustRightInd/>
              <w:jc w:val="center"/>
              <w:rPr>
                <w:rFonts w:ascii="Times New Roman" w:hAnsi="Times New Roman"/>
                <w:sz w:val="24"/>
                <w:szCs w:val="24"/>
              </w:rPr>
            </w:pPr>
            <w:r w:rsidRPr="008A0812">
              <w:rPr>
                <w:b/>
                <w:bCs/>
              </w:rPr>
              <w:t>Influent from SBWRP</w:t>
            </w:r>
            <w:r w:rsidR="000D2D44" w:rsidRPr="008A0812">
              <w:rPr>
                <w:b/>
                <w:bCs/>
              </w:rPr>
              <w:t xml:space="preserve"> </w:t>
            </w:r>
          </w:p>
        </w:tc>
        <w:tc>
          <w:tcPr>
            <w:tcW w:w="1772" w:type="dxa"/>
            <w:tcBorders>
              <w:top w:val="single" w:sz="6" w:space="0" w:color="auto"/>
              <w:left w:val="nil"/>
              <w:bottom w:val="single" w:sz="6" w:space="0" w:color="auto"/>
              <w:right w:val="single" w:sz="6" w:space="0" w:color="auto"/>
            </w:tcBorders>
            <w:shd w:val="clear" w:color="auto" w:fill="BFBFBF"/>
            <w:vAlign w:val="bottom"/>
            <w:hideMark/>
          </w:tcPr>
          <w:p w14:paraId="20E9F4B2"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Influent from Colton</w:t>
            </w:r>
            <w:r w:rsidRPr="008A0812">
              <w:t> </w:t>
            </w:r>
          </w:p>
        </w:tc>
        <w:tc>
          <w:tcPr>
            <w:tcW w:w="1772" w:type="dxa"/>
            <w:tcBorders>
              <w:top w:val="single" w:sz="6" w:space="0" w:color="auto"/>
              <w:left w:val="nil"/>
              <w:bottom w:val="single" w:sz="6" w:space="0" w:color="auto"/>
              <w:right w:val="single" w:sz="6" w:space="0" w:color="auto"/>
            </w:tcBorders>
            <w:shd w:val="clear" w:color="auto" w:fill="BFBFBF"/>
            <w:vAlign w:val="bottom"/>
            <w:hideMark/>
          </w:tcPr>
          <w:p w14:paraId="4A5D21A9"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Extracted Groundwater</w:t>
            </w:r>
            <w:r w:rsidRPr="008A0812">
              <w:t> </w:t>
            </w:r>
          </w:p>
        </w:tc>
        <w:tc>
          <w:tcPr>
            <w:tcW w:w="1773" w:type="dxa"/>
            <w:tcBorders>
              <w:top w:val="single" w:sz="6" w:space="0" w:color="auto"/>
              <w:left w:val="nil"/>
              <w:bottom w:val="single" w:sz="6" w:space="0" w:color="auto"/>
              <w:right w:val="single" w:sz="6" w:space="0" w:color="auto"/>
            </w:tcBorders>
            <w:shd w:val="clear" w:color="auto" w:fill="BFBFBF"/>
            <w:vAlign w:val="bottom"/>
            <w:hideMark/>
          </w:tcPr>
          <w:p w14:paraId="71E137CB"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Discharge to Santa Ana River</w:t>
            </w:r>
            <w:r w:rsidRPr="008A0812">
              <w:t> </w:t>
            </w:r>
          </w:p>
        </w:tc>
      </w:tr>
      <w:tr w:rsidR="0024366E" w:rsidRPr="008A0812" w14:paraId="30331835"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2259E045" w14:textId="77777777" w:rsidR="0024366E" w:rsidRPr="008A0812" w:rsidRDefault="0024366E" w:rsidP="0024366E">
            <w:pPr>
              <w:overflowPunct/>
              <w:autoSpaceDE/>
              <w:autoSpaceDN/>
              <w:adjustRightInd/>
              <w:jc w:val="center"/>
              <w:rPr>
                <w:rFonts w:ascii="Times New Roman" w:hAnsi="Times New Roman"/>
                <w:sz w:val="24"/>
                <w:szCs w:val="24"/>
              </w:rPr>
            </w:pPr>
            <w:r w:rsidRPr="008A0812">
              <w:t>Aug 2018 </w:t>
            </w:r>
          </w:p>
        </w:tc>
        <w:tc>
          <w:tcPr>
            <w:tcW w:w="1772" w:type="dxa"/>
            <w:tcBorders>
              <w:top w:val="nil"/>
              <w:left w:val="nil"/>
              <w:bottom w:val="single" w:sz="6" w:space="0" w:color="auto"/>
              <w:right w:val="single" w:sz="6" w:space="0" w:color="auto"/>
            </w:tcBorders>
            <w:shd w:val="clear" w:color="auto" w:fill="auto"/>
            <w:hideMark/>
          </w:tcPr>
          <w:p w14:paraId="6CFD8357" w14:textId="77777777" w:rsidR="0024366E" w:rsidRPr="008A0812" w:rsidRDefault="0024366E" w:rsidP="0024366E">
            <w:pPr>
              <w:overflowPunct/>
              <w:autoSpaceDE/>
              <w:autoSpaceDN/>
              <w:adjustRightInd/>
              <w:jc w:val="center"/>
              <w:rPr>
                <w:rFonts w:ascii="Times New Roman" w:hAnsi="Times New Roman"/>
                <w:sz w:val="24"/>
                <w:szCs w:val="24"/>
              </w:rPr>
            </w:pPr>
            <w:r w:rsidRPr="008A0812">
              <w:t>22.3 </w:t>
            </w:r>
          </w:p>
        </w:tc>
        <w:tc>
          <w:tcPr>
            <w:tcW w:w="1772" w:type="dxa"/>
            <w:tcBorders>
              <w:top w:val="nil"/>
              <w:left w:val="nil"/>
              <w:bottom w:val="single" w:sz="6" w:space="0" w:color="auto"/>
              <w:right w:val="single" w:sz="6" w:space="0" w:color="auto"/>
            </w:tcBorders>
            <w:shd w:val="clear" w:color="auto" w:fill="auto"/>
            <w:hideMark/>
          </w:tcPr>
          <w:p w14:paraId="54A49D5C" w14:textId="77777777" w:rsidR="0024366E" w:rsidRPr="008A0812" w:rsidRDefault="0024366E" w:rsidP="0024366E">
            <w:pPr>
              <w:overflowPunct/>
              <w:autoSpaceDE/>
              <w:autoSpaceDN/>
              <w:adjustRightInd/>
              <w:jc w:val="center"/>
              <w:rPr>
                <w:rFonts w:ascii="Times New Roman" w:hAnsi="Times New Roman"/>
                <w:sz w:val="24"/>
                <w:szCs w:val="24"/>
              </w:rPr>
            </w:pPr>
            <w:r w:rsidRPr="008A0812">
              <w:t>5.0 </w:t>
            </w:r>
          </w:p>
        </w:tc>
        <w:tc>
          <w:tcPr>
            <w:tcW w:w="1772" w:type="dxa"/>
            <w:tcBorders>
              <w:top w:val="nil"/>
              <w:left w:val="nil"/>
              <w:bottom w:val="single" w:sz="6" w:space="0" w:color="auto"/>
              <w:right w:val="single" w:sz="6" w:space="0" w:color="auto"/>
            </w:tcBorders>
            <w:shd w:val="clear" w:color="auto" w:fill="auto"/>
            <w:hideMark/>
          </w:tcPr>
          <w:p w14:paraId="4A35BCE5" w14:textId="77777777" w:rsidR="0024366E" w:rsidRPr="008A0812" w:rsidRDefault="0024366E" w:rsidP="0024366E">
            <w:pPr>
              <w:overflowPunct/>
              <w:autoSpaceDE/>
              <w:autoSpaceDN/>
              <w:adjustRightInd/>
              <w:jc w:val="center"/>
              <w:rPr>
                <w:rFonts w:ascii="Times New Roman" w:hAnsi="Times New Roman"/>
                <w:sz w:val="24"/>
                <w:szCs w:val="24"/>
              </w:rPr>
            </w:pPr>
            <w:r w:rsidRPr="008A0812">
              <w:t>2.4 </w:t>
            </w:r>
          </w:p>
        </w:tc>
        <w:tc>
          <w:tcPr>
            <w:tcW w:w="1773" w:type="dxa"/>
            <w:tcBorders>
              <w:top w:val="nil"/>
              <w:left w:val="nil"/>
              <w:bottom w:val="single" w:sz="6" w:space="0" w:color="auto"/>
              <w:right w:val="single" w:sz="6" w:space="0" w:color="auto"/>
            </w:tcBorders>
            <w:shd w:val="clear" w:color="auto" w:fill="auto"/>
            <w:hideMark/>
          </w:tcPr>
          <w:p w14:paraId="0A9C7B4E"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29.6 </w:t>
            </w:r>
          </w:p>
        </w:tc>
      </w:tr>
      <w:tr w:rsidR="0024366E" w:rsidRPr="008A0812" w14:paraId="03FEE9AF"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33347DED" w14:textId="77777777" w:rsidR="0024366E" w:rsidRPr="008A0812" w:rsidRDefault="0024366E" w:rsidP="0024366E">
            <w:pPr>
              <w:overflowPunct/>
              <w:autoSpaceDE/>
              <w:autoSpaceDN/>
              <w:adjustRightInd/>
              <w:jc w:val="center"/>
              <w:rPr>
                <w:rFonts w:ascii="Times New Roman" w:hAnsi="Times New Roman"/>
                <w:sz w:val="24"/>
                <w:szCs w:val="24"/>
              </w:rPr>
            </w:pPr>
            <w:r w:rsidRPr="008A0812">
              <w:t>Sep 2018 </w:t>
            </w:r>
          </w:p>
        </w:tc>
        <w:tc>
          <w:tcPr>
            <w:tcW w:w="1772" w:type="dxa"/>
            <w:tcBorders>
              <w:top w:val="nil"/>
              <w:left w:val="nil"/>
              <w:bottom w:val="single" w:sz="6" w:space="0" w:color="auto"/>
              <w:right w:val="single" w:sz="6" w:space="0" w:color="auto"/>
            </w:tcBorders>
            <w:shd w:val="clear" w:color="auto" w:fill="auto"/>
            <w:hideMark/>
          </w:tcPr>
          <w:p w14:paraId="7FCFAA4F" w14:textId="77777777" w:rsidR="0024366E" w:rsidRPr="008A0812" w:rsidRDefault="0024366E" w:rsidP="0024366E">
            <w:pPr>
              <w:overflowPunct/>
              <w:autoSpaceDE/>
              <w:autoSpaceDN/>
              <w:adjustRightInd/>
              <w:jc w:val="center"/>
              <w:rPr>
                <w:rFonts w:ascii="Times New Roman" w:hAnsi="Times New Roman"/>
                <w:sz w:val="24"/>
                <w:szCs w:val="24"/>
              </w:rPr>
            </w:pPr>
            <w:r w:rsidRPr="008A0812">
              <w:t>22.1 </w:t>
            </w:r>
          </w:p>
        </w:tc>
        <w:tc>
          <w:tcPr>
            <w:tcW w:w="1772" w:type="dxa"/>
            <w:tcBorders>
              <w:top w:val="nil"/>
              <w:left w:val="nil"/>
              <w:bottom w:val="single" w:sz="6" w:space="0" w:color="auto"/>
              <w:right w:val="single" w:sz="6" w:space="0" w:color="auto"/>
            </w:tcBorders>
            <w:shd w:val="clear" w:color="auto" w:fill="auto"/>
            <w:hideMark/>
          </w:tcPr>
          <w:p w14:paraId="5CC5A843" w14:textId="77777777" w:rsidR="0024366E" w:rsidRPr="008A0812" w:rsidRDefault="0024366E" w:rsidP="0024366E">
            <w:pPr>
              <w:overflowPunct/>
              <w:autoSpaceDE/>
              <w:autoSpaceDN/>
              <w:adjustRightInd/>
              <w:jc w:val="center"/>
              <w:rPr>
                <w:rFonts w:ascii="Times New Roman" w:hAnsi="Times New Roman"/>
                <w:sz w:val="24"/>
                <w:szCs w:val="24"/>
              </w:rPr>
            </w:pPr>
            <w:r w:rsidRPr="008A0812">
              <w:t>4.8 </w:t>
            </w:r>
          </w:p>
        </w:tc>
        <w:tc>
          <w:tcPr>
            <w:tcW w:w="1772" w:type="dxa"/>
            <w:tcBorders>
              <w:top w:val="nil"/>
              <w:left w:val="nil"/>
              <w:bottom w:val="single" w:sz="6" w:space="0" w:color="auto"/>
              <w:right w:val="single" w:sz="6" w:space="0" w:color="auto"/>
            </w:tcBorders>
            <w:shd w:val="clear" w:color="auto" w:fill="auto"/>
            <w:hideMark/>
          </w:tcPr>
          <w:p w14:paraId="25D4ED14"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2.8 </w:t>
            </w:r>
          </w:p>
        </w:tc>
        <w:tc>
          <w:tcPr>
            <w:tcW w:w="1773" w:type="dxa"/>
            <w:tcBorders>
              <w:top w:val="nil"/>
              <w:left w:val="nil"/>
              <w:bottom w:val="single" w:sz="6" w:space="0" w:color="auto"/>
              <w:right w:val="single" w:sz="6" w:space="0" w:color="auto"/>
            </w:tcBorders>
            <w:shd w:val="clear" w:color="auto" w:fill="auto"/>
            <w:hideMark/>
          </w:tcPr>
          <w:p w14:paraId="7497F0D4"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29.8 </w:t>
            </w:r>
          </w:p>
        </w:tc>
      </w:tr>
      <w:tr w:rsidR="0024366E" w:rsidRPr="008A0812" w14:paraId="7AF925D5"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65578B01" w14:textId="77777777" w:rsidR="0024366E" w:rsidRPr="008A0812" w:rsidRDefault="0024366E" w:rsidP="0024366E">
            <w:pPr>
              <w:overflowPunct/>
              <w:autoSpaceDE/>
              <w:autoSpaceDN/>
              <w:adjustRightInd/>
              <w:jc w:val="center"/>
              <w:rPr>
                <w:rFonts w:ascii="Times New Roman" w:hAnsi="Times New Roman"/>
                <w:sz w:val="24"/>
                <w:szCs w:val="24"/>
              </w:rPr>
            </w:pPr>
            <w:r w:rsidRPr="008A0812">
              <w:t>Oct 2018 </w:t>
            </w:r>
          </w:p>
        </w:tc>
        <w:tc>
          <w:tcPr>
            <w:tcW w:w="1772" w:type="dxa"/>
            <w:tcBorders>
              <w:top w:val="nil"/>
              <w:left w:val="nil"/>
              <w:bottom w:val="single" w:sz="6" w:space="0" w:color="auto"/>
              <w:right w:val="single" w:sz="6" w:space="0" w:color="auto"/>
            </w:tcBorders>
            <w:shd w:val="clear" w:color="auto" w:fill="auto"/>
            <w:hideMark/>
          </w:tcPr>
          <w:p w14:paraId="6A7C9A8D" w14:textId="77777777" w:rsidR="0024366E" w:rsidRPr="008A0812" w:rsidRDefault="0024366E" w:rsidP="0024366E">
            <w:pPr>
              <w:overflowPunct/>
              <w:autoSpaceDE/>
              <w:autoSpaceDN/>
              <w:adjustRightInd/>
              <w:jc w:val="center"/>
              <w:rPr>
                <w:rFonts w:ascii="Times New Roman" w:hAnsi="Times New Roman"/>
                <w:sz w:val="24"/>
                <w:szCs w:val="24"/>
              </w:rPr>
            </w:pPr>
            <w:r w:rsidRPr="008A0812">
              <w:t>21.9 </w:t>
            </w:r>
          </w:p>
        </w:tc>
        <w:tc>
          <w:tcPr>
            <w:tcW w:w="1772" w:type="dxa"/>
            <w:tcBorders>
              <w:top w:val="nil"/>
              <w:left w:val="nil"/>
              <w:bottom w:val="single" w:sz="6" w:space="0" w:color="auto"/>
              <w:right w:val="single" w:sz="6" w:space="0" w:color="auto"/>
            </w:tcBorders>
            <w:shd w:val="clear" w:color="auto" w:fill="auto"/>
            <w:hideMark/>
          </w:tcPr>
          <w:p w14:paraId="4941F05C" w14:textId="77777777" w:rsidR="0024366E" w:rsidRPr="008A0812" w:rsidRDefault="0024366E" w:rsidP="0024366E">
            <w:pPr>
              <w:overflowPunct/>
              <w:autoSpaceDE/>
              <w:autoSpaceDN/>
              <w:adjustRightInd/>
              <w:jc w:val="center"/>
              <w:rPr>
                <w:rFonts w:ascii="Times New Roman" w:hAnsi="Times New Roman"/>
                <w:sz w:val="24"/>
                <w:szCs w:val="24"/>
              </w:rPr>
            </w:pPr>
            <w:r w:rsidRPr="008A0812">
              <w:t>4.8 </w:t>
            </w:r>
          </w:p>
        </w:tc>
        <w:tc>
          <w:tcPr>
            <w:tcW w:w="1772" w:type="dxa"/>
            <w:tcBorders>
              <w:top w:val="nil"/>
              <w:left w:val="nil"/>
              <w:bottom w:val="single" w:sz="6" w:space="0" w:color="auto"/>
              <w:right w:val="single" w:sz="6" w:space="0" w:color="auto"/>
            </w:tcBorders>
            <w:shd w:val="clear" w:color="auto" w:fill="auto"/>
            <w:hideMark/>
          </w:tcPr>
          <w:p w14:paraId="01AECACC"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2.9 </w:t>
            </w:r>
          </w:p>
        </w:tc>
        <w:tc>
          <w:tcPr>
            <w:tcW w:w="1773" w:type="dxa"/>
            <w:tcBorders>
              <w:top w:val="nil"/>
              <w:left w:val="nil"/>
              <w:bottom w:val="single" w:sz="6" w:space="0" w:color="auto"/>
              <w:right w:val="single" w:sz="6" w:space="0" w:color="auto"/>
            </w:tcBorders>
            <w:shd w:val="clear" w:color="auto" w:fill="auto"/>
            <w:hideMark/>
          </w:tcPr>
          <w:p w14:paraId="29A6B1A1"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29.6 </w:t>
            </w:r>
          </w:p>
        </w:tc>
      </w:tr>
      <w:tr w:rsidR="0024366E" w:rsidRPr="008A0812" w14:paraId="2D6BA56C"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432D6400" w14:textId="77777777" w:rsidR="0024366E" w:rsidRPr="008A0812" w:rsidRDefault="0024366E" w:rsidP="0024366E">
            <w:pPr>
              <w:overflowPunct/>
              <w:autoSpaceDE/>
              <w:autoSpaceDN/>
              <w:adjustRightInd/>
              <w:jc w:val="center"/>
              <w:rPr>
                <w:rFonts w:ascii="Times New Roman" w:hAnsi="Times New Roman"/>
                <w:sz w:val="24"/>
                <w:szCs w:val="24"/>
              </w:rPr>
            </w:pPr>
            <w:r w:rsidRPr="008A0812">
              <w:t>Nov 2018 </w:t>
            </w:r>
          </w:p>
        </w:tc>
        <w:tc>
          <w:tcPr>
            <w:tcW w:w="1772" w:type="dxa"/>
            <w:tcBorders>
              <w:top w:val="nil"/>
              <w:left w:val="nil"/>
              <w:bottom w:val="single" w:sz="6" w:space="0" w:color="auto"/>
              <w:right w:val="single" w:sz="6" w:space="0" w:color="auto"/>
            </w:tcBorders>
            <w:shd w:val="clear" w:color="auto" w:fill="auto"/>
            <w:hideMark/>
          </w:tcPr>
          <w:p w14:paraId="3F622526" w14:textId="77777777" w:rsidR="0024366E" w:rsidRPr="008A0812" w:rsidRDefault="0024366E" w:rsidP="0024366E">
            <w:pPr>
              <w:overflowPunct/>
              <w:autoSpaceDE/>
              <w:autoSpaceDN/>
              <w:adjustRightInd/>
              <w:jc w:val="center"/>
              <w:rPr>
                <w:rFonts w:ascii="Times New Roman" w:hAnsi="Times New Roman"/>
                <w:sz w:val="24"/>
                <w:szCs w:val="24"/>
              </w:rPr>
            </w:pPr>
            <w:r w:rsidRPr="008A0812">
              <w:t>21.6 </w:t>
            </w:r>
          </w:p>
        </w:tc>
        <w:tc>
          <w:tcPr>
            <w:tcW w:w="1772" w:type="dxa"/>
            <w:tcBorders>
              <w:top w:val="nil"/>
              <w:left w:val="nil"/>
              <w:bottom w:val="single" w:sz="6" w:space="0" w:color="auto"/>
              <w:right w:val="single" w:sz="6" w:space="0" w:color="auto"/>
            </w:tcBorders>
            <w:shd w:val="clear" w:color="auto" w:fill="auto"/>
            <w:hideMark/>
          </w:tcPr>
          <w:p w14:paraId="3337F1C8" w14:textId="77777777" w:rsidR="0024366E" w:rsidRPr="008A0812" w:rsidRDefault="0024366E" w:rsidP="0024366E">
            <w:pPr>
              <w:overflowPunct/>
              <w:autoSpaceDE/>
              <w:autoSpaceDN/>
              <w:adjustRightInd/>
              <w:jc w:val="center"/>
              <w:rPr>
                <w:rFonts w:ascii="Times New Roman" w:hAnsi="Times New Roman"/>
                <w:sz w:val="24"/>
                <w:szCs w:val="24"/>
              </w:rPr>
            </w:pPr>
            <w:r w:rsidRPr="008A0812">
              <w:t>4.9 </w:t>
            </w:r>
          </w:p>
        </w:tc>
        <w:tc>
          <w:tcPr>
            <w:tcW w:w="1772" w:type="dxa"/>
            <w:tcBorders>
              <w:top w:val="nil"/>
              <w:left w:val="nil"/>
              <w:bottom w:val="single" w:sz="6" w:space="0" w:color="auto"/>
              <w:right w:val="single" w:sz="6" w:space="0" w:color="auto"/>
            </w:tcBorders>
            <w:shd w:val="clear" w:color="auto" w:fill="auto"/>
            <w:hideMark/>
          </w:tcPr>
          <w:p w14:paraId="04434A5F" w14:textId="77777777" w:rsidR="0024366E" w:rsidRPr="008A0812" w:rsidRDefault="0024366E" w:rsidP="0024366E">
            <w:pPr>
              <w:overflowPunct/>
              <w:autoSpaceDE/>
              <w:autoSpaceDN/>
              <w:adjustRightInd/>
              <w:jc w:val="center"/>
              <w:rPr>
                <w:rFonts w:ascii="Times New Roman" w:hAnsi="Times New Roman"/>
                <w:sz w:val="24"/>
                <w:szCs w:val="24"/>
              </w:rPr>
            </w:pPr>
            <w:r w:rsidRPr="008A0812">
              <w:t>2.5 </w:t>
            </w:r>
          </w:p>
        </w:tc>
        <w:tc>
          <w:tcPr>
            <w:tcW w:w="1773" w:type="dxa"/>
            <w:tcBorders>
              <w:top w:val="nil"/>
              <w:left w:val="nil"/>
              <w:bottom w:val="single" w:sz="6" w:space="0" w:color="auto"/>
              <w:right w:val="single" w:sz="6" w:space="0" w:color="auto"/>
            </w:tcBorders>
            <w:shd w:val="clear" w:color="auto" w:fill="auto"/>
            <w:hideMark/>
          </w:tcPr>
          <w:p w14:paraId="2488C148"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28.9 </w:t>
            </w:r>
          </w:p>
        </w:tc>
      </w:tr>
      <w:tr w:rsidR="0024366E" w:rsidRPr="008A0812" w14:paraId="34881475"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15B5F7E7" w14:textId="77777777" w:rsidR="0024366E" w:rsidRPr="008A0812" w:rsidRDefault="0024366E" w:rsidP="0024366E">
            <w:pPr>
              <w:overflowPunct/>
              <w:autoSpaceDE/>
              <w:autoSpaceDN/>
              <w:adjustRightInd/>
              <w:jc w:val="center"/>
              <w:rPr>
                <w:rFonts w:ascii="Times New Roman" w:hAnsi="Times New Roman"/>
                <w:sz w:val="24"/>
                <w:szCs w:val="24"/>
              </w:rPr>
            </w:pPr>
            <w:r w:rsidRPr="008A0812">
              <w:t>Dec 2018 </w:t>
            </w:r>
          </w:p>
        </w:tc>
        <w:tc>
          <w:tcPr>
            <w:tcW w:w="1772" w:type="dxa"/>
            <w:tcBorders>
              <w:top w:val="nil"/>
              <w:left w:val="nil"/>
              <w:bottom w:val="single" w:sz="6" w:space="0" w:color="auto"/>
              <w:right w:val="single" w:sz="6" w:space="0" w:color="auto"/>
            </w:tcBorders>
            <w:shd w:val="clear" w:color="auto" w:fill="auto"/>
            <w:hideMark/>
          </w:tcPr>
          <w:p w14:paraId="00F42054" w14:textId="77777777" w:rsidR="0024366E" w:rsidRPr="008A0812" w:rsidRDefault="0024366E" w:rsidP="0024366E">
            <w:pPr>
              <w:overflowPunct/>
              <w:autoSpaceDE/>
              <w:autoSpaceDN/>
              <w:adjustRightInd/>
              <w:jc w:val="center"/>
              <w:rPr>
                <w:rFonts w:ascii="Times New Roman" w:hAnsi="Times New Roman"/>
                <w:sz w:val="24"/>
                <w:szCs w:val="24"/>
              </w:rPr>
            </w:pPr>
            <w:r w:rsidRPr="008A0812">
              <w:t>20.9 </w:t>
            </w:r>
          </w:p>
        </w:tc>
        <w:tc>
          <w:tcPr>
            <w:tcW w:w="1772" w:type="dxa"/>
            <w:tcBorders>
              <w:top w:val="nil"/>
              <w:left w:val="nil"/>
              <w:bottom w:val="single" w:sz="6" w:space="0" w:color="auto"/>
              <w:right w:val="single" w:sz="6" w:space="0" w:color="auto"/>
            </w:tcBorders>
            <w:shd w:val="clear" w:color="auto" w:fill="auto"/>
            <w:hideMark/>
          </w:tcPr>
          <w:p w14:paraId="3088EDF7" w14:textId="77777777" w:rsidR="0024366E" w:rsidRPr="008A0812" w:rsidRDefault="0024366E" w:rsidP="0024366E">
            <w:pPr>
              <w:overflowPunct/>
              <w:autoSpaceDE/>
              <w:autoSpaceDN/>
              <w:adjustRightInd/>
              <w:jc w:val="center"/>
              <w:rPr>
                <w:rFonts w:ascii="Times New Roman" w:hAnsi="Times New Roman"/>
                <w:sz w:val="24"/>
                <w:szCs w:val="24"/>
              </w:rPr>
            </w:pPr>
            <w:r w:rsidRPr="008A0812">
              <w:t>5.2 </w:t>
            </w:r>
          </w:p>
        </w:tc>
        <w:tc>
          <w:tcPr>
            <w:tcW w:w="1772" w:type="dxa"/>
            <w:tcBorders>
              <w:top w:val="nil"/>
              <w:left w:val="nil"/>
              <w:bottom w:val="single" w:sz="6" w:space="0" w:color="auto"/>
              <w:right w:val="single" w:sz="6" w:space="0" w:color="auto"/>
            </w:tcBorders>
            <w:shd w:val="clear" w:color="auto" w:fill="auto"/>
            <w:hideMark/>
          </w:tcPr>
          <w:p w14:paraId="101DE018"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2.8 </w:t>
            </w:r>
          </w:p>
        </w:tc>
        <w:tc>
          <w:tcPr>
            <w:tcW w:w="1773" w:type="dxa"/>
            <w:tcBorders>
              <w:top w:val="nil"/>
              <w:left w:val="nil"/>
              <w:bottom w:val="single" w:sz="6" w:space="0" w:color="auto"/>
              <w:right w:val="single" w:sz="6" w:space="0" w:color="auto"/>
            </w:tcBorders>
            <w:shd w:val="clear" w:color="auto" w:fill="auto"/>
            <w:hideMark/>
          </w:tcPr>
          <w:p w14:paraId="652AC302"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28.9 </w:t>
            </w:r>
          </w:p>
        </w:tc>
      </w:tr>
      <w:tr w:rsidR="0024366E" w:rsidRPr="008A0812" w14:paraId="18EC0C33"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63859DE0" w14:textId="77777777" w:rsidR="0024366E" w:rsidRPr="008A0812" w:rsidRDefault="0024366E" w:rsidP="0024366E">
            <w:pPr>
              <w:overflowPunct/>
              <w:autoSpaceDE/>
              <w:autoSpaceDN/>
              <w:adjustRightInd/>
              <w:jc w:val="center"/>
              <w:rPr>
                <w:rFonts w:ascii="Times New Roman" w:hAnsi="Times New Roman"/>
                <w:sz w:val="24"/>
                <w:szCs w:val="24"/>
              </w:rPr>
            </w:pPr>
            <w:r w:rsidRPr="008A0812">
              <w:t>Jan 2019 </w:t>
            </w:r>
          </w:p>
        </w:tc>
        <w:tc>
          <w:tcPr>
            <w:tcW w:w="1772" w:type="dxa"/>
            <w:tcBorders>
              <w:top w:val="nil"/>
              <w:left w:val="nil"/>
              <w:bottom w:val="single" w:sz="6" w:space="0" w:color="auto"/>
              <w:right w:val="single" w:sz="6" w:space="0" w:color="auto"/>
            </w:tcBorders>
            <w:shd w:val="clear" w:color="auto" w:fill="auto"/>
            <w:hideMark/>
          </w:tcPr>
          <w:p w14:paraId="18067E42" w14:textId="77777777" w:rsidR="0024366E" w:rsidRPr="008A0812" w:rsidRDefault="0024366E" w:rsidP="0024366E">
            <w:pPr>
              <w:overflowPunct/>
              <w:autoSpaceDE/>
              <w:autoSpaceDN/>
              <w:adjustRightInd/>
              <w:jc w:val="center"/>
              <w:rPr>
                <w:rFonts w:ascii="Times New Roman" w:hAnsi="Times New Roman"/>
                <w:sz w:val="24"/>
                <w:szCs w:val="24"/>
              </w:rPr>
            </w:pPr>
            <w:r w:rsidRPr="008A0812">
              <w:t>21.7 </w:t>
            </w:r>
          </w:p>
        </w:tc>
        <w:tc>
          <w:tcPr>
            <w:tcW w:w="1772" w:type="dxa"/>
            <w:tcBorders>
              <w:top w:val="nil"/>
              <w:left w:val="nil"/>
              <w:bottom w:val="single" w:sz="6" w:space="0" w:color="auto"/>
              <w:right w:val="single" w:sz="6" w:space="0" w:color="auto"/>
            </w:tcBorders>
            <w:shd w:val="clear" w:color="auto" w:fill="auto"/>
            <w:hideMark/>
          </w:tcPr>
          <w:p w14:paraId="4C266252" w14:textId="77777777" w:rsidR="0024366E" w:rsidRPr="008A0812" w:rsidRDefault="0024366E" w:rsidP="0024366E">
            <w:pPr>
              <w:overflowPunct/>
              <w:autoSpaceDE/>
              <w:autoSpaceDN/>
              <w:adjustRightInd/>
              <w:jc w:val="center"/>
              <w:rPr>
                <w:rFonts w:ascii="Times New Roman" w:hAnsi="Times New Roman"/>
                <w:sz w:val="24"/>
                <w:szCs w:val="24"/>
              </w:rPr>
            </w:pPr>
            <w:r w:rsidRPr="008A0812">
              <w:t>5.2 </w:t>
            </w:r>
          </w:p>
        </w:tc>
        <w:tc>
          <w:tcPr>
            <w:tcW w:w="1772" w:type="dxa"/>
            <w:tcBorders>
              <w:top w:val="nil"/>
              <w:left w:val="nil"/>
              <w:bottom w:val="single" w:sz="6" w:space="0" w:color="auto"/>
              <w:right w:val="single" w:sz="6" w:space="0" w:color="auto"/>
            </w:tcBorders>
            <w:shd w:val="clear" w:color="auto" w:fill="auto"/>
            <w:hideMark/>
          </w:tcPr>
          <w:p w14:paraId="7796D467" w14:textId="77777777" w:rsidR="0024366E" w:rsidRPr="008A0812" w:rsidRDefault="0024366E" w:rsidP="0024366E">
            <w:pPr>
              <w:overflowPunct/>
              <w:autoSpaceDE/>
              <w:autoSpaceDN/>
              <w:adjustRightInd/>
              <w:jc w:val="center"/>
              <w:rPr>
                <w:rFonts w:ascii="Times New Roman" w:hAnsi="Times New Roman"/>
                <w:sz w:val="24"/>
                <w:szCs w:val="24"/>
              </w:rPr>
            </w:pPr>
            <w:r w:rsidRPr="008A0812">
              <w:t>2.6 </w:t>
            </w:r>
          </w:p>
        </w:tc>
        <w:tc>
          <w:tcPr>
            <w:tcW w:w="1773" w:type="dxa"/>
            <w:tcBorders>
              <w:top w:val="nil"/>
              <w:left w:val="nil"/>
              <w:bottom w:val="single" w:sz="6" w:space="0" w:color="auto"/>
              <w:right w:val="single" w:sz="6" w:space="0" w:color="auto"/>
            </w:tcBorders>
            <w:shd w:val="clear" w:color="auto" w:fill="auto"/>
            <w:hideMark/>
          </w:tcPr>
          <w:p w14:paraId="705F73D8"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29.5 </w:t>
            </w:r>
          </w:p>
        </w:tc>
      </w:tr>
      <w:tr w:rsidR="0024366E" w:rsidRPr="008A0812" w14:paraId="6CB1846E"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329CB534" w14:textId="77777777" w:rsidR="0024366E" w:rsidRPr="008A0812" w:rsidRDefault="0024366E" w:rsidP="0024366E">
            <w:pPr>
              <w:overflowPunct/>
              <w:autoSpaceDE/>
              <w:autoSpaceDN/>
              <w:adjustRightInd/>
              <w:jc w:val="center"/>
              <w:rPr>
                <w:rFonts w:ascii="Times New Roman" w:hAnsi="Times New Roman"/>
                <w:sz w:val="24"/>
                <w:szCs w:val="24"/>
              </w:rPr>
            </w:pPr>
            <w:r w:rsidRPr="008A0812">
              <w:t>Feb 2019 </w:t>
            </w:r>
          </w:p>
        </w:tc>
        <w:tc>
          <w:tcPr>
            <w:tcW w:w="1772" w:type="dxa"/>
            <w:tcBorders>
              <w:top w:val="nil"/>
              <w:left w:val="nil"/>
              <w:bottom w:val="single" w:sz="6" w:space="0" w:color="auto"/>
              <w:right w:val="single" w:sz="6" w:space="0" w:color="auto"/>
            </w:tcBorders>
            <w:shd w:val="clear" w:color="auto" w:fill="auto"/>
            <w:hideMark/>
          </w:tcPr>
          <w:p w14:paraId="40E059F7" w14:textId="77777777" w:rsidR="0024366E" w:rsidRPr="008A0812" w:rsidRDefault="0024366E" w:rsidP="0024366E">
            <w:pPr>
              <w:overflowPunct/>
              <w:autoSpaceDE/>
              <w:autoSpaceDN/>
              <w:adjustRightInd/>
              <w:jc w:val="center"/>
              <w:rPr>
                <w:rFonts w:ascii="Times New Roman" w:hAnsi="Times New Roman"/>
                <w:sz w:val="24"/>
                <w:szCs w:val="24"/>
              </w:rPr>
            </w:pPr>
            <w:r w:rsidRPr="008A0812">
              <w:t>22.1 </w:t>
            </w:r>
          </w:p>
        </w:tc>
        <w:tc>
          <w:tcPr>
            <w:tcW w:w="1772" w:type="dxa"/>
            <w:tcBorders>
              <w:top w:val="nil"/>
              <w:left w:val="nil"/>
              <w:bottom w:val="single" w:sz="6" w:space="0" w:color="auto"/>
              <w:right w:val="single" w:sz="6" w:space="0" w:color="auto"/>
            </w:tcBorders>
            <w:shd w:val="clear" w:color="auto" w:fill="auto"/>
            <w:hideMark/>
          </w:tcPr>
          <w:p w14:paraId="79E83CE8" w14:textId="77777777" w:rsidR="0024366E" w:rsidRPr="008A0812" w:rsidRDefault="0024366E" w:rsidP="0024366E">
            <w:pPr>
              <w:overflowPunct/>
              <w:autoSpaceDE/>
              <w:autoSpaceDN/>
              <w:adjustRightInd/>
              <w:jc w:val="center"/>
              <w:rPr>
                <w:rFonts w:ascii="Times New Roman" w:hAnsi="Times New Roman"/>
                <w:sz w:val="24"/>
                <w:szCs w:val="24"/>
              </w:rPr>
            </w:pPr>
            <w:r w:rsidRPr="008A0812">
              <w:t>5.4 </w:t>
            </w:r>
          </w:p>
        </w:tc>
        <w:tc>
          <w:tcPr>
            <w:tcW w:w="1772" w:type="dxa"/>
            <w:tcBorders>
              <w:top w:val="nil"/>
              <w:left w:val="nil"/>
              <w:bottom w:val="single" w:sz="6" w:space="0" w:color="auto"/>
              <w:right w:val="single" w:sz="6" w:space="0" w:color="auto"/>
            </w:tcBorders>
            <w:shd w:val="clear" w:color="auto" w:fill="auto"/>
            <w:hideMark/>
          </w:tcPr>
          <w:p w14:paraId="5D758ADD" w14:textId="77777777" w:rsidR="0024366E" w:rsidRPr="008A0812" w:rsidRDefault="0024366E" w:rsidP="0024366E">
            <w:pPr>
              <w:overflowPunct/>
              <w:autoSpaceDE/>
              <w:autoSpaceDN/>
              <w:adjustRightInd/>
              <w:jc w:val="center"/>
              <w:rPr>
                <w:rFonts w:ascii="Times New Roman" w:hAnsi="Times New Roman"/>
                <w:sz w:val="24"/>
                <w:szCs w:val="24"/>
              </w:rPr>
            </w:pPr>
            <w:r w:rsidRPr="008A0812">
              <w:t>3.1 </w:t>
            </w:r>
          </w:p>
        </w:tc>
        <w:tc>
          <w:tcPr>
            <w:tcW w:w="1773" w:type="dxa"/>
            <w:tcBorders>
              <w:top w:val="nil"/>
              <w:left w:val="nil"/>
              <w:bottom w:val="single" w:sz="6" w:space="0" w:color="auto"/>
              <w:right w:val="single" w:sz="6" w:space="0" w:color="auto"/>
            </w:tcBorders>
            <w:shd w:val="clear" w:color="auto" w:fill="auto"/>
            <w:hideMark/>
          </w:tcPr>
          <w:p w14:paraId="015D206C" w14:textId="77777777" w:rsidR="0024366E" w:rsidRPr="008A0812" w:rsidRDefault="0024366E" w:rsidP="0024366E">
            <w:pPr>
              <w:overflowPunct/>
              <w:autoSpaceDE/>
              <w:autoSpaceDN/>
              <w:adjustRightInd/>
              <w:jc w:val="center"/>
              <w:rPr>
                <w:rFonts w:ascii="Times New Roman" w:hAnsi="Times New Roman"/>
                <w:sz w:val="24"/>
                <w:szCs w:val="24"/>
              </w:rPr>
            </w:pPr>
            <w:r w:rsidRPr="008A0812">
              <w:t>30.6 </w:t>
            </w:r>
          </w:p>
        </w:tc>
      </w:tr>
      <w:tr w:rsidR="0024366E" w:rsidRPr="008A0812" w14:paraId="0976A5F9"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71326ED0" w14:textId="77777777" w:rsidR="0024366E" w:rsidRPr="008A0812" w:rsidRDefault="0024366E" w:rsidP="0024366E">
            <w:pPr>
              <w:overflowPunct/>
              <w:autoSpaceDE/>
              <w:autoSpaceDN/>
              <w:adjustRightInd/>
              <w:jc w:val="center"/>
              <w:rPr>
                <w:rFonts w:ascii="Times New Roman" w:hAnsi="Times New Roman"/>
                <w:sz w:val="24"/>
                <w:szCs w:val="24"/>
              </w:rPr>
            </w:pPr>
            <w:r w:rsidRPr="008A0812">
              <w:t>Mar 2019 </w:t>
            </w:r>
          </w:p>
        </w:tc>
        <w:tc>
          <w:tcPr>
            <w:tcW w:w="1772" w:type="dxa"/>
            <w:tcBorders>
              <w:top w:val="nil"/>
              <w:left w:val="nil"/>
              <w:bottom w:val="single" w:sz="6" w:space="0" w:color="auto"/>
              <w:right w:val="single" w:sz="6" w:space="0" w:color="auto"/>
            </w:tcBorders>
            <w:shd w:val="clear" w:color="auto" w:fill="auto"/>
            <w:hideMark/>
          </w:tcPr>
          <w:p w14:paraId="36D21ADF" w14:textId="77777777" w:rsidR="0024366E" w:rsidRPr="008A0812" w:rsidRDefault="0024366E" w:rsidP="0024366E">
            <w:pPr>
              <w:overflowPunct/>
              <w:autoSpaceDE/>
              <w:autoSpaceDN/>
              <w:adjustRightInd/>
              <w:jc w:val="center"/>
              <w:rPr>
                <w:rFonts w:ascii="Times New Roman" w:hAnsi="Times New Roman"/>
                <w:sz w:val="24"/>
                <w:szCs w:val="24"/>
              </w:rPr>
            </w:pPr>
            <w:r w:rsidRPr="008A0812">
              <w:t>20.7 </w:t>
            </w:r>
          </w:p>
        </w:tc>
        <w:tc>
          <w:tcPr>
            <w:tcW w:w="1772" w:type="dxa"/>
            <w:tcBorders>
              <w:top w:val="nil"/>
              <w:left w:val="nil"/>
              <w:bottom w:val="single" w:sz="6" w:space="0" w:color="auto"/>
              <w:right w:val="single" w:sz="6" w:space="0" w:color="auto"/>
            </w:tcBorders>
            <w:shd w:val="clear" w:color="auto" w:fill="auto"/>
            <w:hideMark/>
          </w:tcPr>
          <w:p w14:paraId="355DB9D9" w14:textId="77777777" w:rsidR="0024366E" w:rsidRPr="008A0812" w:rsidRDefault="0024366E" w:rsidP="0024366E">
            <w:pPr>
              <w:overflowPunct/>
              <w:autoSpaceDE/>
              <w:autoSpaceDN/>
              <w:adjustRightInd/>
              <w:jc w:val="center"/>
              <w:rPr>
                <w:rFonts w:ascii="Times New Roman" w:hAnsi="Times New Roman"/>
                <w:sz w:val="24"/>
                <w:szCs w:val="24"/>
              </w:rPr>
            </w:pPr>
            <w:r w:rsidRPr="008A0812">
              <w:t>5.1 </w:t>
            </w:r>
          </w:p>
        </w:tc>
        <w:tc>
          <w:tcPr>
            <w:tcW w:w="1772" w:type="dxa"/>
            <w:tcBorders>
              <w:top w:val="nil"/>
              <w:left w:val="nil"/>
              <w:bottom w:val="single" w:sz="6" w:space="0" w:color="auto"/>
              <w:right w:val="single" w:sz="6" w:space="0" w:color="auto"/>
            </w:tcBorders>
            <w:shd w:val="clear" w:color="auto" w:fill="auto"/>
            <w:hideMark/>
          </w:tcPr>
          <w:p w14:paraId="67AF95B1" w14:textId="77777777" w:rsidR="0024366E" w:rsidRPr="008A0812" w:rsidRDefault="0024366E" w:rsidP="0024366E">
            <w:pPr>
              <w:overflowPunct/>
              <w:autoSpaceDE/>
              <w:autoSpaceDN/>
              <w:adjustRightInd/>
              <w:jc w:val="center"/>
              <w:rPr>
                <w:rFonts w:ascii="Times New Roman" w:hAnsi="Times New Roman"/>
                <w:sz w:val="24"/>
                <w:szCs w:val="24"/>
              </w:rPr>
            </w:pPr>
            <w:r w:rsidRPr="008A0812">
              <w:t>3.1 </w:t>
            </w:r>
          </w:p>
        </w:tc>
        <w:tc>
          <w:tcPr>
            <w:tcW w:w="1773" w:type="dxa"/>
            <w:tcBorders>
              <w:top w:val="nil"/>
              <w:left w:val="nil"/>
              <w:bottom w:val="single" w:sz="6" w:space="0" w:color="auto"/>
              <w:right w:val="single" w:sz="6" w:space="0" w:color="auto"/>
            </w:tcBorders>
            <w:shd w:val="clear" w:color="auto" w:fill="auto"/>
            <w:hideMark/>
          </w:tcPr>
          <w:p w14:paraId="560E9BAA"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28.9 </w:t>
            </w:r>
          </w:p>
        </w:tc>
      </w:tr>
      <w:tr w:rsidR="0024366E" w:rsidRPr="008A0812" w14:paraId="04A80024"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27C9F370" w14:textId="77777777" w:rsidR="0024366E" w:rsidRPr="008A0812" w:rsidRDefault="0024366E" w:rsidP="0024366E">
            <w:pPr>
              <w:overflowPunct/>
              <w:autoSpaceDE/>
              <w:autoSpaceDN/>
              <w:adjustRightInd/>
              <w:jc w:val="center"/>
              <w:rPr>
                <w:rFonts w:ascii="Times New Roman" w:hAnsi="Times New Roman"/>
                <w:sz w:val="24"/>
                <w:szCs w:val="24"/>
              </w:rPr>
            </w:pPr>
            <w:r w:rsidRPr="008A0812">
              <w:t>Apr 2019 </w:t>
            </w:r>
          </w:p>
        </w:tc>
        <w:tc>
          <w:tcPr>
            <w:tcW w:w="1772" w:type="dxa"/>
            <w:tcBorders>
              <w:top w:val="nil"/>
              <w:left w:val="nil"/>
              <w:bottom w:val="single" w:sz="6" w:space="0" w:color="auto"/>
              <w:right w:val="single" w:sz="6" w:space="0" w:color="auto"/>
            </w:tcBorders>
            <w:shd w:val="clear" w:color="auto" w:fill="auto"/>
            <w:hideMark/>
          </w:tcPr>
          <w:p w14:paraId="098CC916" w14:textId="77777777" w:rsidR="0024366E" w:rsidRPr="008A0812" w:rsidRDefault="0024366E" w:rsidP="0024366E">
            <w:pPr>
              <w:overflowPunct/>
              <w:autoSpaceDE/>
              <w:autoSpaceDN/>
              <w:adjustRightInd/>
              <w:jc w:val="center"/>
              <w:rPr>
                <w:rFonts w:ascii="Times New Roman" w:hAnsi="Times New Roman"/>
                <w:sz w:val="24"/>
                <w:szCs w:val="24"/>
              </w:rPr>
            </w:pPr>
            <w:r w:rsidRPr="008A0812">
              <w:t>20.7 </w:t>
            </w:r>
          </w:p>
        </w:tc>
        <w:tc>
          <w:tcPr>
            <w:tcW w:w="1772" w:type="dxa"/>
            <w:tcBorders>
              <w:top w:val="nil"/>
              <w:left w:val="nil"/>
              <w:bottom w:val="single" w:sz="6" w:space="0" w:color="auto"/>
              <w:right w:val="single" w:sz="6" w:space="0" w:color="auto"/>
            </w:tcBorders>
            <w:shd w:val="clear" w:color="auto" w:fill="auto"/>
            <w:hideMark/>
          </w:tcPr>
          <w:p w14:paraId="790B09B6" w14:textId="77777777" w:rsidR="0024366E" w:rsidRPr="008A0812" w:rsidRDefault="0024366E" w:rsidP="0024366E">
            <w:pPr>
              <w:overflowPunct/>
              <w:autoSpaceDE/>
              <w:autoSpaceDN/>
              <w:adjustRightInd/>
              <w:jc w:val="center"/>
              <w:rPr>
                <w:rFonts w:ascii="Times New Roman" w:hAnsi="Times New Roman"/>
                <w:sz w:val="24"/>
                <w:szCs w:val="24"/>
              </w:rPr>
            </w:pPr>
            <w:r w:rsidRPr="008A0812">
              <w:t>5.0 </w:t>
            </w:r>
          </w:p>
        </w:tc>
        <w:tc>
          <w:tcPr>
            <w:tcW w:w="1772" w:type="dxa"/>
            <w:tcBorders>
              <w:top w:val="nil"/>
              <w:left w:val="nil"/>
              <w:bottom w:val="single" w:sz="6" w:space="0" w:color="auto"/>
              <w:right w:val="single" w:sz="6" w:space="0" w:color="auto"/>
            </w:tcBorders>
            <w:shd w:val="clear" w:color="auto" w:fill="auto"/>
            <w:hideMark/>
          </w:tcPr>
          <w:p w14:paraId="37807837" w14:textId="77777777" w:rsidR="0024366E" w:rsidRPr="008A0812" w:rsidRDefault="0024366E" w:rsidP="0024366E">
            <w:pPr>
              <w:overflowPunct/>
              <w:autoSpaceDE/>
              <w:autoSpaceDN/>
              <w:adjustRightInd/>
              <w:jc w:val="center"/>
              <w:rPr>
                <w:rFonts w:ascii="Times New Roman" w:hAnsi="Times New Roman"/>
                <w:sz w:val="24"/>
                <w:szCs w:val="24"/>
              </w:rPr>
            </w:pPr>
            <w:r w:rsidRPr="008A0812">
              <w:t>2.5 </w:t>
            </w:r>
          </w:p>
        </w:tc>
        <w:tc>
          <w:tcPr>
            <w:tcW w:w="1773" w:type="dxa"/>
            <w:tcBorders>
              <w:top w:val="nil"/>
              <w:left w:val="nil"/>
              <w:bottom w:val="single" w:sz="6" w:space="0" w:color="auto"/>
              <w:right w:val="single" w:sz="6" w:space="0" w:color="auto"/>
            </w:tcBorders>
            <w:shd w:val="clear" w:color="auto" w:fill="auto"/>
            <w:hideMark/>
          </w:tcPr>
          <w:p w14:paraId="56909B70" w14:textId="77777777" w:rsidR="0024366E" w:rsidRPr="008A0812" w:rsidRDefault="0024366E" w:rsidP="0024366E">
            <w:pPr>
              <w:overflowPunct/>
              <w:autoSpaceDE/>
              <w:autoSpaceDN/>
              <w:adjustRightInd/>
              <w:jc w:val="center"/>
              <w:rPr>
                <w:rFonts w:ascii="Times New Roman" w:hAnsi="Times New Roman"/>
                <w:sz w:val="24"/>
                <w:szCs w:val="24"/>
              </w:rPr>
            </w:pPr>
            <w:r w:rsidRPr="008A0812">
              <w:t>28.2 </w:t>
            </w:r>
          </w:p>
        </w:tc>
      </w:tr>
      <w:tr w:rsidR="0024366E" w:rsidRPr="008A0812" w14:paraId="6468AC8C"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3C1A207F" w14:textId="77777777" w:rsidR="0024366E" w:rsidRPr="008A0812" w:rsidRDefault="0024366E" w:rsidP="0024366E">
            <w:pPr>
              <w:overflowPunct/>
              <w:autoSpaceDE/>
              <w:autoSpaceDN/>
              <w:adjustRightInd/>
              <w:jc w:val="center"/>
              <w:rPr>
                <w:rFonts w:ascii="Times New Roman" w:hAnsi="Times New Roman"/>
                <w:sz w:val="24"/>
                <w:szCs w:val="24"/>
              </w:rPr>
            </w:pPr>
            <w:r w:rsidRPr="008A0812">
              <w:t>May 2019 </w:t>
            </w:r>
          </w:p>
        </w:tc>
        <w:tc>
          <w:tcPr>
            <w:tcW w:w="1772" w:type="dxa"/>
            <w:tcBorders>
              <w:top w:val="nil"/>
              <w:left w:val="nil"/>
              <w:bottom w:val="single" w:sz="6" w:space="0" w:color="auto"/>
              <w:right w:val="single" w:sz="6" w:space="0" w:color="auto"/>
            </w:tcBorders>
            <w:shd w:val="clear" w:color="auto" w:fill="auto"/>
            <w:hideMark/>
          </w:tcPr>
          <w:p w14:paraId="515D838C" w14:textId="77777777" w:rsidR="0024366E" w:rsidRPr="008A0812" w:rsidRDefault="0024366E" w:rsidP="0024366E">
            <w:pPr>
              <w:overflowPunct/>
              <w:autoSpaceDE/>
              <w:autoSpaceDN/>
              <w:adjustRightInd/>
              <w:jc w:val="center"/>
              <w:rPr>
                <w:rFonts w:ascii="Times New Roman" w:hAnsi="Times New Roman"/>
                <w:sz w:val="24"/>
                <w:szCs w:val="24"/>
              </w:rPr>
            </w:pPr>
            <w:r w:rsidRPr="008A0812">
              <w:t>21.0 </w:t>
            </w:r>
          </w:p>
        </w:tc>
        <w:tc>
          <w:tcPr>
            <w:tcW w:w="1772" w:type="dxa"/>
            <w:tcBorders>
              <w:top w:val="nil"/>
              <w:left w:val="nil"/>
              <w:bottom w:val="single" w:sz="6" w:space="0" w:color="auto"/>
              <w:right w:val="single" w:sz="6" w:space="0" w:color="auto"/>
            </w:tcBorders>
            <w:shd w:val="clear" w:color="auto" w:fill="auto"/>
            <w:hideMark/>
          </w:tcPr>
          <w:p w14:paraId="0B8C82C8" w14:textId="77777777" w:rsidR="0024366E" w:rsidRPr="008A0812" w:rsidRDefault="0024366E" w:rsidP="0024366E">
            <w:pPr>
              <w:overflowPunct/>
              <w:autoSpaceDE/>
              <w:autoSpaceDN/>
              <w:adjustRightInd/>
              <w:jc w:val="center"/>
              <w:rPr>
                <w:rFonts w:ascii="Times New Roman" w:hAnsi="Times New Roman"/>
                <w:sz w:val="24"/>
                <w:szCs w:val="24"/>
              </w:rPr>
            </w:pPr>
            <w:r w:rsidRPr="008A0812">
              <w:t>4.9 </w:t>
            </w:r>
          </w:p>
        </w:tc>
        <w:tc>
          <w:tcPr>
            <w:tcW w:w="1772" w:type="dxa"/>
            <w:tcBorders>
              <w:top w:val="nil"/>
              <w:left w:val="nil"/>
              <w:bottom w:val="single" w:sz="6" w:space="0" w:color="auto"/>
              <w:right w:val="single" w:sz="6" w:space="0" w:color="auto"/>
            </w:tcBorders>
            <w:shd w:val="clear" w:color="auto" w:fill="auto"/>
            <w:hideMark/>
          </w:tcPr>
          <w:p w14:paraId="2881DBDE" w14:textId="77777777" w:rsidR="0024366E" w:rsidRPr="008A0812" w:rsidRDefault="0024366E" w:rsidP="0024366E">
            <w:pPr>
              <w:overflowPunct/>
              <w:autoSpaceDE/>
              <w:autoSpaceDN/>
              <w:adjustRightInd/>
              <w:jc w:val="center"/>
              <w:rPr>
                <w:rFonts w:ascii="Times New Roman" w:hAnsi="Times New Roman"/>
                <w:sz w:val="24"/>
                <w:szCs w:val="24"/>
              </w:rPr>
            </w:pPr>
            <w:r w:rsidRPr="008A0812">
              <w:t>3.1 </w:t>
            </w:r>
          </w:p>
        </w:tc>
        <w:tc>
          <w:tcPr>
            <w:tcW w:w="1773" w:type="dxa"/>
            <w:tcBorders>
              <w:top w:val="nil"/>
              <w:left w:val="nil"/>
              <w:bottom w:val="single" w:sz="6" w:space="0" w:color="auto"/>
              <w:right w:val="single" w:sz="6" w:space="0" w:color="auto"/>
            </w:tcBorders>
            <w:shd w:val="clear" w:color="auto" w:fill="auto"/>
            <w:hideMark/>
          </w:tcPr>
          <w:p w14:paraId="18DCA9BE"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29.0 </w:t>
            </w:r>
          </w:p>
        </w:tc>
      </w:tr>
      <w:tr w:rsidR="0024366E" w:rsidRPr="008A0812" w14:paraId="064A9F66"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1EB05E7D" w14:textId="77777777" w:rsidR="0024366E" w:rsidRPr="008A0812" w:rsidRDefault="0024366E" w:rsidP="0024366E">
            <w:pPr>
              <w:overflowPunct/>
              <w:autoSpaceDE/>
              <w:autoSpaceDN/>
              <w:adjustRightInd/>
              <w:jc w:val="center"/>
              <w:rPr>
                <w:rFonts w:ascii="Times New Roman" w:hAnsi="Times New Roman"/>
                <w:sz w:val="24"/>
                <w:szCs w:val="24"/>
              </w:rPr>
            </w:pPr>
            <w:r w:rsidRPr="008A0812">
              <w:t>Jun 2019 </w:t>
            </w:r>
          </w:p>
        </w:tc>
        <w:tc>
          <w:tcPr>
            <w:tcW w:w="1772" w:type="dxa"/>
            <w:tcBorders>
              <w:top w:val="nil"/>
              <w:left w:val="nil"/>
              <w:bottom w:val="single" w:sz="6" w:space="0" w:color="auto"/>
              <w:right w:val="single" w:sz="6" w:space="0" w:color="auto"/>
            </w:tcBorders>
            <w:shd w:val="clear" w:color="auto" w:fill="auto"/>
            <w:hideMark/>
          </w:tcPr>
          <w:p w14:paraId="6F259CE7" w14:textId="77777777" w:rsidR="0024366E" w:rsidRPr="008A0812" w:rsidRDefault="0024366E" w:rsidP="0024366E">
            <w:pPr>
              <w:overflowPunct/>
              <w:autoSpaceDE/>
              <w:autoSpaceDN/>
              <w:adjustRightInd/>
              <w:jc w:val="center"/>
              <w:rPr>
                <w:rFonts w:ascii="Times New Roman" w:hAnsi="Times New Roman"/>
                <w:sz w:val="24"/>
                <w:szCs w:val="24"/>
              </w:rPr>
            </w:pPr>
            <w:r w:rsidRPr="008A0812">
              <w:t>21.4 </w:t>
            </w:r>
          </w:p>
        </w:tc>
        <w:tc>
          <w:tcPr>
            <w:tcW w:w="1772" w:type="dxa"/>
            <w:tcBorders>
              <w:top w:val="nil"/>
              <w:left w:val="nil"/>
              <w:bottom w:val="single" w:sz="6" w:space="0" w:color="auto"/>
              <w:right w:val="single" w:sz="6" w:space="0" w:color="auto"/>
            </w:tcBorders>
            <w:shd w:val="clear" w:color="auto" w:fill="auto"/>
            <w:hideMark/>
          </w:tcPr>
          <w:p w14:paraId="11012C4D" w14:textId="77777777" w:rsidR="0024366E" w:rsidRPr="008A0812" w:rsidRDefault="0024366E" w:rsidP="0024366E">
            <w:pPr>
              <w:overflowPunct/>
              <w:autoSpaceDE/>
              <w:autoSpaceDN/>
              <w:adjustRightInd/>
              <w:jc w:val="center"/>
              <w:rPr>
                <w:rFonts w:ascii="Times New Roman" w:hAnsi="Times New Roman"/>
                <w:sz w:val="24"/>
                <w:szCs w:val="24"/>
              </w:rPr>
            </w:pPr>
            <w:r w:rsidRPr="008A0812">
              <w:t>5.0 </w:t>
            </w:r>
          </w:p>
        </w:tc>
        <w:tc>
          <w:tcPr>
            <w:tcW w:w="1772" w:type="dxa"/>
            <w:tcBorders>
              <w:top w:val="nil"/>
              <w:left w:val="nil"/>
              <w:bottom w:val="single" w:sz="6" w:space="0" w:color="auto"/>
              <w:right w:val="single" w:sz="6" w:space="0" w:color="auto"/>
            </w:tcBorders>
            <w:shd w:val="clear" w:color="auto" w:fill="auto"/>
            <w:hideMark/>
          </w:tcPr>
          <w:p w14:paraId="750D4C7A" w14:textId="77777777" w:rsidR="0024366E" w:rsidRPr="008A0812" w:rsidRDefault="0024366E" w:rsidP="0024366E">
            <w:pPr>
              <w:overflowPunct/>
              <w:autoSpaceDE/>
              <w:autoSpaceDN/>
              <w:adjustRightInd/>
              <w:jc w:val="center"/>
              <w:rPr>
                <w:rFonts w:ascii="Times New Roman" w:hAnsi="Times New Roman"/>
                <w:sz w:val="24"/>
                <w:szCs w:val="24"/>
              </w:rPr>
            </w:pPr>
            <w:r w:rsidRPr="008A0812">
              <w:t>3.3 </w:t>
            </w:r>
          </w:p>
        </w:tc>
        <w:tc>
          <w:tcPr>
            <w:tcW w:w="1773" w:type="dxa"/>
            <w:tcBorders>
              <w:top w:val="nil"/>
              <w:left w:val="nil"/>
              <w:bottom w:val="single" w:sz="6" w:space="0" w:color="auto"/>
              <w:right w:val="single" w:sz="6" w:space="0" w:color="auto"/>
            </w:tcBorders>
            <w:shd w:val="clear" w:color="auto" w:fill="auto"/>
            <w:hideMark/>
          </w:tcPr>
          <w:p w14:paraId="1A3BE19A"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29.7 </w:t>
            </w:r>
          </w:p>
        </w:tc>
      </w:tr>
      <w:tr w:rsidR="0024366E" w:rsidRPr="008A0812" w14:paraId="49483EAD" w14:textId="77777777" w:rsidTr="0024366E">
        <w:tc>
          <w:tcPr>
            <w:tcW w:w="2242" w:type="dxa"/>
            <w:gridSpan w:val="2"/>
            <w:tcBorders>
              <w:top w:val="nil"/>
              <w:left w:val="single" w:sz="6" w:space="0" w:color="auto"/>
              <w:bottom w:val="single" w:sz="6" w:space="0" w:color="auto"/>
              <w:right w:val="single" w:sz="6" w:space="0" w:color="auto"/>
            </w:tcBorders>
            <w:shd w:val="clear" w:color="auto" w:fill="auto"/>
            <w:hideMark/>
          </w:tcPr>
          <w:p w14:paraId="77D1C659" w14:textId="77777777" w:rsidR="0024366E" w:rsidRPr="008A0812" w:rsidRDefault="0024366E" w:rsidP="0024366E">
            <w:pPr>
              <w:overflowPunct/>
              <w:autoSpaceDE/>
              <w:autoSpaceDN/>
              <w:adjustRightInd/>
              <w:jc w:val="center"/>
              <w:rPr>
                <w:rFonts w:ascii="Times New Roman" w:hAnsi="Times New Roman"/>
                <w:sz w:val="24"/>
                <w:szCs w:val="24"/>
              </w:rPr>
            </w:pPr>
            <w:r w:rsidRPr="008A0812">
              <w:t>Jul 2019 </w:t>
            </w:r>
          </w:p>
        </w:tc>
        <w:tc>
          <w:tcPr>
            <w:tcW w:w="1772" w:type="dxa"/>
            <w:tcBorders>
              <w:top w:val="nil"/>
              <w:left w:val="nil"/>
              <w:bottom w:val="single" w:sz="6" w:space="0" w:color="auto"/>
              <w:right w:val="single" w:sz="6" w:space="0" w:color="auto"/>
            </w:tcBorders>
            <w:shd w:val="clear" w:color="auto" w:fill="auto"/>
            <w:hideMark/>
          </w:tcPr>
          <w:p w14:paraId="45B32A4F" w14:textId="77777777" w:rsidR="0024366E" w:rsidRPr="008A0812" w:rsidRDefault="0024366E" w:rsidP="0024366E">
            <w:pPr>
              <w:overflowPunct/>
              <w:autoSpaceDE/>
              <w:autoSpaceDN/>
              <w:adjustRightInd/>
              <w:jc w:val="center"/>
              <w:rPr>
                <w:rFonts w:ascii="Times New Roman" w:hAnsi="Times New Roman"/>
                <w:sz w:val="24"/>
                <w:szCs w:val="24"/>
              </w:rPr>
            </w:pPr>
            <w:r w:rsidRPr="008A0812">
              <w:t>22.0 </w:t>
            </w:r>
          </w:p>
        </w:tc>
        <w:tc>
          <w:tcPr>
            <w:tcW w:w="1772" w:type="dxa"/>
            <w:tcBorders>
              <w:top w:val="nil"/>
              <w:left w:val="nil"/>
              <w:bottom w:val="single" w:sz="6" w:space="0" w:color="auto"/>
              <w:right w:val="single" w:sz="6" w:space="0" w:color="auto"/>
            </w:tcBorders>
            <w:shd w:val="clear" w:color="auto" w:fill="auto"/>
            <w:hideMark/>
          </w:tcPr>
          <w:p w14:paraId="056AFAC9" w14:textId="77777777" w:rsidR="0024366E" w:rsidRPr="008A0812" w:rsidRDefault="0024366E" w:rsidP="0024366E">
            <w:pPr>
              <w:overflowPunct/>
              <w:autoSpaceDE/>
              <w:autoSpaceDN/>
              <w:adjustRightInd/>
              <w:jc w:val="center"/>
              <w:rPr>
                <w:rFonts w:ascii="Times New Roman" w:hAnsi="Times New Roman"/>
                <w:sz w:val="24"/>
                <w:szCs w:val="24"/>
              </w:rPr>
            </w:pPr>
            <w:r w:rsidRPr="008A0812">
              <w:t>5.1 </w:t>
            </w:r>
          </w:p>
        </w:tc>
        <w:tc>
          <w:tcPr>
            <w:tcW w:w="1772" w:type="dxa"/>
            <w:tcBorders>
              <w:top w:val="nil"/>
              <w:left w:val="nil"/>
              <w:bottom w:val="single" w:sz="6" w:space="0" w:color="auto"/>
              <w:right w:val="single" w:sz="6" w:space="0" w:color="auto"/>
            </w:tcBorders>
            <w:shd w:val="clear" w:color="auto" w:fill="auto"/>
            <w:hideMark/>
          </w:tcPr>
          <w:p w14:paraId="74239B93" w14:textId="77777777" w:rsidR="0024366E" w:rsidRPr="008A0812" w:rsidRDefault="0024366E" w:rsidP="0024366E">
            <w:pPr>
              <w:overflowPunct/>
              <w:autoSpaceDE/>
              <w:autoSpaceDN/>
              <w:adjustRightInd/>
              <w:jc w:val="center"/>
              <w:rPr>
                <w:rFonts w:ascii="Times New Roman" w:hAnsi="Times New Roman"/>
                <w:sz w:val="24"/>
                <w:szCs w:val="24"/>
              </w:rPr>
            </w:pPr>
            <w:r w:rsidRPr="008A0812">
              <w:t>2.7 </w:t>
            </w:r>
          </w:p>
        </w:tc>
        <w:tc>
          <w:tcPr>
            <w:tcW w:w="1773" w:type="dxa"/>
            <w:tcBorders>
              <w:top w:val="nil"/>
              <w:left w:val="nil"/>
              <w:bottom w:val="single" w:sz="6" w:space="0" w:color="auto"/>
              <w:right w:val="single" w:sz="6" w:space="0" w:color="auto"/>
            </w:tcBorders>
            <w:shd w:val="clear" w:color="auto" w:fill="auto"/>
            <w:hideMark/>
          </w:tcPr>
          <w:p w14:paraId="15145D34" w14:textId="77777777" w:rsidR="0024366E" w:rsidRPr="008A0812" w:rsidRDefault="0024366E" w:rsidP="0024366E">
            <w:pPr>
              <w:overflowPunct/>
              <w:autoSpaceDE/>
              <w:autoSpaceDN/>
              <w:adjustRightInd/>
              <w:jc w:val="center"/>
              <w:rPr>
                <w:rFonts w:ascii="Times New Roman" w:hAnsi="Times New Roman"/>
                <w:sz w:val="24"/>
                <w:szCs w:val="24"/>
              </w:rPr>
            </w:pPr>
            <w:r w:rsidRPr="008A0812">
              <w:t>29.8 </w:t>
            </w:r>
          </w:p>
        </w:tc>
      </w:tr>
      <w:tr w:rsidR="0024366E" w:rsidRPr="008A0812" w14:paraId="6B6D6646" w14:textId="77777777" w:rsidTr="0024366E">
        <w:trPr>
          <w:trHeight w:val="285"/>
        </w:trPr>
        <w:tc>
          <w:tcPr>
            <w:tcW w:w="1162" w:type="dxa"/>
            <w:vMerge w:val="restart"/>
            <w:tcBorders>
              <w:top w:val="nil"/>
              <w:left w:val="single" w:sz="6" w:space="0" w:color="auto"/>
              <w:bottom w:val="single" w:sz="6" w:space="0" w:color="auto"/>
              <w:right w:val="single" w:sz="6" w:space="0" w:color="auto"/>
            </w:tcBorders>
            <w:shd w:val="clear" w:color="auto" w:fill="BFBFBF"/>
            <w:vAlign w:val="center"/>
            <w:hideMark/>
          </w:tcPr>
          <w:p w14:paraId="739941D2" w14:textId="3CDBE95F" w:rsidR="0024366E" w:rsidRPr="008A0812" w:rsidRDefault="0024366E" w:rsidP="0024366E">
            <w:pPr>
              <w:overflowPunct/>
              <w:autoSpaceDE/>
              <w:autoSpaceDN/>
              <w:adjustRightInd/>
              <w:jc w:val="center"/>
              <w:rPr>
                <w:rFonts w:ascii="Times New Roman" w:hAnsi="Times New Roman"/>
                <w:sz w:val="24"/>
                <w:szCs w:val="24"/>
              </w:rPr>
            </w:pPr>
            <w:r w:rsidRPr="008A0812">
              <w:rPr>
                <w:b/>
                <w:bCs/>
              </w:rPr>
              <w:t>12-mo</w:t>
            </w:r>
            <w:r w:rsidR="005062D0" w:rsidRPr="008A0812">
              <w:rPr>
                <w:b/>
                <w:bCs/>
              </w:rPr>
              <w:t>nth</w:t>
            </w:r>
            <w:r w:rsidRPr="008A0812">
              <w:rPr>
                <w:b/>
                <w:bCs/>
              </w:rPr>
              <w:t xml:space="preserve"> average</w:t>
            </w:r>
            <w:r w:rsidR="000D2D44" w:rsidRPr="008A0812">
              <w:rPr>
                <w:b/>
                <w:bCs/>
              </w:rPr>
              <w:t xml:space="preserve"> </w:t>
            </w:r>
          </w:p>
        </w:tc>
        <w:tc>
          <w:tcPr>
            <w:tcW w:w="1080" w:type="dxa"/>
            <w:tcBorders>
              <w:top w:val="nil"/>
              <w:left w:val="nil"/>
              <w:bottom w:val="single" w:sz="6" w:space="0" w:color="auto"/>
              <w:right w:val="single" w:sz="6" w:space="0" w:color="auto"/>
            </w:tcBorders>
            <w:shd w:val="clear" w:color="auto" w:fill="BFBFBF"/>
            <w:vAlign w:val="center"/>
            <w:hideMark/>
          </w:tcPr>
          <w:p w14:paraId="597F005C"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mgd</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783DB8FD"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21.5</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72EEAD81"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5.0</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498327C5"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2.8</w:t>
            </w:r>
            <w:r w:rsidRPr="008A0812">
              <w:t> </w:t>
            </w:r>
          </w:p>
        </w:tc>
        <w:tc>
          <w:tcPr>
            <w:tcW w:w="1773" w:type="dxa"/>
            <w:tcBorders>
              <w:top w:val="nil"/>
              <w:left w:val="nil"/>
              <w:bottom w:val="single" w:sz="6" w:space="0" w:color="auto"/>
              <w:right w:val="single" w:sz="6" w:space="0" w:color="auto"/>
            </w:tcBorders>
            <w:shd w:val="clear" w:color="auto" w:fill="BFBFBF"/>
            <w:vAlign w:val="center"/>
            <w:hideMark/>
          </w:tcPr>
          <w:p w14:paraId="47999EC9"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29.3</w:t>
            </w:r>
            <w:r w:rsidRPr="008A0812">
              <w:t> </w:t>
            </w:r>
          </w:p>
        </w:tc>
      </w:tr>
      <w:tr w:rsidR="0024366E" w:rsidRPr="008A0812" w14:paraId="63A4FBD2" w14:textId="77777777" w:rsidTr="0024366E">
        <w:trPr>
          <w:trHeight w:val="285"/>
        </w:trPr>
        <w:tc>
          <w:tcPr>
            <w:tcW w:w="1162" w:type="dxa"/>
            <w:vMerge/>
            <w:tcBorders>
              <w:top w:val="nil"/>
              <w:left w:val="single" w:sz="6" w:space="0" w:color="auto"/>
              <w:bottom w:val="single" w:sz="6" w:space="0" w:color="auto"/>
              <w:right w:val="single" w:sz="6" w:space="0" w:color="auto"/>
            </w:tcBorders>
            <w:shd w:val="clear" w:color="auto" w:fill="auto"/>
            <w:vAlign w:val="center"/>
            <w:hideMark/>
          </w:tcPr>
          <w:p w14:paraId="5EF982CA" w14:textId="77777777" w:rsidR="0024366E" w:rsidRPr="008A0812" w:rsidRDefault="0024366E" w:rsidP="0024366E">
            <w:pPr>
              <w:overflowPunct/>
              <w:autoSpaceDE/>
              <w:autoSpaceDN/>
              <w:adjustRightInd/>
              <w:textAlignment w:val="auto"/>
              <w:rPr>
                <w:rFonts w:ascii="Times New Roman" w:hAnsi="Times New Roman"/>
                <w:sz w:val="24"/>
                <w:szCs w:val="24"/>
              </w:rPr>
            </w:pPr>
          </w:p>
        </w:tc>
        <w:tc>
          <w:tcPr>
            <w:tcW w:w="1080" w:type="dxa"/>
            <w:tcBorders>
              <w:top w:val="nil"/>
              <w:left w:val="nil"/>
              <w:bottom w:val="single" w:sz="6" w:space="0" w:color="auto"/>
              <w:right w:val="single" w:sz="6" w:space="0" w:color="auto"/>
            </w:tcBorders>
            <w:shd w:val="clear" w:color="auto" w:fill="BFBFBF"/>
            <w:vAlign w:val="center"/>
            <w:hideMark/>
          </w:tcPr>
          <w:p w14:paraId="251B66DC"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rPr>
              <w:t>AFY</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2745D9D8"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24,100</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3DC2F7BB"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5,600</w:t>
            </w:r>
            <w:r w:rsidRPr="008A0812">
              <w:t> </w:t>
            </w:r>
          </w:p>
        </w:tc>
        <w:tc>
          <w:tcPr>
            <w:tcW w:w="1772" w:type="dxa"/>
            <w:tcBorders>
              <w:top w:val="nil"/>
              <w:left w:val="nil"/>
              <w:bottom w:val="single" w:sz="6" w:space="0" w:color="auto"/>
              <w:right w:val="single" w:sz="6" w:space="0" w:color="auto"/>
            </w:tcBorders>
            <w:shd w:val="clear" w:color="auto" w:fill="BFBFBF"/>
            <w:vAlign w:val="center"/>
            <w:hideMark/>
          </w:tcPr>
          <w:p w14:paraId="7BA6869D"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3,100</w:t>
            </w:r>
            <w:r w:rsidRPr="008A0812">
              <w:t> </w:t>
            </w:r>
          </w:p>
        </w:tc>
        <w:tc>
          <w:tcPr>
            <w:tcW w:w="1773" w:type="dxa"/>
            <w:tcBorders>
              <w:top w:val="nil"/>
              <w:left w:val="nil"/>
              <w:bottom w:val="single" w:sz="6" w:space="0" w:color="auto"/>
              <w:right w:val="single" w:sz="6" w:space="0" w:color="auto"/>
            </w:tcBorders>
            <w:shd w:val="clear" w:color="auto" w:fill="BFBFBF"/>
            <w:vAlign w:val="center"/>
            <w:hideMark/>
          </w:tcPr>
          <w:p w14:paraId="3E873264" w14:textId="77777777" w:rsidR="0024366E" w:rsidRPr="008A0812" w:rsidRDefault="0024366E" w:rsidP="0024366E">
            <w:pPr>
              <w:overflowPunct/>
              <w:autoSpaceDE/>
              <w:autoSpaceDN/>
              <w:adjustRightInd/>
              <w:jc w:val="center"/>
              <w:rPr>
                <w:rFonts w:ascii="Times New Roman" w:hAnsi="Times New Roman"/>
                <w:sz w:val="24"/>
                <w:szCs w:val="24"/>
              </w:rPr>
            </w:pPr>
            <w:r w:rsidRPr="008A0812">
              <w:rPr>
                <w:b/>
                <w:bCs/>
                <w:color w:val="000000"/>
              </w:rPr>
              <w:t>32,800</w:t>
            </w:r>
            <w:r w:rsidRPr="008A0812">
              <w:t> </w:t>
            </w:r>
          </w:p>
        </w:tc>
      </w:tr>
    </w:tbl>
    <w:p w14:paraId="4B5D8ACB" w14:textId="32D55417" w:rsidR="0024366E" w:rsidRPr="008A0812" w:rsidRDefault="0024366E" w:rsidP="0024366E">
      <w:pPr>
        <w:overflowPunct/>
        <w:autoSpaceDE/>
        <w:autoSpaceDN/>
        <w:adjustRightInd/>
        <w:ind w:left="360"/>
        <w:jc w:val="center"/>
        <w:rPr>
          <w:rFonts w:ascii="Segoe UI" w:hAnsi="Segoe UI" w:cs="Segoe UI"/>
          <w:sz w:val="18"/>
          <w:szCs w:val="18"/>
        </w:rPr>
      </w:pPr>
      <w:r w:rsidRPr="008A0812">
        <w:rPr>
          <w:rFonts w:cs="Segoe UI"/>
          <w:i/>
          <w:iCs/>
          <w:sz w:val="20"/>
          <w:szCs w:val="20"/>
        </w:rPr>
        <w:t>Source: Colton/San Bernardino Tertiary Treatment and Reclamation Authority Daily Monitoring Report</w:t>
      </w:r>
      <w:r w:rsidRPr="008A0812">
        <w:rPr>
          <w:rFonts w:cs="Segoe UI"/>
          <w:sz w:val="20"/>
          <w:szCs w:val="20"/>
        </w:rPr>
        <w:t> </w:t>
      </w:r>
    </w:p>
    <w:p w14:paraId="51E8E40D" w14:textId="1C14F3CF" w:rsidR="0024366E" w:rsidRPr="008A0812" w:rsidRDefault="001B124F" w:rsidP="0024366E">
      <w:pPr>
        <w:pStyle w:val="Heading3"/>
      </w:pPr>
      <w:bookmarkStart w:id="306" w:name="_Toc41680855"/>
      <w:r w:rsidRPr="008A0812">
        <w:t>1969 Judgement Water Discharge Obligations to the Santa Ana River</w:t>
      </w:r>
      <w:bookmarkEnd w:id="306"/>
    </w:p>
    <w:p w14:paraId="75218EBA" w14:textId="521C2A70" w:rsidR="001B124F" w:rsidRPr="008A0812" w:rsidRDefault="001B124F" w:rsidP="001B124F">
      <w:pPr>
        <w:pStyle w:val="BodyText"/>
      </w:pPr>
      <w:r w:rsidRPr="008A0812">
        <w:t xml:space="preserve">The “1969 Judgement” requires the City of San Bernardino, through the </w:t>
      </w:r>
      <w:r w:rsidR="00E55551" w:rsidRPr="008A0812">
        <w:t xml:space="preserve">Valley </w:t>
      </w:r>
      <w:r w:rsidRPr="008A0812">
        <w:t xml:space="preserve">District, be responsible for a baseflow volume in the Santa Ana River at Riverside Narrows, adjusted annually (Superior Court of the State of California for the County of Orange, 1969). The volume requirement is adjusted for quality based on the weighted annual average of </w:t>
      </w:r>
      <w:r w:rsidR="00580C4C" w:rsidRPr="008A0812">
        <w:t>total dissolved solids (</w:t>
      </w:r>
      <w:r w:rsidRPr="008A0812">
        <w:t>TDS</w:t>
      </w:r>
      <w:r w:rsidR="00580C4C" w:rsidRPr="008A0812">
        <w:t>)</w:t>
      </w:r>
      <w:r w:rsidRPr="008A0812">
        <w:t xml:space="preserve"> in baseflow and storm flow at Prado Dam. To accomplish the legal flow obligation, the SBWRP must discharge 16,000 AFY</w:t>
      </w:r>
      <w:r w:rsidR="00307BA7" w:rsidRPr="008A0812">
        <w:t xml:space="preserve"> (14.</w:t>
      </w:r>
      <w:r w:rsidR="00A86789" w:rsidRPr="008A0812">
        <w:t>28 mgd</w:t>
      </w:r>
      <w:r w:rsidR="00570B90" w:rsidRPr="008A0812">
        <w:t xml:space="preserve"> or </w:t>
      </w:r>
      <w:r w:rsidR="00A86789" w:rsidRPr="008A0812">
        <w:t xml:space="preserve">22.10 </w:t>
      </w:r>
      <w:r w:rsidR="00570B90" w:rsidRPr="008A0812">
        <w:t>cubic feet per second (</w:t>
      </w:r>
      <w:r w:rsidR="00A86789" w:rsidRPr="008A0812">
        <w:t>cfs</w:t>
      </w:r>
      <w:r w:rsidR="00570B90" w:rsidRPr="008A0812">
        <w:t>)</w:t>
      </w:r>
      <w:r w:rsidR="00A86789" w:rsidRPr="008A0812">
        <w:t>)</w:t>
      </w:r>
      <w:r w:rsidRPr="008A0812">
        <w:t xml:space="preserve"> to the Santa Ana River, which is accomplished through the RIX facility.</w:t>
      </w:r>
    </w:p>
    <w:p w14:paraId="579DF8B8" w14:textId="5B650773" w:rsidR="001B124F" w:rsidRPr="008A0812" w:rsidRDefault="001B124F" w:rsidP="001B124F">
      <w:pPr>
        <w:pStyle w:val="BodyText"/>
      </w:pPr>
      <w:r w:rsidRPr="008A0812">
        <w:t>An agreement made in 1972 between</w:t>
      </w:r>
      <w:r w:rsidR="00E55551" w:rsidRPr="008A0812">
        <w:t xml:space="preserve"> the Valley District</w:t>
      </w:r>
      <w:r w:rsidRPr="008A0812">
        <w:t xml:space="preserve"> and the City of Colton requir</w:t>
      </w:r>
      <w:r w:rsidR="0052728F" w:rsidRPr="008A0812">
        <w:t>es</w:t>
      </w:r>
      <w:r w:rsidRPr="008A0812">
        <w:t xml:space="preserve"> the City of Colton to continue discharg</w:t>
      </w:r>
      <w:r w:rsidR="00314CA1" w:rsidRPr="008A0812">
        <w:t>ing</w:t>
      </w:r>
      <w:r w:rsidRPr="008A0812">
        <w:t xml:space="preserve"> from its sewage works to the Santa Ana River. In the 1972 </w:t>
      </w:r>
      <w:r w:rsidR="00155290" w:rsidRPr="008A0812">
        <w:t>A</w:t>
      </w:r>
      <w:r w:rsidRPr="008A0812">
        <w:t xml:space="preserve">greement, the City of Colton agreed to discharge at least 2,450 AFY </w:t>
      </w:r>
      <w:r w:rsidR="00A86789" w:rsidRPr="008A0812">
        <w:t>(2.19 mgd</w:t>
      </w:r>
      <w:r w:rsidR="00570B90" w:rsidRPr="008A0812">
        <w:t xml:space="preserve"> or</w:t>
      </w:r>
      <w:r w:rsidR="00A86789" w:rsidRPr="008A0812">
        <w:t xml:space="preserve"> 3.38 cfs) </w:t>
      </w:r>
      <w:r w:rsidRPr="008A0812">
        <w:t>to the Santa Ana River (San Bernardino Valley Municipal Water District and City of Colton, 1972). The City of Colton</w:t>
      </w:r>
      <w:r w:rsidR="00021586" w:rsidRPr="008A0812">
        <w:t>’s</w:t>
      </w:r>
      <w:r w:rsidRPr="008A0812">
        <w:t xml:space="preserve"> discharge for the 12-month period from August 2018 through July 2019 was approximately 5,600 AFY (5 mgd</w:t>
      </w:r>
      <w:r w:rsidR="00570B90" w:rsidRPr="008A0812">
        <w:t xml:space="preserve"> or </w:t>
      </w:r>
      <w:r w:rsidR="00A86789" w:rsidRPr="008A0812">
        <w:t>7.74 cfs</w:t>
      </w:r>
      <w:r w:rsidRPr="008A0812">
        <w:t>) through the RIX facility.</w:t>
      </w:r>
    </w:p>
    <w:p w14:paraId="7A772429" w14:textId="17C01BAB" w:rsidR="0024366E" w:rsidRPr="008A0812" w:rsidRDefault="001B124F" w:rsidP="001B124F">
      <w:pPr>
        <w:pStyle w:val="Heading3"/>
      </w:pPr>
      <w:bookmarkStart w:id="307" w:name="_Toc41680856"/>
      <w:r w:rsidRPr="008A0812">
        <w:t>Upper Santa Ana River Habitat Conservation Plan</w:t>
      </w:r>
      <w:bookmarkEnd w:id="307"/>
    </w:p>
    <w:p w14:paraId="4544A723" w14:textId="514DCEB7" w:rsidR="001B124F" w:rsidRPr="008A0812" w:rsidRDefault="001B124F" w:rsidP="001B124F">
      <w:pPr>
        <w:pStyle w:val="BodyText"/>
      </w:pPr>
      <w:r w:rsidRPr="008A0812">
        <w:t>The Upper Santa Ana River Habitat Conservation Plan (HCP) is a collaborative effort among the water resource agencies of the Santa Ana River Watershed, in partnership with the United States Fish and Wildlife Service (USFWS), California Department of Fish and Wildlife (CDFW), and several other government agencies and stakeholder organizations. The purpose of the HCP is to enable the water resource agencies to continue to provide and maintain a secure source of water for the residents and businesses in the watershed, and to conserve and maintain natural rivers and streams that provide habitat for a diversity of unique and rare species in the watershed. The HCP allows water resource agencies to maintain, operate, and improve their water resource infrastructure while adhering to federal and State endangered species acts (Upper Santa Ana Habitat Conservation Plan, n.d.).</w:t>
      </w:r>
    </w:p>
    <w:p w14:paraId="4C6B4544" w14:textId="6B9A97F8" w:rsidR="001B124F" w:rsidRPr="008A0812" w:rsidRDefault="001B124F" w:rsidP="001B124F">
      <w:pPr>
        <w:pStyle w:val="BodyText"/>
      </w:pPr>
      <w:r w:rsidRPr="008A0812">
        <w:t>In April 2014, the SBMWD and the</w:t>
      </w:r>
      <w:r w:rsidR="00E55551" w:rsidRPr="008A0812">
        <w:t xml:space="preserve"> Valley District</w:t>
      </w:r>
      <w:r w:rsidRPr="008A0812">
        <w:t xml:space="preserve">, together with nine other public agencies, began joint development of the HCP in order to obtain incidental take authorization under the </w:t>
      </w:r>
      <w:r w:rsidR="00021586" w:rsidRPr="008A0812">
        <w:t>F</w:t>
      </w:r>
      <w:r w:rsidRPr="008A0812">
        <w:t>ederal Endangered Species Act and California Endangered Species Act for various proposed water supply projects and maintenance activities in the Santa Ana River watershed. Formation of a JPA and joint funding agreements are underway. Agreements will lay out the financial and resource obligations of each agency and memorialize the minimum discharge requirements for each agency.</w:t>
      </w:r>
      <w:r w:rsidR="000D2D44" w:rsidRPr="008A0812">
        <w:t xml:space="preserve"> </w:t>
      </w:r>
    </w:p>
    <w:p w14:paraId="41FAEAAD" w14:textId="5CB6BE3D" w:rsidR="001B124F" w:rsidRPr="008A0812" w:rsidRDefault="001B124F" w:rsidP="001B124F">
      <w:pPr>
        <w:pStyle w:val="BodyText"/>
      </w:pPr>
      <w:r w:rsidRPr="008A0812">
        <w:t>The HCP has preliminarily identified the need to maintain 35 cfs (22.6 mgd) of flow resulting from treated wastewater discharge to the Santa Ana River as measured in the Santa Ana River reach immediately below the RIX Facility. The 35 cfs treated wastewater discharge will be provided by RIX and other upstream dischargers.</w:t>
      </w:r>
    </w:p>
    <w:p w14:paraId="2D703435" w14:textId="0E2AEA53" w:rsidR="001B124F" w:rsidRPr="008A0812" w:rsidRDefault="001B124F" w:rsidP="001B124F">
      <w:pPr>
        <w:pStyle w:val="Heading3"/>
      </w:pPr>
      <w:bookmarkStart w:id="308" w:name="_Toc41680857"/>
      <w:r w:rsidRPr="008A0812">
        <w:t>Center for Biological Diversity Agreement</w:t>
      </w:r>
      <w:bookmarkEnd w:id="308"/>
    </w:p>
    <w:p w14:paraId="7FFEEB31" w14:textId="31F9CC96" w:rsidR="001B124F" w:rsidRPr="008A0812" w:rsidRDefault="001B124F" w:rsidP="001B124F">
      <w:pPr>
        <w:pStyle w:val="BodyText"/>
      </w:pPr>
      <w:r w:rsidRPr="008A0812">
        <w:t xml:space="preserve">On October 2, 2018, the SBMWD entered into an agreement to settle litigation filed by the Center for Biological Diversity (CBD) and San Bernardino Valley Audubon Society. Regarding SBWRP flows to the Santa Ana River and the Clean Water Factory </w:t>
      </w:r>
      <w:r w:rsidR="00021586" w:rsidRPr="008A0812">
        <w:t>P</w:t>
      </w:r>
      <w:r w:rsidRPr="008A0812">
        <w:t xml:space="preserve">roject, the </w:t>
      </w:r>
      <w:r w:rsidR="00155290" w:rsidRPr="008A0812">
        <w:t>A</w:t>
      </w:r>
      <w:r w:rsidRPr="008A0812">
        <w:t xml:space="preserve">greement requires the SBMWD to: </w:t>
      </w:r>
    </w:p>
    <w:p w14:paraId="7FBEA0BE" w14:textId="193B9AAA" w:rsidR="001B124F" w:rsidRPr="008A0812" w:rsidRDefault="001B124F" w:rsidP="00021586">
      <w:pPr>
        <w:pStyle w:val="Bullet"/>
      </w:pPr>
      <w:r w:rsidRPr="008A0812">
        <w:t xml:space="preserve">Maintain a minimum discharge of 28.6 cfs (18.5 mgd) to the Santa Ana River from the RIX </w:t>
      </w:r>
      <w:r w:rsidR="00021586" w:rsidRPr="008A0812">
        <w:t>f</w:t>
      </w:r>
      <w:r w:rsidRPr="008A0812">
        <w:t>acility from June 1 to October 15 of each year, in perpetuity, subject to certain terms and conditions.</w:t>
      </w:r>
      <w:r w:rsidR="000D2D44" w:rsidRPr="008A0812">
        <w:t xml:space="preserve"> </w:t>
      </w:r>
    </w:p>
    <w:p w14:paraId="4841CB1B" w14:textId="756F4E44" w:rsidR="001B124F" w:rsidRPr="008A0812" w:rsidRDefault="001B124F" w:rsidP="00021586">
      <w:pPr>
        <w:pStyle w:val="Bullet"/>
      </w:pPr>
      <w:r w:rsidRPr="008A0812">
        <w:t>Coordinate the operation of the Retrofit Project with operation of the "Rialto Tank Project" to aid in temperature management of water in the Rialto Channel for Santa Ana sucker benefit</w:t>
      </w:r>
      <w:r w:rsidR="00571FBD" w:rsidRPr="008A0812">
        <w:t xml:space="preserve">, </w:t>
      </w:r>
      <w:r w:rsidRPr="008A0812">
        <w:t xml:space="preserve">clear sand off beds and address needs for hydrologic continuity below RIX during times of RIX shutdown. </w:t>
      </w:r>
    </w:p>
    <w:p w14:paraId="4025068C" w14:textId="77F8358A" w:rsidR="001B124F" w:rsidRPr="008A0812" w:rsidRDefault="001B124F" w:rsidP="00021586">
      <w:pPr>
        <w:pStyle w:val="Bullet"/>
      </w:pPr>
      <w:r w:rsidRPr="008A0812">
        <w:t xml:space="preserve">Prepare a pumping analysis of the effects of over-extraction associated with the Clean Water Factory </w:t>
      </w:r>
      <w:r w:rsidR="00571FBD" w:rsidRPr="008A0812">
        <w:t>P</w:t>
      </w:r>
      <w:r w:rsidRPr="008A0812">
        <w:t>roject and the Retrofit Project and implement certain pumping limits that may be identified as a result of that analysis.</w:t>
      </w:r>
    </w:p>
    <w:p w14:paraId="29B3EFD4" w14:textId="6AF73510" w:rsidR="001B124F" w:rsidRPr="008A0812" w:rsidRDefault="001B124F" w:rsidP="001B124F">
      <w:pPr>
        <w:pStyle w:val="BodyText"/>
      </w:pPr>
      <w:r w:rsidRPr="008A0812">
        <w:t xml:space="preserve">In January 2019, the SBMWD and the </w:t>
      </w:r>
      <w:r w:rsidR="00E55551" w:rsidRPr="008A0812">
        <w:t>Valley District</w:t>
      </w:r>
      <w:r w:rsidRPr="008A0812">
        <w:t xml:space="preserve"> signed an agreement to work together to carry out obligations under the 2018 agreement and develop groundwater recharge projects (San Bernardino Valley Municipal Water District, 2019).</w:t>
      </w:r>
    </w:p>
    <w:p w14:paraId="48F43C8D" w14:textId="53FB1950" w:rsidR="001B124F" w:rsidRPr="008A0812" w:rsidRDefault="001B124F" w:rsidP="00870806">
      <w:pPr>
        <w:pStyle w:val="BodyText"/>
      </w:pPr>
      <w:r w:rsidRPr="008A0812">
        <w:t>During the 12-month period analyzed, combined flows from the SBMWD, City of Colton, and groundwater over</w:t>
      </w:r>
      <w:r w:rsidR="00155290" w:rsidRPr="008A0812">
        <w:t>-</w:t>
      </w:r>
      <w:r w:rsidRPr="008A0812">
        <w:t xml:space="preserve">extractions resulted in discharges to the Santa Ana River from RIX that averaged 29.3 mgd and exceeded the CBD agreement flow by 9 to 12 mgd. The discharge obligations from the 1969 and 1972 agreements were also both exceeded. Recent flows that make up the total discharge to the Santa Ana River from RIX are presented graphically in </w:t>
      </w:r>
      <w:r w:rsidR="00870806" w:rsidRPr="008A0812">
        <w:fldChar w:fldCharType="begin"/>
      </w:r>
      <w:r w:rsidR="00870806" w:rsidRPr="008A0812">
        <w:instrText xml:space="preserve"> REF _Ref36232740 \h </w:instrText>
      </w:r>
      <w:r w:rsidR="008A0812">
        <w:instrText xml:space="preserve"> \* MERGEFORMAT </w:instrText>
      </w:r>
      <w:r w:rsidR="00870806" w:rsidRPr="008A0812">
        <w:fldChar w:fldCharType="separate"/>
      </w:r>
      <w:r w:rsidR="00AA68F8" w:rsidRPr="008A0812">
        <w:t xml:space="preserve">Figure </w:t>
      </w:r>
      <w:r w:rsidR="00AA68F8">
        <w:rPr>
          <w:noProof/>
        </w:rPr>
        <w:t>5</w:t>
      </w:r>
      <w:r w:rsidR="00AA68F8">
        <w:rPr>
          <w:noProof/>
        </w:rPr>
        <w:noBreakHyphen/>
        <w:t>4</w:t>
      </w:r>
      <w:r w:rsidR="00870806" w:rsidRPr="008A0812">
        <w:fldChar w:fldCharType="end"/>
      </w:r>
      <w:r w:rsidRPr="008A0812">
        <w:t xml:space="preserve">. The CBD </w:t>
      </w:r>
      <w:r w:rsidR="00155290" w:rsidRPr="008A0812">
        <w:t>A</w:t>
      </w:r>
      <w:r w:rsidRPr="008A0812">
        <w:t xml:space="preserve">greement flow requirement and the discharge obligations from the 1969 Western Judgement and 1972 </w:t>
      </w:r>
      <w:r w:rsidR="00155290" w:rsidRPr="008A0812">
        <w:t>A</w:t>
      </w:r>
      <w:r w:rsidRPr="008A0812">
        <w:t>greement are also indicated.</w:t>
      </w:r>
      <w:r w:rsidRPr="008A0812">
        <w:rPr>
          <w:iCs/>
        </w:rPr>
        <w:t xml:space="preserve"> </w:t>
      </w:r>
    </w:p>
    <w:p w14:paraId="225924D9" w14:textId="0E101F7F" w:rsidR="00870806" w:rsidRPr="008A0812" w:rsidRDefault="00870806" w:rsidP="00AF40CB">
      <w:pPr>
        <w:pStyle w:val="FigureHeading"/>
      </w:pPr>
      <w:bookmarkStart w:id="309" w:name="_Ref36232740"/>
      <w:bookmarkStart w:id="310" w:name="_Toc36414057"/>
      <w:bookmarkStart w:id="311" w:name="_Toc41684699"/>
      <w:r w:rsidRPr="008A0812">
        <w:t xml:space="preserve">Figure </w:t>
      </w:r>
      <w:fldSimple w:instr=" STYLEREF 1 \s ">
        <w:r w:rsidR="00AA68F8">
          <w:rPr>
            <w:noProof/>
          </w:rPr>
          <w:t>5</w:t>
        </w:r>
      </w:fldSimple>
      <w:r w:rsidR="00B233D1">
        <w:noBreakHyphen/>
      </w:r>
      <w:fldSimple w:instr=" SEQ Figure \* ARABIC \s 1 ">
        <w:r w:rsidR="00AA68F8">
          <w:rPr>
            <w:noProof/>
          </w:rPr>
          <w:t>4</w:t>
        </w:r>
      </w:fldSimple>
      <w:bookmarkEnd w:id="309"/>
      <w:r w:rsidRPr="008A0812">
        <w:t>: RIX Flows and Discharge Obligations to the Santa Ana River: August 2018 – July 2019</w:t>
      </w:r>
      <w:bookmarkEnd w:id="310"/>
      <w:bookmarkEnd w:id="311"/>
    </w:p>
    <w:p w14:paraId="60E1C0AF" w14:textId="33921160" w:rsidR="001B124F" w:rsidRPr="008A0812" w:rsidRDefault="001B124F" w:rsidP="001B124F">
      <w:pPr>
        <w:pStyle w:val="BodyText"/>
      </w:pPr>
      <w:r>
        <w:rPr>
          <w:noProof/>
        </w:rPr>
        <w:drawing>
          <wp:inline distT="0" distB="0" distL="0" distR="0" wp14:anchorId="05B16226" wp14:editId="2DFB2B4E">
            <wp:extent cx="5943600" cy="2828925"/>
            <wp:effectExtent l="0" t="0" r="0" b="9525"/>
            <wp:docPr id="642850933" name="Picture 27" descr="C:\Users\jhodgens\AppData\Local\Microsoft\Windows\INetCache\Content.MSO\6B7521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80">
                      <a:extLst>
                        <a:ext uri="{28A0092B-C50C-407E-A947-70E740481C1C}">
                          <a14:useLocalDpi xmlns:a14="http://schemas.microsoft.com/office/drawing/2010/main" val="0"/>
                        </a:ext>
                      </a:extLst>
                    </a:blip>
                    <a:stretch>
                      <a:fillRect/>
                    </a:stretch>
                  </pic:blipFill>
                  <pic:spPr>
                    <a:xfrm>
                      <a:off x="0" y="0"/>
                      <a:ext cx="5943600" cy="2828925"/>
                    </a:xfrm>
                    <a:prstGeom prst="rect">
                      <a:avLst/>
                    </a:prstGeom>
                  </pic:spPr>
                </pic:pic>
              </a:graphicData>
            </a:graphic>
          </wp:inline>
        </w:drawing>
      </w:r>
    </w:p>
    <w:p w14:paraId="0F2304F0" w14:textId="594B1272" w:rsidR="001B124F" w:rsidRPr="008A0812" w:rsidRDefault="001B124F" w:rsidP="001B124F">
      <w:pPr>
        <w:pStyle w:val="Heading3"/>
      </w:pPr>
      <w:bookmarkStart w:id="312" w:name="_Toc41680858"/>
      <w:r w:rsidRPr="008A0812">
        <w:t>Impacts to the Facilities Master Plan</w:t>
      </w:r>
      <w:bookmarkEnd w:id="312"/>
    </w:p>
    <w:p w14:paraId="48603716" w14:textId="5C375200" w:rsidR="001B124F" w:rsidRPr="008A0812" w:rsidRDefault="001B124F" w:rsidP="001B124F">
      <w:pPr>
        <w:pStyle w:val="BodyText"/>
      </w:pPr>
      <w:r w:rsidRPr="008A0812">
        <w:t>The flow of secondary effluent from the SBWRP to the RIX facility is expected to be lower in the year 2040 due to loss of wastewater flows from the East Valley Water District (EVWD) (</w:t>
      </w:r>
      <w:r w:rsidR="00570B90" w:rsidRPr="008A0812">
        <w:t>s</w:t>
      </w:r>
      <w:r w:rsidRPr="008A0812">
        <w:t>ee Section</w:t>
      </w:r>
      <w:r w:rsidR="006D1BB4" w:rsidRPr="008A0812">
        <w:t xml:space="preserve"> </w:t>
      </w:r>
      <w:r w:rsidR="006D1BB4" w:rsidRPr="008A0812">
        <w:fldChar w:fldCharType="begin"/>
      </w:r>
      <w:r w:rsidR="006D1BB4" w:rsidRPr="008A0812">
        <w:instrText xml:space="preserve"> REF _Ref22830605 \r \h </w:instrText>
      </w:r>
      <w:r w:rsidR="008A0812">
        <w:instrText xml:space="preserve"> \* MERGEFORMAT </w:instrText>
      </w:r>
      <w:r w:rsidR="006D1BB4" w:rsidRPr="008A0812">
        <w:fldChar w:fldCharType="separate"/>
      </w:r>
      <w:r w:rsidR="00AA68F8">
        <w:t>6.1.2</w:t>
      </w:r>
      <w:r w:rsidR="006D1BB4" w:rsidRPr="008A0812">
        <w:fldChar w:fldCharType="end"/>
      </w:r>
      <w:r w:rsidRPr="008A0812">
        <w:t>). Future growth will likely make up some of the lost flow; however, even with assumed future growth, 2040 flows are projected to be lower than current flows (</w:t>
      </w:r>
      <w:r w:rsidR="00570B90" w:rsidRPr="008A0812">
        <w:t xml:space="preserve">see </w:t>
      </w:r>
      <w:r w:rsidRPr="008A0812">
        <w:t>Section</w:t>
      </w:r>
      <w:r w:rsidR="00570B90" w:rsidRPr="008A0812">
        <w:t xml:space="preserve"> </w:t>
      </w:r>
      <w:r w:rsidR="00570B90" w:rsidRPr="008A0812">
        <w:fldChar w:fldCharType="begin"/>
      </w:r>
      <w:r w:rsidR="00570B90" w:rsidRPr="008A0812">
        <w:instrText xml:space="preserve"> REF _Ref20223807 \r \h </w:instrText>
      </w:r>
      <w:r w:rsidR="008A0812">
        <w:instrText xml:space="preserve"> \* MERGEFORMAT </w:instrText>
      </w:r>
      <w:r w:rsidR="00570B90" w:rsidRPr="008A0812">
        <w:fldChar w:fldCharType="separate"/>
      </w:r>
      <w:r w:rsidR="00AA68F8">
        <w:t>6.1.3</w:t>
      </w:r>
      <w:r w:rsidR="00570B90" w:rsidRPr="008A0812">
        <w:fldChar w:fldCharType="end"/>
      </w:r>
      <w:r w:rsidR="00570B90" w:rsidRPr="008A0812">
        <w:t>)</w:t>
      </w:r>
      <w:r w:rsidRPr="008A0812">
        <w:t>.</w:t>
      </w:r>
    </w:p>
    <w:p w14:paraId="6C5CEA7E" w14:textId="63DFB31C" w:rsidR="001B124F" w:rsidRPr="008A0812" w:rsidRDefault="001B124F" w:rsidP="001B124F">
      <w:pPr>
        <w:pStyle w:val="BodyText"/>
      </w:pPr>
      <w:r w:rsidRPr="008A0812">
        <w:t xml:space="preserve">Projected 2040 discharge from the RIX facility is summarized in </w:t>
      </w:r>
      <w:r w:rsidR="00EE5870" w:rsidRPr="008A0812">
        <w:fldChar w:fldCharType="begin"/>
      </w:r>
      <w:r w:rsidR="00EE5870" w:rsidRPr="008A0812">
        <w:instrText xml:space="preserve"> REF _Ref36232102 \h </w:instrText>
      </w:r>
      <w:r w:rsidR="008A0812">
        <w:instrText xml:space="preserve"> \* MERGEFORMAT </w:instrText>
      </w:r>
      <w:r w:rsidR="00EE5870" w:rsidRPr="008A0812">
        <w:fldChar w:fldCharType="separate"/>
      </w:r>
      <w:r w:rsidR="00AA68F8" w:rsidRPr="008A0812">
        <w:t xml:space="preserve">Table </w:t>
      </w:r>
      <w:r w:rsidR="00AA68F8">
        <w:rPr>
          <w:noProof/>
        </w:rPr>
        <w:t>5</w:t>
      </w:r>
      <w:r w:rsidR="00AA68F8" w:rsidRPr="008A0812">
        <w:rPr>
          <w:noProof/>
        </w:rPr>
        <w:noBreakHyphen/>
      </w:r>
      <w:r w:rsidR="00AA68F8">
        <w:rPr>
          <w:noProof/>
        </w:rPr>
        <w:t>2</w:t>
      </w:r>
      <w:r w:rsidR="00EE5870" w:rsidRPr="008A0812">
        <w:fldChar w:fldCharType="end"/>
      </w:r>
      <w:r w:rsidRPr="008A0812">
        <w:t xml:space="preserve"> and </w:t>
      </w:r>
      <w:r w:rsidR="00870806" w:rsidRPr="008A0812">
        <w:fldChar w:fldCharType="begin"/>
      </w:r>
      <w:r w:rsidR="00870806" w:rsidRPr="008A0812">
        <w:instrText xml:space="preserve"> REF _Ref36232773 \h </w:instrText>
      </w:r>
      <w:r w:rsidR="008A0812">
        <w:instrText xml:space="preserve"> \* MERGEFORMAT </w:instrText>
      </w:r>
      <w:r w:rsidR="00870806" w:rsidRPr="008A0812">
        <w:fldChar w:fldCharType="separate"/>
      </w:r>
      <w:r w:rsidR="00AA68F8" w:rsidRPr="008A0812">
        <w:t xml:space="preserve">Figure </w:t>
      </w:r>
      <w:r w:rsidR="00AA68F8">
        <w:rPr>
          <w:noProof/>
        </w:rPr>
        <w:t>5</w:t>
      </w:r>
      <w:r w:rsidR="00AA68F8">
        <w:rPr>
          <w:noProof/>
        </w:rPr>
        <w:noBreakHyphen/>
        <w:t>5</w:t>
      </w:r>
      <w:r w:rsidR="00870806" w:rsidRPr="008A0812">
        <w:fldChar w:fldCharType="end"/>
      </w:r>
      <w:r w:rsidRPr="008A0812">
        <w:t xml:space="preserve"> assuming the contribution from SBWRP is reduced to approximately 19 mgd (21,300 AFY) due to the EVWD SNRC</w:t>
      </w:r>
      <w:r w:rsidR="00155290" w:rsidRPr="008A0812">
        <w:t xml:space="preserve"> P</w:t>
      </w:r>
      <w:r w:rsidRPr="008A0812">
        <w:t>roject. Flow from Colton was not analyzed and therefore is shown at the current rate of 5 mgd (5,600 AFY) with no adjustment for future growth. The over</w:t>
      </w:r>
      <w:r w:rsidR="00155290" w:rsidRPr="008A0812">
        <w:t>-</w:t>
      </w:r>
      <w:r w:rsidRPr="008A0812">
        <w:t xml:space="preserve">extracted groundwater is assumed to remain at approximately 10% of the RIX influent. Based on these assumptions, the RIX facility is projected to discharge a maximum of approximately 26.4 mgd (29,600 AFY) to the Santa Ana River in the year 2040. </w:t>
      </w:r>
    </w:p>
    <w:p w14:paraId="55F2375D" w14:textId="5A5E7768" w:rsidR="00EE5870" w:rsidRPr="008A0812" w:rsidRDefault="00EE5870" w:rsidP="00EE5870">
      <w:pPr>
        <w:pStyle w:val="TableHeading"/>
      </w:pPr>
      <w:bookmarkStart w:id="313" w:name="_Ref36232102"/>
      <w:bookmarkStart w:id="314" w:name="_Toc36414058"/>
      <w:bookmarkStart w:id="315" w:name="_Toc41684755"/>
      <w:r w:rsidRPr="008A0812">
        <w:t xml:space="preserve">Table </w:t>
      </w:r>
      <w:r>
        <w:fldChar w:fldCharType="begin"/>
      </w:r>
      <w:r>
        <w:instrText>STYLEREF 1 \s</w:instrText>
      </w:r>
      <w:r>
        <w:fldChar w:fldCharType="separate"/>
      </w:r>
      <w:r w:rsidR="00AA68F8">
        <w:rPr>
          <w:noProof/>
        </w:rPr>
        <w:t>5</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313"/>
      <w:r w:rsidRPr="008A0812">
        <w:t>: Projected RIX Flows to the Santa Ana River 2040</w:t>
      </w:r>
      <w:bookmarkEnd w:id="314"/>
      <w:bookmarkEnd w:id="315"/>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6"/>
        <w:gridCol w:w="1866"/>
        <w:gridCol w:w="1866"/>
        <w:gridCol w:w="1866"/>
        <w:gridCol w:w="1867"/>
      </w:tblGrid>
      <w:tr w:rsidR="001B124F" w:rsidRPr="008A0812" w14:paraId="218E8E70" w14:textId="77777777" w:rsidTr="001B124F">
        <w:tc>
          <w:tcPr>
            <w:tcW w:w="1866"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4BDA3F00"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b/>
                <w:bCs/>
              </w:rPr>
              <w:t>Units</w:t>
            </w:r>
            <w:r w:rsidRPr="008A0812">
              <w:rPr>
                <w:rFonts w:cs="Segoe UI"/>
              </w:rPr>
              <w:t> </w:t>
            </w:r>
          </w:p>
        </w:tc>
        <w:tc>
          <w:tcPr>
            <w:tcW w:w="1866" w:type="dxa"/>
            <w:tcBorders>
              <w:top w:val="single" w:sz="6" w:space="0" w:color="auto"/>
              <w:left w:val="nil"/>
              <w:bottom w:val="single" w:sz="6" w:space="0" w:color="auto"/>
              <w:right w:val="single" w:sz="6" w:space="0" w:color="auto"/>
            </w:tcBorders>
            <w:shd w:val="clear" w:color="auto" w:fill="BFBFBF"/>
            <w:vAlign w:val="bottom"/>
            <w:hideMark/>
          </w:tcPr>
          <w:p w14:paraId="4261E0B5" w14:textId="77777777" w:rsidR="001B124F" w:rsidRPr="008A0812" w:rsidRDefault="001B124F" w:rsidP="007647A5">
            <w:pPr>
              <w:keepNext/>
              <w:overflowPunct/>
              <w:autoSpaceDE/>
              <w:autoSpaceDN/>
              <w:adjustRightInd/>
              <w:jc w:val="center"/>
              <w:rPr>
                <w:rFonts w:cs="Segoe UI"/>
                <w:b/>
                <w:bCs/>
              </w:rPr>
            </w:pPr>
            <w:r w:rsidRPr="008A0812">
              <w:rPr>
                <w:rFonts w:cs="Segoe UI"/>
                <w:b/>
                <w:bCs/>
              </w:rPr>
              <w:t>Influent from</w:t>
            </w:r>
          </w:p>
          <w:p w14:paraId="0EAFCBAE" w14:textId="3FF647C3"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b/>
                <w:bCs/>
              </w:rPr>
              <w:t>Colton</w:t>
            </w:r>
            <w:r w:rsidRPr="008A0812">
              <w:rPr>
                <w:rFonts w:cs="Segoe UI"/>
              </w:rPr>
              <w:t> </w:t>
            </w:r>
          </w:p>
        </w:tc>
        <w:tc>
          <w:tcPr>
            <w:tcW w:w="1866" w:type="dxa"/>
            <w:tcBorders>
              <w:top w:val="single" w:sz="6" w:space="0" w:color="auto"/>
              <w:left w:val="nil"/>
              <w:bottom w:val="single" w:sz="6" w:space="0" w:color="auto"/>
              <w:right w:val="single" w:sz="6" w:space="0" w:color="auto"/>
            </w:tcBorders>
            <w:shd w:val="clear" w:color="auto" w:fill="BFBFBF"/>
            <w:vAlign w:val="bottom"/>
            <w:hideMark/>
          </w:tcPr>
          <w:p w14:paraId="0BE0F41F" w14:textId="77777777" w:rsidR="00155290" w:rsidRPr="008A0812" w:rsidRDefault="001B124F" w:rsidP="00155290">
            <w:pPr>
              <w:keepNext/>
              <w:overflowPunct/>
              <w:autoSpaceDE/>
              <w:autoSpaceDN/>
              <w:adjustRightInd/>
              <w:jc w:val="center"/>
              <w:rPr>
                <w:rFonts w:cs="Segoe UI"/>
                <w:b/>
                <w:bCs/>
              </w:rPr>
            </w:pPr>
            <w:r w:rsidRPr="008A0812">
              <w:rPr>
                <w:rFonts w:cs="Segoe UI"/>
                <w:b/>
                <w:bCs/>
              </w:rPr>
              <w:t>Influent from</w:t>
            </w:r>
          </w:p>
          <w:p w14:paraId="09257C2D" w14:textId="5001F94A" w:rsidR="001B124F" w:rsidRPr="008A0812" w:rsidRDefault="001B124F" w:rsidP="00155290">
            <w:pPr>
              <w:keepNext/>
              <w:overflowPunct/>
              <w:autoSpaceDE/>
              <w:autoSpaceDN/>
              <w:adjustRightInd/>
              <w:jc w:val="center"/>
              <w:rPr>
                <w:rFonts w:ascii="Segoe UI" w:hAnsi="Segoe UI" w:cs="Segoe UI"/>
                <w:sz w:val="18"/>
                <w:szCs w:val="18"/>
              </w:rPr>
            </w:pPr>
            <w:r w:rsidRPr="008A0812">
              <w:rPr>
                <w:rFonts w:cs="Segoe UI"/>
                <w:b/>
                <w:bCs/>
              </w:rPr>
              <w:t>SBWRP</w:t>
            </w:r>
            <w:r w:rsidR="000D2D44" w:rsidRPr="008A0812">
              <w:rPr>
                <w:rFonts w:cs="Segoe UI"/>
                <w:b/>
                <w:bCs/>
              </w:rPr>
              <w:t xml:space="preserve"> </w:t>
            </w:r>
          </w:p>
        </w:tc>
        <w:tc>
          <w:tcPr>
            <w:tcW w:w="1866" w:type="dxa"/>
            <w:tcBorders>
              <w:top w:val="single" w:sz="6" w:space="0" w:color="auto"/>
              <w:left w:val="nil"/>
              <w:bottom w:val="single" w:sz="6" w:space="0" w:color="auto"/>
              <w:right w:val="single" w:sz="6" w:space="0" w:color="auto"/>
            </w:tcBorders>
            <w:shd w:val="clear" w:color="auto" w:fill="BFBFBF"/>
            <w:vAlign w:val="bottom"/>
            <w:hideMark/>
          </w:tcPr>
          <w:p w14:paraId="7E197308" w14:textId="4A6808D9"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b/>
                <w:bCs/>
              </w:rPr>
              <w:t>Over</w:t>
            </w:r>
            <w:r w:rsidR="002239C7" w:rsidRPr="008A0812">
              <w:rPr>
                <w:rFonts w:cs="Segoe UI"/>
                <w:b/>
                <w:bCs/>
              </w:rPr>
              <w:t>-</w:t>
            </w:r>
            <w:r w:rsidRPr="008A0812">
              <w:rPr>
                <w:rFonts w:cs="Segoe UI"/>
                <w:b/>
                <w:bCs/>
              </w:rPr>
              <w:t>Extracted Groundwater</w:t>
            </w:r>
            <w:r w:rsidRPr="008A0812">
              <w:rPr>
                <w:rFonts w:cs="Segoe UI"/>
              </w:rPr>
              <w:t> </w:t>
            </w:r>
          </w:p>
        </w:tc>
        <w:tc>
          <w:tcPr>
            <w:tcW w:w="1867" w:type="dxa"/>
            <w:tcBorders>
              <w:top w:val="single" w:sz="6" w:space="0" w:color="auto"/>
              <w:left w:val="nil"/>
              <w:bottom w:val="single" w:sz="6" w:space="0" w:color="auto"/>
              <w:right w:val="single" w:sz="6" w:space="0" w:color="auto"/>
            </w:tcBorders>
            <w:shd w:val="clear" w:color="auto" w:fill="BFBFBF"/>
            <w:vAlign w:val="bottom"/>
            <w:hideMark/>
          </w:tcPr>
          <w:p w14:paraId="315EEBF3"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b/>
                <w:bCs/>
              </w:rPr>
              <w:t>Discharge to Santa Ana River</w:t>
            </w:r>
            <w:r w:rsidRPr="008A0812">
              <w:rPr>
                <w:rFonts w:cs="Segoe UI"/>
              </w:rPr>
              <w:t> </w:t>
            </w:r>
          </w:p>
        </w:tc>
      </w:tr>
      <w:tr w:rsidR="001B124F" w:rsidRPr="008A0812" w14:paraId="4ECC7BBF" w14:textId="77777777" w:rsidTr="001B124F">
        <w:tc>
          <w:tcPr>
            <w:tcW w:w="1866" w:type="dxa"/>
            <w:tcBorders>
              <w:top w:val="nil"/>
              <w:left w:val="single" w:sz="6" w:space="0" w:color="auto"/>
              <w:bottom w:val="single" w:sz="6" w:space="0" w:color="auto"/>
              <w:right w:val="single" w:sz="6" w:space="0" w:color="auto"/>
            </w:tcBorders>
            <w:shd w:val="clear" w:color="auto" w:fill="auto"/>
            <w:hideMark/>
          </w:tcPr>
          <w:p w14:paraId="74FB2B43"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AFY </w:t>
            </w:r>
          </w:p>
        </w:tc>
        <w:tc>
          <w:tcPr>
            <w:tcW w:w="1866" w:type="dxa"/>
            <w:tcBorders>
              <w:top w:val="nil"/>
              <w:left w:val="nil"/>
              <w:bottom w:val="single" w:sz="6" w:space="0" w:color="auto"/>
              <w:right w:val="single" w:sz="6" w:space="0" w:color="auto"/>
            </w:tcBorders>
            <w:shd w:val="clear" w:color="auto" w:fill="auto"/>
            <w:hideMark/>
          </w:tcPr>
          <w:p w14:paraId="62B79B9B"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5,600 </w:t>
            </w:r>
          </w:p>
        </w:tc>
        <w:tc>
          <w:tcPr>
            <w:tcW w:w="1866" w:type="dxa"/>
            <w:tcBorders>
              <w:top w:val="nil"/>
              <w:left w:val="nil"/>
              <w:bottom w:val="single" w:sz="6" w:space="0" w:color="auto"/>
              <w:right w:val="single" w:sz="6" w:space="0" w:color="auto"/>
            </w:tcBorders>
            <w:shd w:val="clear" w:color="auto" w:fill="auto"/>
            <w:hideMark/>
          </w:tcPr>
          <w:p w14:paraId="38D9634C"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21,300 </w:t>
            </w:r>
          </w:p>
        </w:tc>
        <w:tc>
          <w:tcPr>
            <w:tcW w:w="1866" w:type="dxa"/>
            <w:tcBorders>
              <w:top w:val="nil"/>
              <w:left w:val="nil"/>
              <w:bottom w:val="single" w:sz="6" w:space="0" w:color="auto"/>
              <w:right w:val="single" w:sz="6" w:space="0" w:color="auto"/>
            </w:tcBorders>
            <w:shd w:val="clear" w:color="auto" w:fill="auto"/>
            <w:hideMark/>
          </w:tcPr>
          <w:p w14:paraId="06C33A39"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2,700 </w:t>
            </w:r>
          </w:p>
        </w:tc>
        <w:tc>
          <w:tcPr>
            <w:tcW w:w="1867" w:type="dxa"/>
            <w:tcBorders>
              <w:top w:val="nil"/>
              <w:left w:val="nil"/>
              <w:bottom w:val="single" w:sz="6" w:space="0" w:color="auto"/>
              <w:right w:val="single" w:sz="6" w:space="0" w:color="auto"/>
            </w:tcBorders>
            <w:shd w:val="clear" w:color="auto" w:fill="auto"/>
            <w:hideMark/>
          </w:tcPr>
          <w:p w14:paraId="0A9D477F"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29,600 </w:t>
            </w:r>
          </w:p>
        </w:tc>
      </w:tr>
      <w:tr w:rsidR="001B124F" w:rsidRPr="008A0812" w14:paraId="5FFBE72E" w14:textId="77777777" w:rsidTr="001B124F">
        <w:tc>
          <w:tcPr>
            <w:tcW w:w="1866" w:type="dxa"/>
            <w:tcBorders>
              <w:top w:val="nil"/>
              <w:left w:val="single" w:sz="6" w:space="0" w:color="auto"/>
              <w:bottom w:val="single" w:sz="6" w:space="0" w:color="auto"/>
              <w:right w:val="single" w:sz="6" w:space="0" w:color="auto"/>
            </w:tcBorders>
            <w:shd w:val="clear" w:color="auto" w:fill="auto"/>
            <w:hideMark/>
          </w:tcPr>
          <w:p w14:paraId="15B43976"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mgd </w:t>
            </w:r>
          </w:p>
        </w:tc>
        <w:tc>
          <w:tcPr>
            <w:tcW w:w="1866" w:type="dxa"/>
            <w:tcBorders>
              <w:top w:val="nil"/>
              <w:left w:val="nil"/>
              <w:bottom w:val="single" w:sz="6" w:space="0" w:color="auto"/>
              <w:right w:val="single" w:sz="6" w:space="0" w:color="auto"/>
            </w:tcBorders>
            <w:shd w:val="clear" w:color="auto" w:fill="auto"/>
            <w:hideMark/>
          </w:tcPr>
          <w:p w14:paraId="3E0D2CFF"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5.0 </w:t>
            </w:r>
          </w:p>
        </w:tc>
        <w:tc>
          <w:tcPr>
            <w:tcW w:w="1866" w:type="dxa"/>
            <w:tcBorders>
              <w:top w:val="nil"/>
              <w:left w:val="nil"/>
              <w:bottom w:val="single" w:sz="6" w:space="0" w:color="auto"/>
              <w:right w:val="single" w:sz="6" w:space="0" w:color="auto"/>
            </w:tcBorders>
            <w:shd w:val="clear" w:color="auto" w:fill="auto"/>
            <w:hideMark/>
          </w:tcPr>
          <w:p w14:paraId="1A841745"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19.0 </w:t>
            </w:r>
          </w:p>
        </w:tc>
        <w:tc>
          <w:tcPr>
            <w:tcW w:w="1866" w:type="dxa"/>
            <w:tcBorders>
              <w:top w:val="nil"/>
              <w:left w:val="nil"/>
              <w:bottom w:val="single" w:sz="6" w:space="0" w:color="auto"/>
              <w:right w:val="single" w:sz="6" w:space="0" w:color="auto"/>
            </w:tcBorders>
            <w:shd w:val="clear" w:color="auto" w:fill="auto"/>
            <w:hideMark/>
          </w:tcPr>
          <w:p w14:paraId="587D635E"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2.4 </w:t>
            </w:r>
          </w:p>
        </w:tc>
        <w:tc>
          <w:tcPr>
            <w:tcW w:w="1867" w:type="dxa"/>
            <w:tcBorders>
              <w:top w:val="nil"/>
              <w:left w:val="nil"/>
              <w:bottom w:val="single" w:sz="6" w:space="0" w:color="auto"/>
              <w:right w:val="single" w:sz="6" w:space="0" w:color="auto"/>
            </w:tcBorders>
            <w:shd w:val="clear" w:color="auto" w:fill="auto"/>
            <w:hideMark/>
          </w:tcPr>
          <w:p w14:paraId="5D59FAEB" w14:textId="77777777" w:rsidR="001B124F" w:rsidRPr="008A0812" w:rsidRDefault="001B124F" w:rsidP="007647A5">
            <w:pPr>
              <w:keepNext/>
              <w:overflowPunct/>
              <w:autoSpaceDE/>
              <w:autoSpaceDN/>
              <w:adjustRightInd/>
              <w:jc w:val="center"/>
              <w:rPr>
                <w:rFonts w:ascii="Segoe UI" w:hAnsi="Segoe UI" w:cs="Segoe UI"/>
                <w:sz w:val="18"/>
                <w:szCs w:val="18"/>
              </w:rPr>
            </w:pPr>
            <w:r w:rsidRPr="008A0812">
              <w:rPr>
                <w:rFonts w:cs="Segoe UI"/>
              </w:rPr>
              <w:t>26.4 </w:t>
            </w:r>
          </w:p>
        </w:tc>
      </w:tr>
    </w:tbl>
    <w:p w14:paraId="670A1E51" w14:textId="27CE8A35" w:rsidR="001B124F" w:rsidRPr="008A0812" w:rsidRDefault="001B124F" w:rsidP="001B124F">
      <w:pPr>
        <w:pStyle w:val="BodyText"/>
      </w:pPr>
      <w:r w:rsidRPr="008A0812">
        <w:t>SBMWD intends to meet all discharge obligations at the RIX facility and plans to utilize remaining water for beneficial use in the Bunker Hill Groundwater Basin, which is SBMWD’s sole source of water supply.</w:t>
      </w:r>
      <w:r w:rsidR="000D2D44" w:rsidRPr="008A0812">
        <w:t xml:space="preserve"> </w:t>
      </w:r>
      <w:r w:rsidRPr="008A0812">
        <w:t>In the future, if the City of Colton decides to implement a recycled water project that results in a reduction of its discharge, the impact to the Santa Ana River will have to be considered.</w:t>
      </w:r>
      <w:r w:rsidRPr="008A0812">
        <w:rPr>
          <w:iCs/>
        </w:rPr>
        <w:t xml:space="preserve"> </w:t>
      </w:r>
    </w:p>
    <w:p w14:paraId="109189BB" w14:textId="6FCB162B" w:rsidR="00870806" w:rsidRPr="008A0812" w:rsidRDefault="00870806" w:rsidP="00AF40CB">
      <w:pPr>
        <w:pStyle w:val="FigureHeading"/>
      </w:pPr>
      <w:bookmarkStart w:id="316" w:name="_Ref36232773"/>
      <w:bookmarkStart w:id="317" w:name="_Toc36414059"/>
      <w:bookmarkStart w:id="318" w:name="_Toc41684700"/>
      <w:r w:rsidRPr="008A0812">
        <w:t xml:space="preserve">Figure </w:t>
      </w:r>
      <w:fldSimple w:instr=" STYLEREF 1 \s ">
        <w:r w:rsidR="00AA68F8">
          <w:rPr>
            <w:noProof/>
          </w:rPr>
          <w:t>5</w:t>
        </w:r>
      </w:fldSimple>
      <w:r w:rsidR="00B233D1">
        <w:noBreakHyphen/>
      </w:r>
      <w:fldSimple w:instr=" SEQ Figure \* ARABIC \s 1 ">
        <w:r w:rsidR="00AA68F8">
          <w:rPr>
            <w:noProof/>
          </w:rPr>
          <w:t>5</w:t>
        </w:r>
      </w:fldSimple>
      <w:bookmarkEnd w:id="316"/>
      <w:r w:rsidRPr="008A0812">
        <w:t>: RIX Flows to the Santa Ana River: 2040 with Projected Flows from SBWRP and Colton</w:t>
      </w:r>
      <w:bookmarkEnd w:id="317"/>
      <w:bookmarkEnd w:id="318"/>
    </w:p>
    <w:p w14:paraId="1760A0BE" w14:textId="30546D81" w:rsidR="00662BCB" w:rsidRPr="008A0812" w:rsidRDefault="00662BCB" w:rsidP="00662BCB">
      <w:r>
        <w:rPr>
          <w:noProof/>
        </w:rPr>
        <w:drawing>
          <wp:inline distT="0" distB="0" distL="0" distR="0" wp14:anchorId="31F9CCA6" wp14:editId="4694AD96">
            <wp:extent cx="5943600" cy="2857500"/>
            <wp:effectExtent l="0" t="0" r="0" b="0"/>
            <wp:docPr id="1525048756" name="Picture 31" descr="C:\Users\jhodgens\AppData\Local\Microsoft\Windows\INetCache\Content.MSO\A8F67A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1">
                      <a:extLst>
                        <a:ext uri="{28A0092B-C50C-407E-A947-70E740481C1C}">
                          <a14:useLocalDpi xmlns:a14="http://schemas.microsoft.com/office/drawing/2010/main" val="0"/>
                        </a:ext>
                      </a:extLst>
                    </a:blip>
                    <a:stretch>
                      <a:fillRect/>
                    </a:stretch>
                  </pic:blipFill>
                  <pic:spPr>
                    <a:xfrm>
                      <a:off x="0" y="0"/>
                      <a:ext cx="5943600" cy="2857500"/>
                    </a:xfrm>
                    <a:prstGeom prst="rect">
                      <a:avLst/>
                    </a:prstGeom>
                  </pic:spPr>
                </pic:pic>
              </a:graphicData>
            </a:graphic>
          </wp:inline>
        </w:drawing>
      </w:r>
    </w:p>
    <w:p w14:paraId="3FCCB17D" w14:textId="7E1F5FCE" w:rsidR="001B124F" w:rsidRPr="008A0812" w:rsidRDefault="00662BCB" w:rsidP="00662BCB">
      <w:pPr>
        <w:pStyle w:val="Heading2"/>
      </w:pPr>
      <w:bookmarkStart w:id="319" w:name="_Toc41680859"/>
      <w:r w:rsidRPr="008A0812">
        <w:t>Flood Hazard</w:t>
      </w:r>
      <w:bookmarkEnd w:id="319"/>
    </w:p>
    <w:p w14:paraId="547F44AB" w14:textId="7B5454F2" w:rsidR="00662BCB" w:rsidRPr="008A0812" w:rsidRDefault="00662BCB" w:rsidP="00662BCB">
      <w:pPr>
        <w:pStyle w:val="BodyText"/>
      </w:pPr>
      <w:r w:rsidRPr="008A0812">
        <w:t xml:space="preserve">The SBWRP site is adjacent to East Twin Creek, which is a south flowing tributary to the Santa Ana River. Twin Creek is channelized by earthen levees along the eastern boundary of the SBWRP, which protects much of the site from flooding. The potential for flooding on the SBWRP site is generally higher on the southern portion of the site where Twin Creek turns southwest before merging with the Santa Ana River. In this area, offsite stormwater can flow from the adjacent former golf course under a fence located at the southern end of the plant. Stormwater either percolates into the permeable soil </w:t>
      </w:r>
      <w:r w:rsidR="003E4C64" w:rsidRPr="008A0812">
        <w:t xml:space="preserve">onsite </w:t>
      </w:r>
      <w:r w:rsidRPr="008A0812">
        <w:t>or flows into the chlorine contact lagoon (San Bernardino Municipal Water Department, 2018).</w:t>
      </w:r>
    </w:p>
    <w:p w14:paraId="698B55C6" w14:textId="71F62606" w:rsidR="0023394E" w:rsidRPr="008A0812" w:rsidRDefault="00662BCB" w:rsidP="0023394E">
      <w:pPr>
        <w:pStyle w:val="BodyText"/>
      </w:pPr>
      <w:r w:rsidRPr="008A0812">
        <w:t>The northern portion of the site along Orange Show Road is not mapped within a flood hazard area (</w:t>
      </w:r>
      <w:r w:rsidR="00570B90" w:rsidRPr="008A0812">
        <w:t>Exhibit 3</w:t>
      </w:r>
      <w:r w:rsidR="003E4C64" w:rsidRPr="008A0812">
        <w:t>, attached</w:t>
      </w:r>
      <w:r w:rsidRPr="008A0812">
        <w:t>). The remainder of the site south of</w:t>
      </w:r>
      <w:r w:rsidR="0074365D" w:rsidRPr="008A0812">
        <w:t xml:space="preserve"> Chandler Place</w:t>
      </w:r>
      <w:r w:rsidRPr="008A0812">
        <w:t>/East Dumas Street is mapped within areas of flood hazard. Most of the site is within Zone X with a 0.2% annual chance</w:t>
      </w:r>
      <w:r w:rsidR="003E4C64" w:rsidRPr="008A0812">
        <w:t xml:space="preserve"> of</w:t>
      </w:r>
      <w:r w:rsidRPr="008A0812">
        <w:t xml:space="preserve"> flood hazard, which </w:t>
      </w:r>
      <w:r w:rsidR="003E4C64" w:rsidRPr="008A0812">
        <w:t>would constitute</w:t>
      </w:r>
      <w:r w:rsidRPr="008A0812">
        <w:t xml:space="preserve"> the 500-year event. In the southeast portion near the chlorination lagoon where the creek bends to the southwest is an area mapped within Zone A with a 1% annual chance of flood</w:t>
      </w:r>
      <w:r w:rsidR="003E4C64" w:rsidRPr="008A0812">
        <w:t xml:space="preserve"> hazard</w:t>
      </w:r>
      <w:r w:rsidRPr="008A0812">
        <w:t xml:space="preserve"> (100-year event).</w:t>
      </w:r>
      <w:r w:rsidR="00570B90" w:rsidRPr="008A0812">
        <w:t xml:space="preserve"> </w:t>
      </w:r>
      <w:r w:rsidR="0023394E" w:rsidRPr="008A0812">
        <w:t xml:space="preserve">Impacts to the chlorination lagoon from flooding are minimal because the lagoon is not currently in use and is not anticipated to be used in the future. </w:t>
      </w:r>
      <w:r w:rsidR="003E4C64" w:rsidRPr="008A0812">
        <w:t>Permanently abandoning the chlorination lagoon could be considered.</w:t>
      </w:r>
    </w:p>
    <w:p w14:paraId="7A2A294E" w14:textId="77777777" w:rsidR="0074365D" w:rsidRPr="008A0812" w:rsidRDefault="0074365D" w:rsidP="0074365D">
      <w:pPr>
        <w:pStyle w:val="BodyText"/>
        <w:rPr>
          <w:iCs/>
        </w:rPr>
      </w:pPr>
      <w:r w:rsidRPr="008A0812">
        <w:t>Per the Waste Discharge Requirements, the SBWRP shall be designed, constructed, operated and maintained to prevent inundation or washout due to a 100-year storm event (California Regional Water Quality Control Board, Santa Ana Region, 2017).</w:t>
      </w:r>
      <w:r w:rsidRPr="008A0812">
        <w:rPr>
          <w:iCs/>
        </w:rPr>
        <w:t xml:space="preserve"> </w:t>
      </w:r>
    </w:p>
    <w:p w14:paraId="0B6D47F6" w14:textId="17E55068" w:rsidR="0074365D" w:rsidRPr="008A0812" w:rsidRDefault="0074365D" w:rsidP="0074365D">
      <w:pPr>
        <w:pStyle w:val="BodyText"/>
      </w:pPr>
      <w:r w:rsidRPr="008A0812">
        <w:t xml:space="preserve">Per the City of San Bernardino Municipal Code, a Flood Control Development Permit shall be obtained before construction begins within any area of special flood hazards. To be granted a permit, the application would be required to show that the site is reasonably safe from flooding and that the proposed improvements do not adversely affect the carrying capacity of areas where base flood elevations have been determined but the floodway has not been designated. “Adversely affects" means that the cumulative effect of the proposed development, when combined with all other existing and anticipated development, will not increase the water surface elevation of the base flood more than one (1) foot at any point </w:t>
      </w:r>
      <w:sdt>
        <w:sdtPr>
          <w:id w:val="-122075372"/>
          <w:citation/>
        </w:sdtPr>
        <w:sdtEndPr/>
        <w:sdtContent>
          <w:r w:rsidRPr="008A0812">
            <w:fldChar w:fldCharType="begin"/>
          </w:r>
          <w:r w:rsidRPr="008A0812">
            <w:instrText xml:space="preserve"> CITATION Cit19 \l 1033 </w:instrText>
          </w:r>
          <w:r w:rsidRPr="008A0812">
            <w:fldChar w:fldCharType="separate"/>
          </w:r>
          <w:r w:rsidR="00DC780A">
            <w:rPr>
              <w:noProof/>
            </w:rPr>
            <w:t>(City of San Bernardino, 2019)</w:t>
          </w:r>
          <w:r w:rsidRPr="008A0812">
            <w:fldChar w:fldCharType="end"/>
          </w:r>
        </w:sdtContent>
      </w:sdt>
      <w:r w:rsidRPr="008A0812">
        <w:t>.</w:t>
      </w:r>
    </w:p>
    <w:p w14:paraId="57F0C36D" w14:textId="5F6C5BE3" w:rsidR="00662BCB" w:rsidRPr="008A0812" w:rsidRDefault="00662BCB" w:rsidP="00662BCB">
      <w:pPr>
        <w:pStyle w:val="Heading2"/>
      </w:pPr>
      <w:bookmarkStart w:id="320" w:name="_Toc41680860"/>
      <w:r w:rsidRPr="008A0812">
        <w:t>Stormwater Management</w:t>
      </w:r>
      <w:bookmarkEnd w:id="320"/>
    </w:p>
    <w:p w14:paraId="1BEA1ECE" w14:textId="77777777" w:rsidR="00943358" w:rsidRPr="008A0812" w:rsidRDefault="00943358" w:rsidP="00943358">
      <w:pPr>
        <w:pStyle w:val="BodyText"/>
      </w:pPr>
      <w:r w:rsidRPr="008A0812">
        <w:t xml:space="preserve">There are 16 cities as permittees under the San Bernardino County Municipal Separate Storm Sewer System (MS4) NPDES permit. The MS4 stormwater discharge permit is issued by the State of California through the Santa Ana Regional Water Quality Control Board. The San Bernardino County Flood Control District has been designated “Principal Permittee” and administers and coordinates many of the permit requirements on behalf of the other permittees (San Bernardino County Stormwater Program, 2019). As a permittee, the City of San Bernardino is required to comply with permit requirements for stormwater discharges. </w:t>
      </w:r>
    </w:p>
    <w:p w14:paraId="1B059365" w14:textId="768BDA52" w:rsidR="00943358" w:rsidRPr="008A0812" w:rsidRDefault="00943358" w:rsidP="00943358">
      <w:pPr>
        <w:pStyle w:val="BodyText"/>
      </w:pPr>
      <w:r w:rsidRPr="008A0812">
        <w:t xml:space="preserve">In accordance with the Waste Discharge Requirements, a Stormwater Pollution Prevention Program (SWPPP) is maintained for the SBWRP. All significant spills and leaks that have occurred in the past five years were confined to the facility boundaries. No spills or leaks </w:t>
      </w:r>
      <w:r w:rsidR="003E4C64" w:rsidRPr="008A0812">
        <w:t xml:space="preserve">were </w:t>
      </w:r>
      <w:r w:rsidRPr="008A0812">
        <w:t>discharged offsite or into the stormwater conveyance system (San Bernardino Municipal Water Department, 2018). Process areas are contained and drain to the headworks</w:t>
      </w:r>
      <w:r w:rsidR="003E4C64" w:rsidRPr="008A0812">
        <w:t>, and the facilities have performed as designed</w:t>
      </w:r>
      <w:r w:rsidRPr="008A0812">
        <w:t xml:space="preserve">. </w:t>
      </w:r>
    </w:p>
    <w:p w14:paraId="6620D1FB" w14:textId="347E13AF" w:rsidR="00943358" w:rsidRPr="008A0812" w:rsidRDefault="00943358" w:rsidP="00943358">
      <w:pPr>
        <w:pStyle w:val="BodyText"/>
      </w:pPr>
      <w:r w:rsidRPr="008A0812">
        <w:t xml:space="preserve">The </w:t>
      </w:r>
      <w:r w:rsidR="002239C7" w:rsidRPr="008A0812">
        <w:t>Site Drainage Plan</w:t>
      </w:r>
      <w:r w:rsidRPr="008A0812">
        <w:t xml:space="preserve"> divides the SBWRP site into five zones, as illustrated on </w:t>
      </w:r>
      <w:r w:rsidR="00870806" w:rsidRPr="008A0812">
        <w:fldChar w:fldCharType="begin"/>
      </w:r>
      <w:r w:rsidR="00870806" w:rsidRPr="008A0812">
        <w:instrText xml:space="preserve"> REF _Ref36232793 \h </w:instrText>
      </w:r>
      <w:r w:rsidR="008A0812">
        <w:instrText xml:space="preserve"> \* MERGEFORMAT </w:instrText>
      </w:r>
      <w:r w:rsidR="00870806" w:rsidRPr="008A0812">
        <w:fldChar w:fldCharType="separate"/>
      </w:r>
      <w:r w:rsidR="00AA68F8" w:rsidRPr="008A0812">
        <w:t xml:space="preserve">Figure </w:t>
      </w:r>
      <w:r w:rsidR="00AA68F8">
        <w:rPr>
          <w:noProof/>
        </w:rPr>
        <w:t>5</w:t>
      </w:r>
      <w:r w:rsidR="00AA68F8">
        <w:rPr>
          <w:noProof/>
        </w:rPr>
        <w:noBreakHyphen/>
        <w:t>6</w:t>
      </w:r>
      <w:r w:rsidR="00870806" w:rsidRPr="008A0812">
        <w:fldChar w:fldCharType="end"/>
      </w:r>
      <w:r w:rsidR="00870806" w:rsidRPr="008A0812">
        <w:t xml:space="preserve"> </w:t>
      </w:r>
      <w:r w:rsidRPr="008A0812">
        <w:t>and described in the following sections.</w:t>
      </w:r>
      <w:r w:rsidRPr="008A0812">
        <w:rPr>
          <w:iCs/>
        </w:rPr>
        <w:t xml:space="preserve"> </w:t>
      </w:r>
    </w:p>
    <w:p w14:paraId="04D8B7EB" w14:textId="24148905" w:rsidR="00870806" w:rsidRPr="008A0812" w:rsidRDefault="00870806" w:rsidP="00AF40CB">
      <w:pPr>
        <w:pStyle w:val="FigureHeading"/>
      </w:pPr>
      <w:bookmarkStart w:id="321" w:name="_Ref36232793"/>
      <w:bookmarkStart w:id="322" w:name="_Toc36414060"/>
      <w:bookmarkStart w:id="323" w:name="_Toc41684701"/>
      <w:r w:rsidRPr="008A0812">
        <w:t xml:space="preserve">Figure </w:t>
      </w:r>
      <w:fldSimple w:instr=" STYLEREF 1 \s ">
        <w:r w:rsidR="00AA68F8">
          <w:rPr>
            <w:noProof/>
          </w:rPr>
          <w:t>5</w:t>
        </w:r>
      </w:fldSimple>
      <w:r w:rsidR="00B233D1">
        <w:noBreakHyphen/>
      </w:r>
      <w:fldSimple w:instr=" SEQ Figure \* ARABIC \s 1 ">
        <w:r w:rsidR="00AA68F8">
          <w:rPr>
            <w:noProof/>
          </w:rPr>
          <w:t>6</w:t>
        </w:r>
      </w:fldSimple>
      <w:bookmarkEnd w:id="321"/>
      <w:r w:rsidRPr="008A0812">
        <w:t>: Site Drainage Areas</w:t>
      </w:r>
      <w:bookmarkEnd w:id="322"/>
      <w:bookmarkEnd w:id="323"/>
    </w:p>
    <w:p w14:paraId="24FEFAE0" w14:textId="35524D9B" w:rsidR="00943358" w:rsidRPr="008A0812" w:rsidRDefault="00943358" w:rsidP="00943358">
      <w:r>
        <w:rPr>
          <w:noProof/>
        </w:rPr>
        <w:drawing>
          <wp:inline distT="0" distB="0" distL="0" distR="0" wp14:anchorId="31781671" wp14:editId="379D2251">
            <wp:extent cx="5943600" cy="3917900"/>
            <wp:effectExtent l="0" t="0" r="0" b="6985"/>
            <wp:docPr id="728846953" name="Picture 33" descr="C:\Users\jhodgens\AppData\Local\Microsoft\Windows\INetCache\Content.MSO\9F0C8F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2">
                      <a:extLst>
                        <a:ext uri="{28A0092B-C50C-407E-A947-70E740481C1C}">
                          <a14:useLocalDpi xmlns:a14="http://schemas.microsoft.com/office/drawing/2010/main" val="0"/>
                        </a:ext>
                      </a:extLst>
                    </a:blip>
                    <a:stretch>
                      <a:fillRect/>
                    </a:stretch>
                  </pic:blipFill>
                  <pic:spPr>
                    <a:xfrm>
                      <a:off x="0" y="0"/>
                      <a:ext cx="5943600" cy="3917900"/>
                    </a:xfrm>
                    <a:prstGeom prst="rect">
                      <a:avLst/>
                    </a:prstGeom>
                  </pic:spPr>
                </pic:pic>
              </a:graphicData>
            </a:graphic>
          </wp:inline>
        </w:drawing>
      </w:r>
    </w:p>
    <w:p w14:paraId="177F802E" w14:textId="4F2F0A5D" w:rsidR="00662BCB" w:rsidRPr="008A0812" w:rsidRDefault="00943358" w:rsidP="00943358">
      <w:pPr>
        <w:pStyle w:val="Heading3"/>
      </w:pPr>
      <w:bookmarkStart w:id="324" w:name="_Toc41680861"/>
      <w:r w:rsidRPr="008A0812">
        <w:t>Zones 1A and 1B</w:t>
      </w:r>
      <w:bookmarkEnd w:id="324"/>
    </w:p>
    <w:p w14:paraId="70361A2C" w14:textId="20493692" w:rsidR="00943358" w:rsidRPr="008A0812" w:rsidRDefault="00943358" w:rsidP="00943358">
      <w:pPr>
        <w:pStyle w:val="BodyText"/>
      </w:pPr>
      <w:r w:rsidRPr="008A0812">
        <w:t xml:space="preserve">Zones 1A and 1B include primary and secondary clarification, aeration, anaerobic digestion, and sludge treatment. The </w:t>
      </w:r>
      <w:r w:rsidR="002239C7" w:rsidRPr="008A0812">
        <w:t>SB</w:t>
      </w:r>
      <w:r w:rsidRPr="008A0812">
        <w:t>WRP boundary for Zone 1A extends to the front of the Administration Building. The boundary for Zone 1B is adjacent to East Twin Creek, a tributary to the Santa Ana River. All stormwater and non-stormwater discharges in Zones 1A and 1B are conveyed to the facility headworks for treatment.</w:t>
      </w:r>
    </w:p>
    <w:p w14:paraId="41E036CD" w14:textId="0F46FAF4" w:rsidR="00943358" w:rsidRPr="008A0812" w:rsidRDefault="00943358" w:rsidP="00943358">
      <w:pPr>
        <w:pStyle w:val="Heading3"/>
      </w:pPr>
      <w:bookmarkStart w:id="325" w:name="_Toc41680862"/>
      <w:r w:rsidRPr="008A0812">
        <w:t>Zone 2</w:t>
      </w:r>
      <w:bookmarkEnd w:id="325"/>
    </w:p>
    <w:p w14:paraId="2ADC78E0" w14:textId="39D3E735" w:rsidR="00943358" w:rsidRPr="008A0812" w:rsidRDefault="00943358" w:rsidP="00943358">
      <w:pPr>
        <w:pStyle w:val="BodyText"/>
      </w:pPr>
      <w:r w:rsidRPr="008A0812">
        <w:t xml:space="preserve">Zone 2 is at the southern end of the </w:t>
      </w:r>
      <w:r w:rsidR="002239C7" w:rsidRPr="008A0812">
        <w:t>SB</w:t>
      </w:r>
      <w:r w:rsidRPr="008A0812">
        <w:t>WRP and includes the Unit 2 South Primary Clarifier, sludge drying beds, biosolids storage bed, heavy equipment storage, chlorine contact area, and nitrogen-removal carousel equalization and oxidation processes (NRCP).The facility boundary for Zone 2 runs adjacent to East Twin Creek and the property that is former San Bernardino Golf Club. Stormwater which enters the process areas in Zone 2 is mixed and treated with the process water in each area. An earthen berm which extends between the eastern border of the property and the primary clarifiers prevents discharge from the property. Stormwater runoff from non-process areas typically percolates onsite, although during extreme events, a small portion may drain to the chlorine contact lagoon. The first flush will typically percolate onsite, while larger storms may run off-site to the adjacent former golf course and percolate.</w:t>
      </w:r>
    </w:p>
    <w:p w14:paraId="207D3B73" w14:textId="0D7B8E44" w:rsidR="00943358" w:rsidRPr="008A0812" w:rsidRDefault="00943358" w:rsidP="00943358">
      <w:pPr>
        <w:pStyle w:val="Heading3"/>
      </w:pPr>
      <w:bookmarkStart w:id="326" w:name="_Toc41680863"/>
      <w:r w:rsidRPr="008A0812">
        <w:t>Zone 3</w:t>
      </w:r>
      <w:bookmarkEnd w:id="326"/>
    </w:p>
    <w:p w14:paraId="7970ED07" w14:textId="58F7A102" w:rsidR="00943358" w:rsidRPr="008A0812" w:rsidRDefault="00943358" w:rsidP="00943358">
      <w:pPr>
        <w:pStyle w:val="BodyText"/>
      </w:pPr>
      <w:r w:rsidRPr="008A0812">
        <w:t xml:space="preserve">This zone is located at the western end of the </w:t>
      </w:r>
      <w:r w:rsidR="002239C7" w:rsidRPr="008A0812">
        <w:t>SB</w:t>
      </w:r>
      <w:r w:rsidRPr="008A0812">
        <w:t xml:space="preserve">WRP. The gravel covered area serves as parking space for heavy equipment and vehicles. There are no industrial processes located in this area. Stormwater runoff from this area drains to street gutters that flow to the off-site </w:t>
      </w:r>
      <w:r w:rsidR="002239C7" w:rsidRPr="008A0812">
        <w:t>M</w:t>
      </w:r>
      <w:r w:rsidRPr="008A0812">
        <w:t xml:space="preserve">unicipal </w:t>
      </w:r>
      <w:r w:rsidR="002239C7" w:rsidRPr="008A0812">
        <w:t>S</w:t>
      </w:r>
      <w:r w:rsidRPr="008A0812">
        <w:t xml:space="preserve">eparate </w:t>
      </w:r>
      <w:r w:rsidR="002239C7" w:rsidRPr="008A0812">
        <w:t>S</w:t>
      </w:r>
      <w:r w:rsidRPr="008A0812">
        <w:t xml:space="preserve">torm </w:t>
      </w:r>
      <w:r w:rsidR="002239C7" w:rsidRPr="008A0812">
        <w:t>S</w:t>
      </w:r>
      <w:r w:rsidRPr="008A0812">
        <w:t xml:space="preserve">ewer </w:t>
      </w:r>
      <w:r w:rsidR="002239C7" w:rsidRPr="008A0812">
        <w:t>S</w:t>
      </w:r>
      <w:r w:rsidRPr="008A0812">
        <w:t>ystem (MS4). Stormwater samples are taken at the facility boundary (Discharge Point S-001) prior to the stormwater discharging off</w:t>
      </w:r>
      <w:r w:rsidR="002239C7" w:rsidRPr="008A0812">
        <w:t>-</w:t>
      </w:r>
      <w:r w:rsidRPr="008A0812">
        <w:t>site into the MS4 drain located on Century Avenue.</w:t>
      </w:r>
    </w:p>
    <w:p w14:paraId="4F9F54AA" w14:textId="298CF64F" w:rsidR="00943358" w:rsidRPr="008A0812" w:rsidRDefault="00943358" w:rsidP="00943358">
      <w:pPr>
        <w:pStyle w:val="Heading3"/>
      </w:pPr>
      <w:bookmarkStart w:id="327" w:name="_Toc41680864"/>
      <w:r w:rsidRPr="008A0812">
        <w:t>Zone 4</w:t>
      </w:r>
      <w:bookmarkEnd w:id="327"/>
    </w:p>
    <w:p w14:paraId="630164E0" w14:textId="6335CF96" w:rsidR="00943358" w:rsidRPr="008A0812" w:rsidRDefault="00943358" w:rsidP="00943358">
      <w:pPr>
        <w:pStyle w:val="BodyText"/>
      </w:pPr>
      <w:r w:rsidRPr="008A0812">
        <w:t xml:space="preserve">This zone is located at the northeast area of the </w:t>
      </w:r>
      <w:r w:rsidR="002239C7" w:rsidRPr="008A0812">
        <w:t>SB</w:t>
      </w:r>
      <w:r w:rsidRPr="008A0812">
        <w:t xml:space="preserve">WRP and includes the odor control facilities, bar screen, and grit removal processes; Administration Building and parking lot; and an undeveloped vegetated area. The drainage system of Zone 4 consists of two separate drainage systems. The first system conveys process equipment drainage areas to a series of catch basins which transfer the stormwater to the plant headworks for treatment. </w:t>
      </w:r>
    </w:p>
    <w:p w14:paraId="1733C3FC" w14:textId="1BF0A00B" w:rsidR="00943358" w:rsidRPr="008A0812" w:rsidRDefault="00943358" w:rsidP="00943358">
      <w:pPr>
        <w:pStyle w:val="BodyText"/>
      </w:pPr>
      <w:r w:rsidRPr="008A0812">
        <w:t>The second system conveys non-process drainage areas including streets, building roofs, vegetated areas, and parking lots to a collection structure. Discharge from the collection structure is typically pumped to the plant headworks for treatment. Discharge to the Santa Ana River storm channel via East Twin Creek will occur only during extreme wet weather events which generate excess stormwater runoff. The stormwater in the collection structure (Discharge Point S-002) is sampled before being released to East Twin Creek.</w:t>
      </w:r>
    </w:p>
    <w:p w14:paraId="79387905" w14:textId="2CBEA10E" w:rsidR="00943358" w:rsidRPr="008A0812" w:rsidRDefault="00943358" w:rsidP="00943358">
      <w:pPr>
        <w:pStyle w:val="Heading3"/>
      </w:pPr>
      <w:bookmarkStart w:id="328" w:name="_Toc41680865"/>
      <w:r w:rsidRPr="008A0812">
        <w:t>Offsite Stormwater Flows</w:t>
      </w:r>
      <w:bookmarkEnd w:id="328"/>
    </w:p>
    <w:p w14:paraId="10263679" w14:textId="524C84F9" w:rsidR="00943358" w:rsidRPr="008A0812" w:rsidRDefault="00943358" w:rsidP="00943358">
      <w:pPr>
        <w:pStyle w:val="BodyText"/>
      </w:pPr>
      <w:r w:rsidRPr="008A0812">
        <w:t>In addition to stormwater drainage from the facility area, some stormwater generated off-site occasionally flows onto the facility from the adjacent former golf course to the southwest. At this location, stormwater flows under a fence at the southern end of the plant and either percolates into the soil or flows into the chlorine contact lagoon.</w:t>
      </w:r>
    </w:p>
    <w:p w14:paraId="5C962364" w14:textId="408E7DB4" w:rsidR="00943358" w:rsidRPr="008A0812" w:rsidRDefault="00943358" w:rsidP="00943358">
      <w:pPr>
        <w:pStyle w:val="Heading2"/>
      </w:pPr>
      <w:bookmarkStart w:id="329" w:name="_Toc41680866"/>
      <w:r w:rsidRPr="008A0812">
        <w:t>Groundwater</w:t>
      </w:r>
      <w:bookmarkEnd w:id="329"/>
    </w:p>
    <w:p w14:paraId="4AB95F51" w14:textId="041349FD" w:rsidR="00943358" w:rsidRPr="008A0812" w:rsidRDefault="007E2352" w:rsidP="007E2352">
      <w:pPr>
        <w:pStyle w:val="BodyText"/>
      </w:pPr>
      <w:r w:rsidRPr="008A0812">
        <w:t xml:space="preserve">Three SBWRP wells were originally installed in the 1990s as dewatering wells to lower the high groundwater level and protect structures at the SBWRP from liquefaction. </w:t>
      </w:r>
      <w:r w:rsidR="00943358" w:rsidRPr="008A0812">
        <w:t xml:space="preserve">There are three </w:t>
      </w:r>
      <w:r w:rsidR="00C61F51" w:rsidRPr="008A0812">
        <w:t xml:space="preserve">SBWRP </w:t>
      </w:r>
      <w:r w:rsidR="00943358" w:rsidRPr="008A0812">
        <w:t xml:space="preserve">wells located onsite: </w:t>
      </w:r>
    </w:p>
    <w:p w14:paraId="1189D551" w14:textId="77777777" w:rsidR="00943358" w:rsidRPr="008A0812" w:rsidRDefault="00943358" w:rsidP="00943358">
      <w:pPr>
        <w:pStyle w:val="Bullet"/>
      </w:pPr>
      <w:r w:rsidRPr="008A0812">
        <w:t xml:space="preserve">Orange Show Well </w:t>
      </w:r>
    </w:p>
    <w:p w14:paraId="163E8169" w14:textId="77777777" w:rsidR="00943358" w:rsidRPr="008A0812" w:rsidRDefault="00943358" w:rsidP="00943358">
      <w:pPr>
        <w:pStyle w:val="Bullet"/>
      </w:pPr>
      <w:r w:rsidRPr="008A0812">
        <w:t xml:space="preserve">Chandler Well </w:t>
      </w:r>
    </w:p>
    <w:p w14:paraId="0A59E962" w14:textId="68213323" w:rsidR="00943358" w:rsidRPr="008A0812" w:rsidRDefault="00943358" w:rsidP="00943358">
      <w:pPr>
        <w:pStyle w:val="Bullet"/>
      </w:pPr>
      <w:r w:rsidRPr="008A0812">
        <w:t>Century Wel</w:t>
      </w:r>
      <w:r w:rsidR="001B60DD" w:rsidRPr="008A0812">
        <w:t>l</w:t>
      </w:r>
    </w:p>
    <w:p w14:paraId="0C47D4AB" w14:textId="7599D1B9" w:rsidR="00570B90" w:rsidRPr="008A0812" w:rsidRDefault="007E2352" w:rsidP="007E2352">
      <w:pPr>
        <w:pStyle w:val="BodyText"/>
      </w:pPr>
      <w:r w:rsidRPr="008A0812">
        <w:t xml:space="preserve">In addition, a well owned by the Valley District is located at the south end of the SBWRP that is not currently used due to lack of water. </w:t>
      </w:r>
    </w:p>
    <w:p w14:paraId="28DC0FEF" w14:textId="3206EB5E" w:rsidR="00793E47" w:rsidRPr="008A0812" w:rsidRDefault="000D3EB6" w:rsidP="00943358">
      <w:pPr>
        <w:pStyle w:val="BodyText"/>
      </w:pPr>
      <w:r w:rsidRPr="008A0812">
        <w:t xml:space="preserve">The Orange Show Well originally fed a pipeline to the City of Riverside. </w:t>
      </w:r>
      <w:r w:rsidR="00793E47" w:rsidRPr="008A0812">
        <w:t>After the groundwater table declined, groundwater from these wells was used for non-potable purposes</w:t>
      </w:r>
      <w:r w:rsidR="00C61F51" w:rsidRPr="008A0812">
        <w:t xml:space="preserve">. </w:t>
      </w:r>
      <w:r w:rsidR="00793E47" w:rsidRPr="008A0812">
        <w:t xml:space="preserve">Prior to the closure of the </w:t>
      </w:r>
      <w:r w:rsidR="0023394E" w:rsidRPr="008A0812">
        <w:t xml:space="preserve">adjacent </w:t>
      </w:r>
      <w:r w:rsidR="00943358" w:rsidRPr="008A0812">
        <w:t xml:space="preserve">golf course to the </w:t>
      </w:r>
      <w:r w:rsidR="00793E47" w:rsidRPr="008A0812">
        <w:t>southwest, the groundwater was used for golf course irrigation.</w:t>
      </w:r>
      <w:r w:rsidR="00C61F51" w:rsidRPr="008A0812">
        <w:t xml:space="preserve"> Currently the groundwater is used for in-plant use and Caltrans irrigation. </w:t>
      </w:r>
      <w:r w:rsidR="00793E47" w:rsidRPr="008A0812">
        <w:t xml:space="preserve">The Orange Show and Chandler wells </w:t>
      </w:r>
      <w:r w:rsidR="00C61F51" w:rsidRPr="008A0812">
        <w:t xml:space="preserve">pump to the </w:t>
      </w:r>
      <w:r w:rsidR="008E5481" w:rsidRPr="008A0812">
        <w:t xml:space="preserve">groundwater </w:t>
      </w:r>
      <w:r w:rsidR="00C61F51" w:rsidRPr="008A0812">
        <w:t xml:space="preserve">storage tank. The Century Well pumps straight into the plant system (not into the storage tank). </w:t>
      </w:r>
    </w:p>
    <w:p w14:paraId="29FDB59B" w14:textId="625CD7D4" w:rsidR="00C61F51" w:rsidRPr="008A0812" w:rsidRDefault="008E2E41" w:rsidP="00C61F51">
      <w:pPr>
        <w:pStyle w:val="BodyText"/>
      </w:pPr>
      <w:r w:rsidRPr="008A0812">
        <w:t xml:space="preserve">Groundwater was observed as shallow as 21 feet below ground surface (bgs) </w:t>
      </w:r>
      <w:r w:rsidR="008E5481" w:rsidRPr="008A0812">
        <w:t xml:space="preserve">in 1999 </w:t>
      </w:r>
      <w:r w:rsidRPr="008A0812">
        <w:t>and as deep as 121.5 feet bgs</w:t>
      </w:r>
      <w:r w:rsidR="008E5481" w:rsidRPr="008A0812">
        <w:t xml:space="preserve"> in 2017</w:t>
      </w:r>
      <w:r w:rsidRPr="008A0812">
        <w:t xml:space="preserve">. Observed </w:t>
      </w:r>
      <w:r w:rsidR="00C61F51" w:rsidRPr="008A0812">
        <w:t>ground</w:t>
      </w:r>
      <w:r w:rsidR="007E2352" w:rsidRPr="008A0812">
        <w:t>water</w:t>
      </w:r>
      <w:r w:rsidR="00C61F51" w:rsidRPr="008A0812">
        <w:t xml:space="preserve"> levels for each of the wells recorded during their completion </w:t>
      </w:r>
      <w:r w:rsidRPr="008A0812">
        <w:t xml:space="preserve">in the 1990s </w:t>
      </w:r>
      <w:r w:rsidR="00C61F51" w:rsidRPr="008A0812">
        <w:t xml:space="preserve">and during recent observations in 2017 </w:t>
      </w:r>
      <w:r w:rsidRPr="008A0812">
        <w:t>are</w:t>
      </w:r>
      <w:r w:rsidR="00C61F51" w:rsidRPr="008A0812">
        <w:t xml:space="preserve"> documented </w:t>
      </w:r>
      <w:r w:rsidRPr="008A0812">
        <w:t xml:space="preserve">in </w:t>
      </w:r>
      <w:r w:rsidRPr="008A0812">
        <w:fldChar w:fldCharType="begin"/>
      </w:r>
      <w:r w:rsidRPr="008A0812">
        <w:instrText xml:space="preserve"> REF _Ref36335670 \h </w:instrText>
      </w:r>
      <w:r w:rsidR="008A0812">
        <w:instrText xml:space="preserve"> \* MERGEFORMAT </w:instrText>
      </w:r>
      <w:r w:rsidRPr="008A0812">
        <w:fldChar w:fldCharType="separate"/>
      </w:r>
      <w:r w:rsidR="00AA68F8" w:rsidRPr="008A0812">
        <w:t xml:space="preserve">Table </w:t>
      </w:r>
      <w:r w:rsidR="00AA68F8">
        <w:rPr>
          <w:noProof/>
        </w:rPr>
        <w:t>5</w:t>
      </w:r>
      <w:r w:rsidR="00AA68F8" w:rsidRPr="008A0812">
        <w:rPr>
          <w:noProof/>
        </w:rPr>
        <w:noBreakHyphen/>
      </w:r>
      <w:r w:rsidR="00AA68F8">
        <w:rPr>
          <w:noProof/>
        </w:rPr>
        <w:t>3</w:t>
      </w:r>
      <w:r w:rsidRPr="008A0812">
        <w:fldChar w:fldCharType="end"/>
      </w:r>
      <w:r w:rsidR="00C61F51" w:rsidRPr="008A0812">
        <w:t>.</w:t>
      </w:r>
    </w:p>
    <w:p w14:paraId="5D737225" w14:textId="01D8AF11" w:rsidR="00C61F51" w:rsidRPr="008A0812" w:rsidRDefault="00C61F51" w:rsidP="00C61F51">
      <w:pPr>
        <w:pStyle w:val="TableHeading"/>
      </w:pPr>
      <w:bookmarkStart w:id="330" w:name="_Ref36335670"/>
      <w:bookmarkStart w:id="331" w:name="_Toc36414061"/>
      <w:bookmarkStart w:id="332" w:name="_Toc41684756"/>
      <w:r w:rsidRPr="008A0812">
        <w:t xml:space="preserve">Table </w:t>
      </w:r>
      <w:r>
        <w:fldChar w:fldCharType="begin"/>
      </w:r>
      <w:r>
        <w:instrText>STYLEREF 1 \s</w:instrText>
      </w:r>
      <w:r>
        <w:fldChar w:fldCharType="separate"/>
      </w:r>
      <w:r w:rsidR="00AA68F8">
        <w:rPr>
          <w:noProof/>
        </w:rPr>
        <w:t>5</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330"/>
      <w:r w:rsidRPr="008A0812">
        <w:t>: Observed Groundwater Levels</w:t>
      </w:r>
      <w:bookmarkEnd w:id="331"/>
      <w:bookmarkEnd w:id="332"/>
      <w:r w:rsidRPr="008A0812">
        <w:t xml:space="preserve"> </w:t>
      </w:r>
    </w:p>
    <w:tbl>
      <w:tblPr>
        <w:tblW w:w="74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6"/>
        <w:gridCol w:w="1866"/>
        <w:gridCol w:w="1866"/>
        <w:gridCol w:w="1866"/>
      </w:tblGrid>
      <w:tr w:rsidR="008E2E41" w:rsidRPr="008A0812" w14:paraId="26B916B1" w14:textId="77777777" w:rsidTr="008E2E41">
        <w:trPr>
          <w:jc w:val="center"/>
        </w:trPr>
        <w:tc>
          <w:tcPr>
            <w:tcW w:w="1866" w:type="dxa"/>
            <w:tcBorders>
              <w:top w:val="single" w:sz="6" w:space="0" w:color="auto"/>
              <w:left w:val="single" w:sz="6" w:space="0" w:color="auto"/>
              <w:bottom w:val="single" w:sz="6" w:space="0" w:color="auto"/>
              <w:right w:val="single" w:sz="6" w:space="0" w:color="auto"/>
            </w:tcBorders>
            <w:shd w:val="clear" w:color="auto" w:fill="BFBFBF"/>
            <w:vAlign w:val="bottom"/>
          </w:tcPr>
          <w:p w14:paraId="3CBA0EB2" w14:textId="77777777" w:rsidR="008E2E41" w:rsidRPr="008A0812" w:rsidRDefault="008E2E41" w:rsidP="00BA765B">
            <w:pPr>
              <w:keepNext/>
              <w:overflowPunct/>
              <w:autoSpaceDE/>
              <w:autoSpaceDN/>
              <w:adjustRightInd/>
              <w:jc w:val="center"/>
              <w:rPr>
                <w:rFonts w:cs="Segoe UI"/>
                <w:b/>
                <w:bCs/>
              </w:rPr>
            </w:pPr>
          </w:p>
        </w:tc>
        <w:tc>
          <w:tcPr>
            <w:tcW w:w="3732" w:type="dxa"/>
            <w:gridSpan w:val="2"/>
            <w:tcBorders>
              <w:top w:val="single" w:sz="6" w:space="0" w:color="auto"/>
              <w:left w:val="nil"/>
              <w:bottom w:val="single" w:sz="6" w:space="0" w:color="auto"/>
              <w:right w:val="single" w:sz="6" w:space="0" w:color="auto"/>
            </w:tcBorders>
            <w:shd w:val="clear" w:color="auto" w:fill="BFBFBF"/>
          </w:tcPr>
          <w:p w14:paraId="45251B84" w14:textId="55EA47ED" w:rsidR="008E2E41" w:rsidRPr="008A0812" w:rsidRDefault="008E2E41" w:rsidP="00BA765B">
            <w:pPr>
              <w:keepNext/>
              <w:overflowPunct/>
              <w:autoSpaceDE/>
              <w:autoSpaceDN/>
              <w:adjustRightInd/>
              <w:jc w:val="center"/>
              <w:rPr>
                <w:rFonts w:asciiTheme="minorHAnsi" w:hAnsiTheme="minorHAnsi" w:cs="Segoe UI"/>
                <w:b/>
                <w:bCs/>
              </w:rPr>
            </w:pPr>
            <w:r w:rsidRPr="008A0812">
              <w:rPr>
                <w:rFonts w:asciiTheme="minorHAnsi" w:hAnsiTheme="minorHAnsi" w:cs="Segoe UI"/>
                <w:b/>
                <w:bCs/>
              </w:rPr>
              <w:t>Well Completion Report Data</w:t>
            </w:r>
          </w:p>
        </w:tc>
        <w:tc>
          <w:tcPr>
            <w:tcW w:w="1866" w:type="dxa"/>
            <w:tcBorders>
              <w:top w:val="single" w:sz="6" w:space="0" w:color="auto"/>
              <w:left w:val="nil"/>
              <w:bottom w:val="single" w:sz="6" w:space="0" w:color="auto"/>
              <w:right w:val="single" w:sz="6" w:space="0" w:color="auto"/>
            </w:tcBorders>
            <w:shd w:val="clear" w:color="auto" w:fill="BFBFBF"/>
            <w:vAlign w:val="bottom"/>
          </w:tcPr>
          <w:p w14:paraId="5C129896" w14:textId="781522CF" w:rsidR="008E2E41" w:rsidRPr="008A0812" w:rsidRDefault="008E2E41" w:rsidP="00BA765B">
            <w:pPr>
              <w:keepNext/>
              <w:overflowPunct/>
              <w:autoSpaceDE/>
              <w:autoSpaceDN/>
              <w:adjustRightInd/>
              <w:jc w:val="center"/>
              <w:rPr>
                <w:rFonts w:asciiTheme="minorHAnsi" w:hAnsiTheme="minorHAnsi" w:cs="Segoe UI"/>
                <w:b/>
                <w:bCs/>
              </w:rPr>
            </w:pPr>
            <w:r w:rsidRPr="008A0812">
              <w:rPr>
                <w:rFonts w:asciiTheme="minorHAnsi" w:hAnsiTheme="minorHAnsi" w:cs="Segoe UI"/>
                <w:b/>
                <w:bCs/>
              </w:rPr>
              <w:t>Recent Soundings</w:t>
            </w:r>
          </w:p>
        </w:tc>
      </w:tr>
      <w:tr w:rsidR="008E2E41" w:rsidRPr="008A0812" w14:paraId="10CCE03D" w14:textId="77777777" w:rsidTr="008E2E41">
        <w:trPr>
          <w:jc w:val="center"/>
        </w:trPr>
        <w:tc>
          <w:tcPr>
            <w:tcW w:w="1866"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30EED354" w14:textId="7F1344DC" w:rsidR="008E2E41" w:rsidRPr="008A0812" w:rsidRDefault="008E2E41" w:rsidP="008E2E41">
            <w:pPr>
              <w:keepNext/>
              <w:overflowPunct/>
              <w:autoSpaceDE/>
              <w:autoSpaceDN/>
              <w:adjustRightInd/>
              <w:jc w:val="center"/>
              <w:rPr>
                <w:rFonts w:ascii="Segoe UI" w:hAnsi="Segoe UI" w:cs="Segoe UI"/>
                <w:sz w:val="18"/>
                <w:szCs w:val="18"/>
              </w:rPr>
            </w:pPr>
            <w:r w:rsidRPr="008A0812">
              <w:rPr>
                <w:rFonts w:cs="Segoe UI"/>
                <w:b/>
                <w:bCs/>
              </w:rPr>
              <w:t>Well</w:t>
            </w:r>
            <w:r w:rsidRPr="008A0812">
              <w:rPr>
                <w:rFonts w:cs="Segoe UI"/>
              </w:rPr>
              <w:t> </w:t>
            </w:r>
          </w:p>
        </w:tc>
        <w:tc>
          <w:tcPr>
            <w:tcW w:w="1866" w:type="dxa"/>
            <w:tcBorders>
              <w:top w:val="single" w:sz="6" w:space="0" w:color="auto"/>
              <w:left w:val="nil"/>
              <w:bottom w:val="single" w:sz="6" w:space="0" w:color="auto"/>
              <w:right w:val="single" w:sz="6" w:space="0" w:color="auto"/>
            </w:tcBorders>
            <w:shd w:val="clear" w:color="auto" w:fill="BFBFBF"/>
            <w:vAlign w:val="bottom"/>
          </w:tcPr>
          <w:p w14:paraId="649277F2" w14:textId="785371FF" w:rsidR="008E2E41" w:rsidRPr="008A0812" w:rsidRDefault="008E2E41" w:rsidP="008E2E41">
            <w:pPr>
              <w:keepNext/>
              <w:overflowPunct/>
              <w:autoSpaceDE/>
              <w:autoSpaceDN/>
              <w:adjustRightInd/>
              <w:jc w:val="center"/>
              <w:rPr>
                <w:rFonts w:asciiTheme="minorHAnsi" w:hAnsiTheme="minorHAnsi" w:cs="Segoe UI"/>
                <w:b/>
                <w:bCs/>
              </w:rPr>
            </w:pPr>
            <w:r w:rsidRPr="008A0812">
              <w:rPr>
                <w:rFonts w:asciiTheme="minorHAnsi" w:hAnsiTheme="minorHAnsi" w:cs="Segoe UI"/>
                <w:b/>
                <w:bCs/>
              </w:rPr>
              <w:t>09/07/1993</w:t>
            </w:r>
          </w:p>
        </w:tc>
        <w:tc>
          <w:tcPr>
            <w:tcW w:w="1866" w:type="dxa"/>
            <w:tcBorders>
              <w:top w:val="single" w:sz="6" w:space="0" w:color="auto"/>
              <w:left w:val="single" w:sz="6" w:space="0" w:color="auto"/>
              <w:bottom w:val="single" w:sz="6" w:space="0" w:color="auto"/>
              <w:right w:val="single" w:sz="6" w:space="0" w:color="auto"/>
            </w:tcBorders>
            <w:shd w:val="clear" w:color="auto" w:fill="BFBFBF"/>
            <w:vAlign w:val="bottom"/>
          </w:tcPr>
          <w:p w14:paraId="61EFCA80" w14:textId="7F2C6102" w:rsidR="008E2E41" w:rsidRPr="008A0812" w:rsidRDefault="008E2E41" w:rsidP="008E2E41">
            <w:pPr>
              <w:keepNext/>
              <w:overflowPunct/>
              <w:autoSpaceDE/>
              <w:autoSpaceDN/>
              <w:adjustRightInd/>
              <w:jc w:val="center"/>
              <w:rPr>
                <w:rFonts w:asciiTheme="minorHAnsi" w:hAnsiTheme="minorHAnsi" w:cs="Segoe UI"/>
                <w:b/>
                <w:bCs/>
              </w:rPr>
            </w:pPr>
            <w:r w:rsidRPr="008A0812">
              <w:rPr>
                <w:rFonts w:asciiTheme="minorHAnsi" w:hAnsiTheme="minorHAnsi" w:cs="Segoe UI"/>
                <w:b/>
                <w:bCs/>
              </w:rPr>
              <w:t>03/05/1999</w:t>
            </w:r>
          </w:p>
        </w:tc>
        <w:tc>
          <w:tcPr>
            <w:tcW w:w="1866" w:type="dxa"/>
            <w:tcBorders>
              <w:top w:val="single" w:sz="6" w:space="0" w:color="auto"/>
              <w:left w:val="nil"/>
              <w:bottom w:val="single" w:sz="6" w:space="0" w:color="auto"/>
              <w:right w:val="single" w:sz="6" w:space="0" w:color="auto"/>
            </w:tcBorders>
            <w:shd w:val="clear" w:color="auto" w:fill="BFBFBF"/>
            <w:vAlign w:val="bottom"/>
          </w:tcPr>
          <w:p w14:paraId="7B2CD79B" w14:textId="633DAD0B" w:rsidR="008E2E41" w:rsidRPr="008A0812" w:rsidRDefault="008E2E41" w:rsidP="008E2E41">
            <w:pPr>
              <w:keepNext/>
              <w:overflowPunct/>
              <w:autoSpaceDE/>
              <w:autoSpaceDN/>
              <w:adjustRightInd/>
              <w:jc w:val="center"/>
              <w:rPr>
                <w:rFonts w:asciiTheme="minorHAnsi" w:hAnsiTheme="minorHAnsi" w:cs="Segoe UI"/>
                <w:b/>
                <w:bCs/>
              </w:rPr>
            </w:pPr>
            <w:r w:rsidRPr="008A0812">
              <w:rPr>
                <w:rFonts w:asciiTheme="minorHAnsi" w:hAnsiTheme="minorHAnsi" w:cs="Segoe UI"/>
                <w:b/>
                <w:bCs/>
              </w:rPr>
              <w:t>04/18/2017</w:t>
            </w:r>
          </w:p>
        </w:tc>
      </w:tr>
      <w:tr w:rsidR="008E2E41" w:rsidRPr="008A0812" w14:paraId="7E6D3F67" w14:textId="77777777" w:rsidTr="008E2E41">
        <w:trPr>
          <w:jc w:val="center"/>
        </w:trPr>
        <w:tc>
          <w:tcPr>
            <w:tcW w:w="1866" w:type="dxa"/>
            <w:tcBorders>
              <w:top w:val="nil"/>
              <w:left w:val="single" w:sz="6" w:space="0" w:color="auto"/>
              <w:bottom w:val="single" w:sz="6" w:space="0" w:color="auto"/>
              <w:right w:val="single" w:sz="6" w:space="0" w:color="auto"/>
            </w:tcBorders>
            <w:shd w:val="clear" w:color="auto" w:fill="auto"/>
            <w:hideMark/>
          </w:tcPr>
          <w:p w14:paraId="1EC339AA" w14:textId="27A2FF2B" w:rsidR="008E2E41" w:rsidRPr="008A0812" w:rsidRDefault="008E2E41" w:rsidP="008E2E41">
            <w:pPr>
              <w:keepNext/>
              <w:overflowPunct/>
              <w:autoSpaceDE/>
              <w:autoSpaceDN/>
              <w:adjustRightInd/>
              <w:jc w:val="center"/>
              <w:rPr>
                <w:rFonts w:ascii="Segoe UI" w:hAnsi="Segoe UI" w:cs="Segoe UI"/>
                <w:sz w:val="18"/>
                <w:szCs w:val="18"/>
              </w:rPr>
            </w:pPr>
            <w:r w:rsidRPr="008A0812">
              <w:rPr>
                <w:rFonts w:cs="Segoe UI"/>
              </w:rPr>
              <w:t>Orange Show </w:t>
            </w:r>
          </w:p>
        </w:tc>
        <w:tc>
          <w:tcPr>
            <w:tcW w:w="1866" w:type="dxa"/>
            <w:tcBorders>
              <w:top w:val="nil"/>
              <w:left w:val="nil"/>
              <w:bottom w:val="single" w:sz="6" w:space="0" w:color="auto"/>
              <w:right w:val="single" w:sz="6" w:space="0" w:color="auto"/>
            </w:tcBorders>
          </w:tcPr>
          <w:p w14:paraId="294928DB" w14:textId="34493D65"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w:t>
            </w:r>
          </w:p>
        </w:tc>
        <w:tc>
          <w:tcPr>
            <w:tcW w:w="1866" w:type="dxa"/>
            <w:tcBorders>
              <w:top w:val="nil"/>
              <w:left w:val="single" w:sz="6" w:space="0" w:color="auto"/>
              <w:bottom w:val="single" w:sz="6" w:space="0" w:color="auto"/>
              <w:right w:val="single" w:sz="6" w:space="0" w:color="auto"/>
            </w:tcBorders>
            <w:shd w:val="clear" w:color="auto" w:fill="auto"/>
          </w:tcPr>
          <w:p w14:paraId="4287ED66" w14:textId="6210603F"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21’ bgs</w:t>
            </w:r>
          </w:p>
        </w:tc>
        <w:tc>
          <w:tcPr>
            <w:tcW w:w="1866" w:type="dxa"/>
            <w:tcBorders>
              <w:top w:val="nil"/>
              <w:left w:val="nil"/>
              <w:bottom w:val="single" w:sz="6" w:space="0" w:color="auto"/>
              <w:right w:val="single" w:sz="6" w:space="0" w:color="auto"/>
            </w:tcBorders>
            <w:shd w:val="clear" w:color="auto" w:fill="auto"/>
            <w:tcMar>
              <w:right w:w="432" w:type="dxa"/>
            </w:tcMar>
          </w:tcPr>
          <w:p w14:paraId="0A4B1BB2" w14:textId="46EBB2B0" w:rsidR="008E2E41" w:rsidRPr="008A0812" w:rsidRDefault="008E2E41" w:rsidP="008E2E41">
            <w:pPr>
              <w:keepNext/>
              <w:overflowPunct/>
              <w:autoSpaceDE/>
              <w:autoSpaceDN/>
              <w:adjustRightInd/>
              <w:jc w:val="right"/>
              <w:rPr>
                <w:rFonts w:asciiTheme="minorHAnsi" w:hAnsiTheme="minorHAnsi" w:cs="Segoe UI"/>
              </w:rPr>
            </w:pPr>
            <w:r w:rsidRPr="008A0812">
              <w:rPr>
                <w:rFonts w:asciiTheme="minorHAnsi" w:hAnsiTheme="minorHAnsi" w:cs="Segoe UI"/>
              </w:rPr>
              <w:t>121.5’ bgs</w:t>
            </w:r>
          </w:p>
        </w:tc>
      </w:tr>
      <w:tr w:rsidR="008E2E41" w:rsidRPr="008A0812" w14:paraId="582D8E63" w14:textId="77777777" w:rsidTr="008E2E41">
        <w:trPr>
          <w:jc w:val="center"/>
        </w:trPr>
        <w:tc>
          <w:tcPr>
            <w:tcW w:w="1866" w:type="dxa"/>
            <w:tcBorders>
              <w:top w:val="nil"/>
              <w:left w:val="single" w:sz="6" w:space="0" w:color="auto"/>
              <w:bottom w:val="single" w:sz="4" w:space="0" w:color="auto"/>
              <w:right w:val="single" w:sz="6" w:space="0" w:color="auto"/>
            </w:tcBorders>
            <w:shd w:val="clear" w:color="auto" w:fill="auto"/>
            <w:hideMark/>
          </w:tcPr>
          <w:p w14:paraId="40263B8B" w14:textId="1F12F4DD" w:rsidR="008E2E41" w:rsidRPr="008A0812" w:rsidRDefault="008E2E41" w:rsidP="008E2E41">
            <w:pPr>
              <w:keepNext/>
              <w:overflowPunct/>
              <w:autoSpaceDE/>
              <w:autoSpaceDN/>
              <w:adjustRightInd/>
              <w:jc w:val="center"/>
              <w:rPr>
                <w:rFonts w:ascii="Segoe UI" w:hAnsi="Segoe UI" w:cs="Segoe UI"/>
                <w:sz w:val="18"/>
                <w:szCs w:val="18"/>
              </w:rPr>
            </w:pPr>
            <w:r w:rsidRPr="008A0812">
              <w:rPr>
                <w:rFonts w:cs="Segoe UI"/>
              </w:rPr>
              <w:t>Chandler </w:t>
            </w:r>
          </w:p>
        </w:tc>
        <w:tc>
          <w:tcPr>
            <w:tcW w:w="1866" w:type="dxa"/>
            <w:tcBorders>
              <w:top w:val="nil"/>
              <w:left w:val="nil"/>
              <w:bottom w:val="single" w:sz="4" w:space="0" w:color="auto"/>
              <w:right w:val="single" w:sz="6" w:space="0" w:color="auto"/>
            </w:tcBorders>
          </w:tcPr>
          <w:p w14:paraId="02B813A6" w14:textId="78C52BF9"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50’ bgs</w:t>
            </w:r>
          </w:p>
        </w:tc>
        <w:tc>
          <w:tcPr>
            <w:tcW w:w="1866" w:type="dxa"/>
            <w:tcBorders>
              <w:top w:val="nil"/>
              <w:left w:val="single" w:sz="6" w:space="0" w:color="auto"/>
              <w:bottom w:val="single" w:sz="4" w:space="0" w:color="auto"/>
              <w:right w:val="single" w:sz="6" w:space="0" w:color="auto"/>
            </w:tcBorders>
            <w:shd w:val="clear" w:color="auto" w:fill="auto"/>
          </w:tcPr>
          <w:p w14:paraId="15C71758" w14:textId="76B11679"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w:t>
            </w:r>
          </w:p>
        </w:tc>
        <w:tc>
          <w:tcPr>
            <w:tcW w:w="1866" w:type="dxa"/>
            <w:tcBorders>
              <w:top w:val="nil"/>
              <w:left w:val="nil"/>
              <w:bottom w:val="single" w:sz="4" w:space="0" w:color="auto"/>
              <w:right w:val="single" w:sz="6" w:space="0" w:color="auto"/>
            </w:tcBorders>
            <w:shd w:val="clear" w:color="auto" w:fill="auto"/>
            <w:tcMar>
              <w:right w:w="432" w:type="dxa"/>
            </w:tcMar>
          </w:tcPr>
          <w:p w14:paraId="0AFBFC26" w14:textId="2DD16D62" w:rsidR="008E2E41" w:rsidRPr="008A0812" w:rsidRDefault="008E2E41" w:rsidP="008E2E41">
            <w:pPr>
              <w:keepNext/>
              <w:overflowPunct/>
              <w:autoSpaceDE/>
              <w:autoSpaceDN/>
              <w:adjustRightInd/>
              <w:jc w:val="right"/>
              <w:rPr>
                <w:rFonts w:asciiTheme="minorHAnsi" w:hAnsiTheme="minorHAnsi" w:cs="Segoe UI"/>
              </w:rPr>
            </w:pPr>
            <w:r w:rsidRPr="008A0812">
              <w:rPr>
                <w:rFonts w:asciiTheme="minorHAnsi" w:hAnsiTheme="minorHAnsi" w:cs="Segoe UI"/>
              </w:rPr>
              <w:t>116.0’ bgs</w:t>
            </w:r>
          </w:p>
        </w:tc>
      </w:tr>
      <w:tr w:rsidR="008E2E41" w:rsidRPr="008A0812" w14:paraId="23403833" w14:textId="77777777" w:rsidTr="008E2E41">
        <w:trPr>
          <w:jc w:val="center"/>
        </w:trPr>
        <w:tc>
          <w:tcPr>
            <w:tcW w:w="1866" w:type="dxa"/>
            <w:tcBorders>
              <w:top w:val="single" w:sz="4" w:space="0" w:color="auto"/>
              <w:left w:val="single" w:sz="6" w:space="0" w:color="auto"/>
              <w:bottom w:val="single" w:sz="6" w:space="0" w:color="auto"/>
              <w:right w:val="single" w:sz="6" w:space="0" w:color="auto"/>
            </w:tcBorders>
            <w:shd w:val="clear" w:color="auto" w:fill="auto"/>
          </w:tcPr>
          <w:p w14:paraId="02FA6E21" w14:textId="1F646106" w:rsidR="008E2E41" w:rsidRPr="008A0812" w:rsidRDefault="008E2E41" w:rsidP="008E2E41">
            <w:pPr>
              <w:keepNext/>
              <w:overflowPunct/>
              <w:autoSpaceDE/>
              <w:autoSpaceDN/>
              <w:adjustRightInd/>
              <w:jc w:val="center"/>
              <w:rPr>
                <w:rFonts w:cs="Segoe UI"/>
              </w:rPr>
            </w:pPr>
            <w:r w:rsidRPr="008A0812">
              <w:rPr>
                <w:rFonts w:cs="Segoe UI"/>
              </w:rPr>
              <w:t>Century</w:t>
            </w:r>
          </w:p>
        </w:tc>
        <w:tc>
          <w:tcPr>
            <w:tcW w:w="1866" w:type="dxa"/>
            <w:tcBorders>
              <w:top w:val="single" w:sz="4" w:space="0" w:color="auto"/>
              <w:left w:val="nil"/>
              <w:bottom w:val="single" w:sz="6" w:space="0" w:color="auto"/>
              <w:right w:val="single" w:sz="6" w:space="0" w:color="auto"/>
            </w:tcBorders>
          </w:tcPr>
          <w:p w14:paraId="43CBFE54" w14:textId="3F34D8F5"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52’ bgs</w:t>
            </w:r>
          </w:p>
        </w:tc>
        <w:tc>
          <w:tcPr>
            <w:tcW w:w="1866" w:type="dxa"/>
            <w:tcBorders>
              <w:top w:val="single" w:sz="4" w:space="0" w:color="auto"/>
              <w:left w:val="single" w:sz="6" w:space="0" w:color="auto"/>
              <w:bottom w:val="single" w:sz="6" w:space="0" w:color="auto"/>
              <w:right w:val="single" w:sz="6" w:space="0" w:color="auto"/>
            </w:tcBorders>
            <w:shd w:val="clear" w:color="auto" w:fill="auto"/>
          </w:tcPr>
          <w:p w14:paraId="5C5F9013" w14:textId="6AD68C29" w:rsidR="008E2E41" w:rsidRPr="008A0812" w:rsidRDefault="008E2E41" w:rsidP="008E2E41">
            <w:pPr>
              <w:keepNext/>
              <w:overflowPunct/>
              <w:autoSpaceDE/>
              <w:autoSpaceDN/>
              <w:adjustRightInd/>
              <w:jc w:val="center"/>
              <w:rPr>
                <w:rFonts w:asciiTheme="minorHAnsi" w:hAnsiTheme="minorHAnsi" w:cs="Segoe UI"/>
              </w:rPr>
            </w:pPr>
            <w:r w:rsidRPr="008A0812">
              <w:rPr>
                <w:rFonts w:asciiTheme="minorHAnsi" w:hAnsiTheme="minorHAnsi" w:cs="Segoe UI"/>
              </w:rPr>
              <w:t>--</w:t>
            </w:r>
          </w:p>
        </w:tc>
        <w:tc>
          <w:tcPr>
            <w:tcW w:w="1866" w:type="dxa"/>
            <w:tcBorders>
              <w:top w:val="single" w:sz="4" w:space="0" w:color="auto"/>
              <w:left w:val="nil"/>
              <w:bottom w:val="single" w:sz="6" w:space="0" w:color="auto"/>
              <w:right w:val="single" w:sz="6" w:space="0" w:color="auto"/>
            </w:tcBorders>
            <w:shd w:val="clear" w:color="auto" w:fill="auto"/>
            <w:tcMar>
              <w:right w:w="432" w:type="dxa"/>
            </w:tcMar>
          </w:tcPr>
          <w:p w14:paraId="49A6AFEE" w14:textId="02166B95" w:rsidR="008E2E41" w:rsidRPr="008A0812" w:rsidRDefault="008E2E41" w:rsidP="008E2E41">
            <w:pPr>
              <w:keepNext/>
              <w:overflowPunct/>
              <w:autoSpaceDE/>
              <w:autoSpaceDN/>
              <w:adjustRightInd/>
              <w:jc w:val="right"/>
              <w:rPr>
                <w:rFonts w:asciiTheme="minorHAnsi" w:hAnsiTheme="minorHAnsi" w:cs="Segoe UI"/>
              </w:rPr>
            </w:pPr>
            <w:r w:rsidRPr="008A0812">
              <w:rPr>
                <w:rFonts w:asciiTheme="minorHAnsi" w:hAnsiTheme="minorHAnsi" w:cs="Segoe UI"/>
              </w:rPr>
              <w:t>116.7’ bgs</w:t>
            </w:r>
          </w:p>
        </w:tc>
      </w:tr>
    </w:tbl>
    <w:p w14:paraId="57CCCA25" w14:textId="17B4A73C" w:rsidR="007E2352" w:rsidRPr="008A0812" w:rsidRDefault="007E2352" w:rsidP="007E2352">
      <w:pPr>
        <w:pStyle w:val="BodyText"/>
        <w:spacing w:before="0"/>
        <w:rPr>
          <w:i/>
          <w:iCs/>
          <w:sz w:val="20"/>
          <w:szCs w:val="20"/>
        </w:rPr>
      </w:pPr>
      <w:r w:rsidRPr="008A0812">
        <w:rPr>
          <w:i/>
          <w:iCs/>
          <w:sz w:val="20"/>
          <w:szCs w:val="20"/>
        </w:rPr>
        <w:tab/>
      </w:r>
      <w:r w:rsidRPr="008A0812">
        <w:rPr>
          <w:i/>
          <w:iCs/>
          <w:sz w:val="20"/>
          <w:szCs w:val="20"/>
        </w:rPr>
        <w:tab/>
      </w:r>
      <w:r w:rsidRPr="008A0812">
        <w:rPr>
          <w:i/>
          <w:iCs/>
          <w:sz w:val="20"/>
          <w:szCs w:val="20"/>
        </w:rPr>
        <w:tab/>
      </w:r>
      <w:r w:rsidRPr="008A0812">
        <w:rPr>
          <w:i/>
          <w:iCs/>
          <w:sz w:val="20"/>
          <w:szCs w:val="20"/>
        </w:rPr>
        <w:tab/>
      </w:r>
      <w:r w:rsidRPr="008A0812">
        <w:rPr>
          <w:i/>
          <w:iCs/>
          <w:sz w:val="20"/>
          <w:szCs w:val="20"/>
        </w:rPr>
        <w:tab/>
      </w:r>
      <w:r w:rsidRPr="008A0812">
        <w:rPr>
          <w:i/>
          <w:iCs/>
          <w:sz w:val="20"/>
          <w:szCs w:val="20"/>
        </w:rPr>
        <w:tab/>
      </w:r>
      <w:r w:rsidRPr="008A0812">
        <w:rPr>
          <w:i/>
          <w:iCs/>
          <w:sz w:val="20"/>
          <w:szCs w:val="20"/>
        </w:rPr>
        <w:tab/>
        <w:t>Source: San Bernardino Municipal Water Department</w:t>
      </w:r>
    </w:p>
    <w:p w14:paraId="7CC38EA6" w14:textId="679525D7" w:rsidR="0023394E" w:rsidRPr="008A0812" w:rsidRDefault="00943358" w:rsidP="00943358">
      <w:pPr>
        <w:pStyle w:val="BodyText"/>
      </w:pPr>
      <w:r w:rsidRPr="008A0812">
        <w:t>The Department of Water Resources Water Data Library maintains data from the 1930s through 2010 from multiple wells on and near the SBWRP site. For the 80 years measured, the data show an overall declining trend in groundwater levels with the steepest declines occurring in the 1960s.</w:t>
      </w:r>
      <w:r w:rsidR="000D3EB6" w:rsidRPr="008A0812">
        <w:t xml:space="preserve"> </w:t>
      </w:r>
      <w:r w:rsidRPr="008A0812">
        <w:t>Data for three wells on the SBWRP site for the 6-year period from the beginning of 2005 to the end of 2010 show the groundwater level continuing to decline</w:t>
      </w:r>
      <w:r w:rsidR="0023394E" w:rsidRPr="008A0812">
        <w:t xml:space="preserve">. </w:t>
      </w:r>
      <w:r w:rsidR="00870806" w:rsidRPr="008A0812">
        <w:fldChar w:fldCharType="begin"/>
      </w:r>
      <w:r w:rsidR="00870806" w:rsidRPr="008A0812">
        <w:instrText xml:space="preserve"> REF _Ref36232821 \h </w:instrText>
      </w:r>
      <w:r w:rsidR="008A0812">
        <w:instrText xml:space="preserve"> \* MERGEFORMAT </w:instrText>
      </w:r>
      <w:r w:rsidR="00870806" w:rsidRPr="008A0812">
        <w:fldChar w:fldCharType="separate"/>
      </w:r>
      <w:r w:rsidR="00AA68F8" w:rsidRPr="008A0812">
        <w:t xml:space="preserve">Figure </w:t>
      </w:r>
      <w:r w:rsidR="00AA68F8">
        <w:rPr>
          <w:noProof/>
        </w:rPr>
        <w:t>5</w:t>
      </w:r>
      <w:r w:rsidR="00AA68F8">
        <w:rPr>
          <w:noProof/>
        </w:rPr>
        <w:noBreakHyphen/>
        <w:t>7</w:t>
      </w:r>
      <w:r w:rsidR="00870806" w:rsidRPr="008A0812">
        <w:fldChar w:fldCharType="end"/>
      </w:r>
      <w:r w:rsidRPr="008A0812">
        <w:t xml:space="preserve"> shows the groundwater level data from one onsite well declining from a depth of approximately 50 feet in 2005 to 100 feet in 2010. </w:t>
      </w:r>
    </w:p>
    <w:p w14:paraId="4736B899" w14:textId="6D7EDA42" w:rsidR="0023394E" w:rsidRPr="008A0812" w:rsidRDefault="0023394E" w:rsidP="0023394E">
      <w:pPr>
        <w:pStyle w:val="BodyText"/>
      </w:pPr>
      <w:r w:rsidRPr="008A0812">
        <w:t>Groundwater depths are approximately 50 to 100 feet b</w:t>
      </w:r>
      <w:r w:rsidR="003E4C64" w:rsidRPr="008A0812">
        <w:t>elow ground surface</w:t>
      </w:r>
      <w:r w:rsidRPr="008A0812">
        <w:t xml:space="preserve"> at the site</w:t>
      </w:r>
      <w:r w:rsidR="008E5481" w:rsidRPr="008A0812">
        <w:t xml:space="preserve">. Thus, </w:t>
      </w:r>
      <w:r w:rsidRPr="008A0812">
        <w:t xml:space="preserve">dewatering during construction of subsurface facilities is not anticipated; however, groundwater levels vary and should be re-evaluated prior to </w:t>
      </w:r>
      <w:r w:rsidR="007E2352" w:rsidRPr="008A0812">
        <w:t xml:space="preserve">design and </w:t>
      </w:r>
      <w:r w:rsidRPr="008A0812">
        <w:t xml:space="preserve">construction. </w:t>
      </w:r>
      <w:r w:rsidR="007E2352" w:rsidRPr="008A0812">
        <w:t xml:space="preserve">Groundwater levels could recover in the future. Groundwater pumping for the onsite will be reduced after the Clean Water Factory is online and the groundwater storage tank is converted to recycled water storage. There was historically a risk of liquefaction as a result of high groundwater. If the groundwater table rises to similar historic levels, re-evaluation of liquefaction potential would also be needed. </w:t>
      </w:r>
    </w:p>
    <w:p w14:paraId="6B02A7F5" w14:textId="02EF24F8" w:rsidR="00870806" w:rsidRPr="008A0812" w:rsidRDefault="00870806" w:rsidP="00AF40CB">
      <w:pPr>
        <w:pStyle w:val="FigureHeading"/>
      </w:pPr>
      <w:bookmarkStart w:id="333" w:name="_Ref36232821"/>
      <w:bookmarkStart w:id="334" w:name="_Toc36414062"/>
      <w:bookmarkStart w:id="335" w:name="_Toc41684702"/>
      <w:r w:rsidRPr="008A0812">
        <w:t xml:space="preserve">Figure </w:t>
      </w:r>
      <w:fldSimple w:instr=" STYLEREF 1 \s ">
        <w:r w:rsidR="00AA68F8">
          <w:rPr>
            <w:noProof/>
          </w:rPr>
          <w:t>5</w:t>
        </w:r>
      </w:fldSimple>
      <w:r w:rsidR="00B233D1">
        <w:noBreakHyphen/>
      </w:r>
      <w:fldSimple w:instr=" SEQ Figure \* ARABIC \s 1 ">
        <w:r w:rsidR="00AA68F8">
          <w:rPr>
            <w:noProof/>
          </w:rPr>
          <w:t>7</w:t>
        </w:r>
      </w:fldSimple>
      <w:bookmarkEnd w:id="333"/>
      <w:r w:rsidRPr="008A0812">
        <w:t>: Water Data Library Wells at SBWRP</w:t>
      </w:r>
      <w:bookmarkEnd w:id="334"/>
      <w:bookmarkEnd w:id="335"/>
    </w:p>
    <w:p w14:paraId="223ECA3D" w14:textId="7912A543" w:rsidR="00943358" w:rsidRPr="008A0812" w:rsidRDefault="00943358" w:rsidP="00E13AFC">
      <w:pPr>
        <w:jc w:val="center"/>
      </w:pPr>
      <w:r>
        <w:rPr>
          <w:noProof/>
        </w:rPr>
        <w:drawing>
          <wp:inline distT="0" distB="0" distL="0" distR="0" wp14:anchorId="5B5AF3F9" wp14:editId="40AB87F5">
            <wp:extent cx="5343525" cy="3589034"/>
            <wp:effectExtent l="0" t="0" r="0" b="0"/>
            <wp:docPr id="791233880" name="Picture 34" descr="C:\Users\jhodgens\AppData\Local\Microsoft\Windows\INetCache\Content.MSO\D31D1F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83">
                      <a:extLst>
                        <a:ext uri="{28A0092B-C50C-407E-A947-70E740481C1C}">
                          <a14:useLocalDpi xmlns:a14="http://schemas.microsoft.com/office/drawing/2010/main" val="0"/>
                        </a:ext>
                      </a:extLst>
                    </a:blip>
                    <a:stretch>
                      <a:fillRect/>
                    </a:stretch>
                  </pic:blipFill>
                  <pic:spPr>
                    <a:xfrm>
                      <a:off x="0" y="0"/>
                      <a:ext cx="5343525" cy="3589034"/>
                    </a:xfrm>
                    <a:prstGeom prst="rect">
                      <a:avLst/>
                    </a:prstGeom>
                  </pic:spPr>
                </pic:pic>
              </a:graphicData>
            </a:graphic>
          </wp:inline>
        </w:drawing>
      </w:r>
    </w:p>
    <w:p w14:paraId="7B336DA1" w14:textId="4D0A4FA2" w:rsidR="004A4D5D" w:rsidRPr="008A0812" w:rsidRDefault="004A4D5D" w:rsidP="00AF40CB">
      <w:pPr>
        <w:pStyle w:val="FigureHeading"/>
      </w:pPr>
      <w:bookmarkStart w:id="336" w:name="_Toc41684703"/>
      <w:r w:rsidRPr="008A0812">
        <w:t xml:space="preserve">Figure </w:t>
      </w:r>
      <w:fldSimple w:instr=" STYLEREF 1 \s ">
        <w:r w:rsidR="00AA68F8">
          <w:rPr>
            <w:noProof/>
          </w:rPr>
          <w:t>5</w:t>
        </w:r>
      </w:fldSimple>
      <w:r w:rsidR="00B233D1">
        <w:noBreakHyphen/>
      </w:r>
      <w:fldSimple w:instr=" SEQ Figure \* ARABIC \s 1 ">
        <w:r w:rsidR="00AA68F8">
          <w:rPr>
            <w:noProof/>
          </w:rPr>
          <w:t>8</w:t>
        </w:r>
      </w:fldSimple>
      <w:r w:rsidRPr="008A0812">
        <w:t>:</w:t>
      </w:r>
      <w:r w:rsidR="003D4E84" w:rsidRPr="008A0812">
        <w:t xml:space="preserve"> </w:t>
      </w:r>
      <w:r w:rsidRPr="008A0812">
        <w:t>Water Data Library Wells at SBWRP</w:t>
      </w:r>
      <w:bookmarkEnd w:id="336"/>
    </w:p>
    <w:p w14:paraId="5345BC34" w14:textId="2FBB9200" w:rsidR="00943358" w:rsidRPr="008A0812" w:rsidRDefault="00943358" w:rsidP="00E13AFC">
      <w:pPr>
        <w:pStyle w:val="BodyText"/>
        <w:jc w:val="center"/>
      </w:pPr>
      <w:r>
        <w:rPr>
          <w:noProof/>
        </w:rPr>
        <w:drawing>
          <wp:inline distT="0" distB="0" distL="0" distR="0" wp14:anchorId="49DCDBF9" wp14:editId="487857C9">
            <wp:extent cx="5298408" cy="3343275"/>
            <wp:effectExtent l="0" t="0" r="0" b="0"/>
            <wp:docPr id="1604197530" name="Picture 35" descr="C:\Users\jhodgens\AppData\Local\Microsoft\Windows\INetCache\Content.MSO\BB657B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84">
                      <a:extLst>
                        <a:ext uri="{28A0092B-C50C-407E-A947-70E740481C1C}">
                          <a14:useLocalDpi xmlns:a14="http://schemas.microsoft.com/office/drawing/2010/main" val="0"/>
                        </a:ext>
                      </a:extLst>
                    </a:blip>
                    <a:stretch>
                      <a:fillRect/>
                    </a:stretch>
                  </pic:blipFill>
                  <pic:spPr>
                    <a:xfrm>
                      <a:off x="0" y="0"/>
                      <a:ext cx="5298408" cy="3343275"/>
                    </a:xfrm>
                    <a:prstGeom prst="rect">
                      <a:avLst/>
                    </a:prstGeom>
                  </pic:spPr>
                </pic:pic>
              </a:graphicData>
            </a:graphic>
          </wp:inline>
        </w:drawing>
      </w:r>
    </w:p>
    <w:p w14:paraId="375D55DF" w14:textId="35D5124B" w:rsidR="00943358" w:rsidRPr="008A0812" w:rsidRDefault="00943358" w:rsidP="00943358">
      <w:pPr>
        <w:overflowPunct/>
        <w:autoSpaceDE/>
        <w:autoSpaceDN/>
        <w:adjustRightInd/>
        <w:ind w:left="360"/>
        <w:jc w:val="center"/>
        <w:rPr>
          <w:rStyle w:val="Hyperlink"/>
          <w:i/>
          <w:iCs/>
          <w:sz w:val="20"/>
          <w:szCs w:val="20"/>
        </w:rPr>
      </w:pPr>
      <w:r w:rsidRPr="008A0812">
        <w:rPr>
          <w:rFonts w:cs="Segoe UI"/>
          <w:i/>
          <w:iCs/>
          <w:sz w:val="20"/>
          <w:szCs w:val="20"/>
        </w:rPr>
        <w:t>Source: </w:t>
      </w:r>
      <w:hyperlink r:id="rId85" w:history="1">
        <w:r w:rsidRPr="008A0812">
          <w:rPr>
            <w:rStyle w:val="Hyperlink"/>
            <w:i/>
            <w:iCs/>
            <w:sz w:val="20"/>
            <w:szCs w:val="20"/>
          </w:rPr>
          <w:t>http://wdl.water.ca.gov/waterdatalibrary/</w:t>
        </w:r>
      </w:hyperlink>
    </w:p>
    <w:p w14:paraId="182D322F" w14:textId="49E5BA03" w:rsidR="00943358" w:rsidRPr="008A0812" w:rsidRDefault="00AB1045" w:rsidP="00AB1045">
      <w:pPr>
        <w:pStyle w:val="Heading2"/>
      </w:pPr>
      <w:bookmarkStart w:id="337" w:name="_Toc41680867"/>
      <w:r w:rsidRPr="008A0812">
        <w:t>Seismicity</w:t>
      </w:r>
      <w:bookmarkEnd w:id="337"/>
    </w:p>
    <w:p w14:paraId="760CEAC1" w14:textId="4A2B9C5D" w:rsidR="00AB1045" w:rsidRPr="008A0812" w:rsidRDefault="00AB1045" w:rsidP="00AB1045">
      <w:pPr>
        <w:pStyle w:val="BodyText"/>
      </w:pPr>
      <w:r w:rsidRPr="008A0812">
        <w:t xml:space="preserve">The SBWRP is in an active seismic area and located about a mile northeast of the mapped San Jacinto fault and in an area with high potential for ground failure due to liquefaction (United States Geological Survey, 1991). The following seismic design factors were obtained from </w:t>
      </w:r>
      <w:hyperlink r:id="rId86" w:history="1">
        <w:r w:rsidRPr="008A0812">
          <w:rPr>
            <w:rStyle w:val="Hyperlink"/>
          </w:rPr>
          <w:t>www.seismicmaps.org</w:t>
        </w:r>
      </w:hyperlink>
      <w:r w:rsidR="00E13AFC" w:rsidRPr="008A0812">
        <w:t>.</w:t>
      </w:r>
    </w:p>
    <w:p w14:paraId="02A5DB24" w14:textId="77777777" w:rsidR="00AB1045" w:rsidRPr="008A0812" w:rsidRDefault="00AB1045" w:rsidP="001B60DD">
      <w:pPr>
        <w:pStyle w:val="Bullet"/>
      </w:pPr>
      <w:r w:rsidRPr="008A0812">
        <w:t xml:space="preserve">Mapped Spectral Response Acceleration for Short Period (Ss) = 2.518 </w:t>
      </w:r>
    </w:p>
    <w:p w14:paraId="0B4F6E39" w14:textId="77777777" w:rsidR="00AB1045" w:rsidRPr="008A0812" w:rsidRDefault="00AB1045" w:rsidP="001B60DD">
      <w:pPr>
        <w:pStyle w:val="Bullet"/>
      </w:pPr>
      <w:r w:rsidRPr="008A0812">
        <w:t xml:space="preserve">Mapped Spectral Response Acceleration for 1-second Period (S1) = 1.154 </w:t>
      </w:r>
    </w:p>
    <w:p w14:paraId="2FC3CA0F" w14:textId="77777777" w:rsidR="00AB1045" w:rsidRPr="008A0812" w:rsidRDefault="00AB1045" w:rsidP="001B60DD">
      <w:pPr>
        <w:pStyle w:val="Bullet"/>
      </w:pPr>
      <w:r w:rsidRPr="008A0812">
        <w:t xml:space="preserve">Design Spectral Response Acceleration for Short Period (SDS) = 1.678 </w:t>
      </w:r>
    </w:p>
    <w:p w14:paraId="6E8D756B" w14:textId="77777777" w:rsidR="00AB1045" w:rsidRPr="008A0812" w:rsidRDefault="00AB1045" w:rsidP="001B60DD">
      <w:pPr>
        <w:pStyle w:val="Bullet"/>
      </w:pPr>
      <w:r w:rsidRPr="008A0812">
        <w:t xml:space="preserve">Design Spectral Response Acceleration for 1-second Period (SD1) = 1.154 </w:t>
      </w:r>
    </w:p>
    <w:p w14:paraId="493A7595" w14:textId="2D9F988B" w:rsidR="00AB1045" w:rsidRPr="008A0812" w:rsidRDefault="00AB1045" w:rsidP="001B60DD">
      <w:pPr>
        <w:pStyle w:val="Bullet"/>
      </w:pPr>
      <w:r w:rsidRPr="008A0812">
        <w:t>Risk Category</w:t>
      </w:r>
      <w:r w:rsidR="001B60DD" w:rsidRPr="008A0812">
        <w:t>:</w:t>
      </w:r>
      <w:r w:rsidRPr="008A0812">
        <w:t xml:space="preserve"> III </w:t>
      </w:r>
    </w:p>
    <w:p w14:paraId="219515C7" w14:textId="5EABE330" w:rsidR="00AB1045" w:rsidRPr="008A0812" w:rsidRDefault="00AB1045" w:rsidP="001B60DD">
      <w:pPr>
        <w:pStyle w:val="Bullet"/>
      </w:pPr>
      <w:r w:rsidRPr="008A0812">
        <w:t>Site</w:t>
      </w:r>
      <w:r w:rsidR="001B60DD" w:rsidRPr="008A0812">
        <w:t>:</w:t>
      </w:r>
      <w:r w:rsidRPr="008A0812">
        <w:t xml:space="preserve"> Class D (to be verified by geotechnical engineer) </w:t>
      </w:r>
    </w:p>
    <w:p w14:paraId="64BDB028" w14:textId="0337885A" w:rsidR="00AB1045" w:rsidRPr="008A0812" w:rsidRDefault="00AB1045" w:rsidP="001B60DD">
      <w:pPr>
        <w:pStyle w:val="Bullet"/>
      </w:pPr>
      <w:r w:rsidRPr="008A0812">
        <w:t>Seismic Design</w:t>
      </w:r>
      <w:r w:rsidR="001B60DD" w:rsidRPr="008A0812">
        <w:t>:</w:t>
      </w:r>
      <w:r w:rsidRPr="008A0812">
        <w:t xml:space="preserve"> Category D </w:t>
      </w:r>
    </w:p>
    <w:p w14:paraId="3E40D2AE" w14:textId="7C1DC390" w:rsidR="00AB1045" w:rsidRPr="008A0812" w:rsidRDefault="00AB1045" w:rsidP="001B60DD">
      <w:pPr>
        <w:pStyle w:val="Bullet"/>
      </w:pPr>
      <w:r w:rsidRPr="008A0812">
        <w:t>Seismic Importance Factor (IP) = 1.5</w:t>
      </w:r>
    </w:p>
    <w:p w14:paraId="5AC559A7" w14:textId="01DEA7D0" w:rsidR="00E13AFC" w:rsidRPr="008A0812" w:rsidRDefault="00E13AFC" w:rsidP="00AB1045">
      <w:pPr>
        <w:pStyle w:val="BodyText"/>
        <w:sectPr w:rsidR="00E13AFC"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r w:rsidRPr="008A0812">
        <w:t>Seismic design factors shall be verified by the geotechnical engineer and considered during pre-design/design of any recommended projects. New structural facilities will be required to be designed in accordance with the California Building Code to withstand the appropriate seismic load and liquefaction potential, as applicable.</w:t>
      </w:r>
    </w:p>
    <w:p w14:paraId="1CE46F57" w14:textId="4CA947EA" w:rsidR="00AB1045" w:rsidRPr="008A0812" w:rsidRDefault="00AB1045" w:rsidP="00AB1045">
      <w:pPr>
        <w:pStyle w:val="Heading1"/>
      </w:pPr>
      <w:bookmarkStart w:id="338" w:name="_Toc41680868"/>
      <w:r w:rsidRPr="008A0812">
        <w:t>Wastewater Characteristics</w:t>
      </w:r>
      <w:bookmarkEnd w:id="338"/>
    </w:p>
    <w:p w14:paraId="43433F3C" w14:textId="1E17C227" w:rsidR="00AB1045" w:rsidRPr="008A0812" w:rsidRDefault="00AB1045" w:rsidP="00AB1045">
      <w:pPr>
        <w:pStyle w:val="Heading2"/>
      </w:pPr>
      <w:bookmarkStart w:id="339" w:name="_Toc41680869"/>
      <w:r w:rsidRPr="008A0812">
        <w:t>Flows and Loads Analysis</w:t>
      </w:r>
      <w:bookmarkEnd w:id="339"/>
    </w:p>
    <w:p w14:paraId="73FDD267" w14:textId="454C7A35" w:rsidR="00E13AFC" w:rsidRPr="008A0812" w:rsidRDefault="00E13AFC" w:rsidP="00E13AFC">
      <w:pPr>
        <w:pStyle w:val="BodyText"/>
      </w:pPr>
      <w:r w:rsidRPr="008A0812">
        <w:t xml:space="preserve">This </w:t>
      </w:r>
      <w:r w:rsidR="00B446C5" w:rsidRPr="008A0812">
        <w:t>S</w:t>
      </w:r>
      <w:r w:rsidRPr="008A0812">
        <w:t xml:space="preserve">ection analyzes historic and current flows and biological loading to the SBWRP and presents the methodology used to estimate the future flows and loads within the planning period. Flows and loads are projected to the year 2040; however, the accuracy of the future estimates declines the farther the projection into the future. </w:t>
      </w:r>
    </w:p>
    <w:p w14:paraId="56AA2324" w14:textId="1969B711" w:rsidR="00AB1045" w:rsidRPr="008A0812" w:rsidRDefault="00AB1045" w:rsidP="00AB1045">
      <w:pPr>
        <w:pStyle w:val="Heading3"/>
      </w:pPr>
      <w:bookmarkStart w:id="340" w:name="_Ref20221270"/>
      <w:bookmarkStart w:id="341" w:name="_Toc41680870"/>
      <w:r w:rsidRPr="008A0812">
        <w:t>SBMWD, EVWD, and Loma Linda Service Areas Population Projections</w:t>
      </w:r>
      <w:bookmarkEnd w:id="340"/>
      <w:bookmarkEnd w:id="341"/>
    </w:p>
    <w:p w14:paraId="76424B78" w14:textId="51654F7D" w:rsidR="00AB1045" w:rsidRPr="008A0812" w:rsidRDefault="00AB1045" w:rsidP="00AB1045">
      <w:pPr>
        <w:pStyle w:val="BodyText"/>
      </w:pPr>
      <w:r w:rsidRPr="008A0812">
        <w:t>The SBWRP currently treats wastewater from the City of San Bernardino, City of Loma Linda, the service area of the EVWD and some areas of unincorporated San Bernardino County. Flow to SBWRP comes from three collection system service areas</w:t>
      </w:r>
      <w:r w:rsidR="005C6D86" w:rsidRPr="008A0812">
        <w:t>:</w:t>
      </w:r>
      <w:r w:rsidRPr="008A0812">
        <w:t xml:space="preserve"> SBMWD, City of Loma Linda and EVWD. Due to the imminent </w:t>
      </w:r>
      <w:r w:rsidR="00C2573E" w:rsidRPr="008A0812">
        <w:t>cessation</w:t>
      </w:r>
      <w:r w:rsidRPr="008A0812">
        <w:t xml:space="preserve"> of EVWD wastewater flow to SBWRP, the three services areas were analyzed separately in order to accurately assess the remaining flow that the plant would receive in the medium term and at buildout. </w:t>
      </w:r>
    </w:p>
    <w:p w14:paraId="4FC5EFB8" w14:textId="47B02D4D" w:rsidR="00AB1045" w:rsidRPr="008A0812" w:rsidRDefault="00AB1045" w:rsidP="00AB1045">
      <w:pPr>
        <w:pStyle w:val="BodyText"/>
      </w:pPr>
      <w:r w:rsidRPr="008A0812">
        <w:t>Multiple sources were collected on the three service areas regarding population growth projections, including the City of San Bernardino Environmental Impact Report, Loma Linda General Plan, Southern California Associat</w:t>
      </w:r>
      <w:r w:rsidR="00B446C5" w:rsidRPr="008A0812">
        <w:t>ion</w:t>
      </w:r>
      <w:r w:rsidRPr="008A0812">
        <w:t xml:space="preserve"> of Governments (SCAG) 2016 Growth Forecast, and the 2015 San Bernardino Valley Municipal Water District Urban Water Management Plan (UWMP). The SCAG growth population model projects growth within the confines of city limits, while the UWMP utilizes the Department of Drinking Water (DWR) population tool to estimate current population and project growth within the service area boundaries. Due to the consistency with SBMWD, City of Loma Linda, and EVWD service area boundaries, and consistency with the Draft SBMWD Sewer Master Plan, the UWMP population projections were selected as the basis for this Master Plan. The growth percentages are present</w:t>
      </w:r>
      <w:r w:rsidR="00E13AFC" w:rsidRPr="008A0812">
        <w:t>ed</w:t>
      </w:r>
      <w:r w:rsidRPr="008A0812">
        <w:t xml:space="preserve"> in </w:t>
      </w:r>
      <w:r w:rsidR="00EE5870" w:rsidRPr="008A0812">
        <w:fldChar w:fldCharType="begin"/>
      </w:r>
      <w:r w:rsidR="00EE5870" w:rsidRPr="008A0812">
        <w:instrText xml:space="preserve"> REF _Ref36232137 \h </w:instrText>
      </w:r>
      <w:r w:rsidR="008A0812">
        <w:instrText xml:space="preserve"> \* MERGEFORMAT </w:instrText>
      </w:r>
      <w:r w:rsidR="00EE5870" w:rsidRPr="008A0812">
        <w:fldChar w:fldCharType="separate"/>
      </w:r>
      <w:r w:rsidR="00AA68F8" w:rsidRPr="008A0812">
        <w:t xml:space="preserve">Table </w:t>
      </w:r>
      <w:r w:rsidR="00AA68F8">
        <w:rPr>
          <w:noProof/>
        </w:rPr>
        <w:t>6</w:t>
      </w:r>
      <w:r w:rsidR="00AA68F8" w:rsidRPr="008A0812">
        <w:rPr>
          <w:noProof/>
        </w:rPr>
        <w:noBreakHyphen/>
      </w:r>
      <w:r w:rsidR="00AA68F8">
        <w:rPr>
          <w:noProof/>
        </w:rPr>
        <w:t>1</w:t>
      </w:r>
      <w:r w:rsidR="00EE5870" w:rsidRPr="008A0812">
        <w:fldChar w:fldCharType="end"/>
      </w:r>
      <w:r w:rsidRPr="008A0812">
        <w:t>.</w:t>
      </w:r>
      <w:r w:rsidRPr="008A0812">
        <w:rPr>
          <w:iCs/>
        </w:rPr>
        <w:t xml:space="preserve"> </w:t>
      </w:r>
    </w:p>
    <w:p w14:paraId="3A8FBAD7" w14:textId="107FDEF0" w:rsidR="00EE5870" w:rsidRPr="008A0812" w:rsidRDefault="00EE5870" w:rsidP="00EE5870">
      <w:pPr>
        <w:pStyle w:val="TableHeading"/>
      </w:pPr>
      <w:bookmarkStart w:id="342" w:name="_Ref36232137"/>
      <w:bookmarkStart w:id="343" w:name="_Toc36414063"/>
      <w:bookmarkStart w:id="344" w:name="_Toc41684757"/>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342"/>
      <w:r w:rsidRPr="008A0812">
        <w:t>: Projected Population Growth for SBMWD, Loma Linda and EVWD</w:t>
      </w:r>
      <w:bookmarkEnd w:id="343"/>
      <w:bookmarkEnd w:id="344"/>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2"/>
        <w:gridCol w:w="2333"/>
        <w:gridCol w:w="2333"/>
        <w:gridCol w:w="2333"/>
      </w:tblGrid>
      <w:tr w:rsidR="00AB1045" w:rsidRPr="008A0812" w14:paraId="5B0D5F65" w14:textId="77777777" w:rsidTr="00AB1045">
        <w:trPr>
          <w:trHeight w:val="255"/>
        </w:trPr>
        <w:tc>
          <w:tcPr>
            <w:tcW w:w="233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6C9AC678" w14:textId="77777777" w:rsidR="00AB1045" w:rsidRPr="008A0812" w:rsidRDefault="00AB1045" w:rsidP="00AB1045">
            <w:pPr>
              <w:jc w:val="center"/>
              <w:rPr>
                <w:b/>
              </w:rPr>
            </w:pPr>
            <w:r w:rsidRPr="008A0812">
              <w:rPr>
                <w:b/>
              </w:rPr>
              <w:t> </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08BCED19" w14:textId="77777777" w:rsidR="00AB1045" w:rsidRPr="008A0812" w:rsidRDefault="00AB1045" w:rsidP="00AB1045">
            <w:pPr>
              <w:jc w:val="center"/>
              <w:rPr>
                <w:b/>
              </w:rPr>
            </w:pPr>
            <w:r w:rsidRPr="008A0812">
              <w:rPr>
                <w:b/>
              </w:rPr>
              <w:t>SBMWD </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52E0832A" w14:textId="357720D2" w:rsidR="00AB1045" w:rsidRPr="008A0812" w:rsidRDefault="00AB1045" w:rsidP="00AB1045">
            <w:pPr>
              <w:jc w:val="center"/>
              <w:rPr>
                <w:b/>
              </w:rPr>
            </w:pPr>
            <w:r w:rsidRPr="008A0812">
              <w:rPr>
                <w:b/>
              </w:rPr>
              <w:t>Loma Linda</w:t>
            </w:r>
            <w:r w:rsidR="000D2D44" w:rsidRPr="008A0812">
              <w:rPr>
                <w:b/>
              </w:rPr>
              <w:t xml:space="preserve"> </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0A14CD1C" w14:textId="5B93CCC1" w:rsidR="00AB1045" w:rsidRPr="008A0812" w:rsidRDefault="00AB1045" w:rsidP="00AB1045">
            <w:pPr>
              <w:jc w:val="center"/>
              <w:rPr>
                <w:b/>
              </w:rPr>
            </w:pPr>
            <w:r w:rsidRPr="008A0812">
              <w:rPr>
                <w:b/>
              </w:rPr>
              <w:t>EVWD</w:t>
            </w:r>
            <w:r w:rsidR="000D2D44" w:rsidRPr="008A0812">
              <w:rPr>
                <w:b/>
              </w:rPr>
              <w:t xml:space="preserve"> </w:t>
            </w:r>
          </w:p>
        </w:tc>
      </w:tr>
      <w:tr w:rsidR="00AB1045" w:rsidRPr="008A0812" w14:paraId="491119D3" w14:textId="77777777" w:rsidTr="00AB1045">
        <w:tc>
          <w:tcPr>
            <w:tcW w:w="2332" w:type="dxa"/>
            <w:tcBorders>
              <w:top w:val="nil"/>
              <w:left w:val="single" w:sz="6" w:space="0" w:color="auto"/>
              <w:bottom w:val="single" w:sz="6" w:space="0" w:color="auto"/>
              <w:right w:val="single" w:sz="6" w:space="0" w:color="auto"/>
            </w:tcBorders>
            <w:shd w:val="clear" w:color="auto" w:fill="auto"/>
            <w:vAlign w:val="center"/>
            <w:hideMark/>
          </w:tcPr>
          <w:p w14:paraId="2B1196AF"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Current - 2020</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5CCE8E1D"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0.7%</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7B2EE6DE"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1.3%</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515BC7E9"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3.8%</w:t>
            </w:r>
            <w:r w:rsidRPr="008A0812">
              <w:rPr>
                <w:rFonts w:cs="Segoe UI"/>
              </w:rPr>
              <w:t> </w:t>
            </w:r>
          </w:p>
        </w:tc>
      </w:tr>
      <w:tr w:rsidR="00AB1045" w:rsidRPr="008A0812" w14:paraId="12EE6BF8" w14:textId="77777777" w:rsidTr="00AB1045">
        <w:tc>
          <w:tcPr>
            <w:tcW w:w="2332" w:type="dxa"/>
            <w:tcBorders>
              <w:top w:val="nil"/>
              <w:left w:val="single" w:sz="6" w:space="0" w:color="auto"/>
              <w:bottom w:val="single" w:sz="6" w:space="0" w:color="auto"/>
              <w:right w:val="single" w:sz="6" w:space="0" w:color="auto"/>
            </w:tcBorders>
            <w:shd w:val="clear" w:color="auto" w:fill="auto"/>
            <w:vAlign w:val="center"/>
            <w:hideMark/>
          </w:tcPr>
          <w:p w14:paraId="301887DF"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2020 - 2025</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3821562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0.7%</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71F2A50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1.3%</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04B0EFDC"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1.0%</w:t>
            </w:r>
            <w:r w:rsidRPr="008A0812">
              <w:rPr>
                <w:rFonts w:cs="Segoe UI"/>
              </w:rPr>
              <w:t> </w:t>
            </w:r>
          </w:p>
        </w:tc>
      </w:tr>
      <w:tr w:rsidR="00AB1045" w:rsidRPr="008A0812" w14:paraId="46099673" w14:textId="77777777" w:rsidTr="00AB1045">
        <w:tc>
          <w:tcPr>
            <w:tcW w:w="2332" w:type="dxa"/>
            <w:tcBorders>
              <w:top w:val="nil"/>
              <w:left w:val="single" w:sz="6" w:space="0" w:color="auto"/>
              <w:bottom w:val="single" w:sz="6" w:space="0" w:color="auto"/>
              <w:right w:val="single" w:sz="6" w:space="0" w:color="auto"/>
            </w:tcBorders>
            <w:shd w:val="clear" w:color="auto" w:fill="auto"/>
            <w:vAlign w:val="center"/>
            <w:hideMark/>
          </w:tcPr>
          <w:p w14:paraId="5FB0C08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2025 - 2030</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1AD757DC"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0.7%</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525251B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1.3%</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3B159533"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0.8%</w:t>
            </w:r>
            <w:r w:rsidRPr="008A0812">
              <w:rPr>
                <w:rFonts w:cs="Segoe UI"/>
              </w:rPr>
              <w:t> </w:t>
            </w:r>
          </w:p>
        </w:tc>
      </w:tr>
      <w:tr w:rsidR="00AB1045" w:rsidRPr="008A0812" w14:paraId="2A354118" w14:textId="77777777" w:rsidTr="00AB1045">
        <w:tc>
          <w:tcPr>
            <w:tcW w:w="2332" w:type="dxa"/>
            <w:tcBorders>
              <w:top w:val="nil"/>
              <w:left w:val="single" w:sz="6" w:space="0" w:color="auto"/>
              <w:bottom w:val="single" w:sz="6" w:space="0" w:color="auto"/>
              <w:right w:val="single" w:sz="6" w:space="0" w:color="auto"/>
            </w:tcBorders>
            <w:shd w:val="clear" w:color="auto" w:fill="auto"/>
            <w:vAlign w:val="center"/>
            <w:hideMark/>
          </w:tcPr>
          <w:p w14:paraId="78DD9A3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2030 - 2035</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6871DAB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0.7%</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72DF8074"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1.3%</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034FDF4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0.8%</w:t>
            </w:r>
            <w:r w:rsidRPr="008A0812">
              <w:rPr>
                <w:rFonts w:cs="Segoe UI"/>
              </w:rPr>
              <w:t> </w:t>
            </w:r>
          </w:p>
        </w:tc>
      </w:tr>
      <w:tr w:rsidR="00AB1045" w:rsidRPr="008A0812" w14:paraId="6D3D9091" w14:textId="77777777" w:rsidTr="00AB1045">
        <w:tc>
          <w:tcPr>
            <w:tcW w:w="2332" w:type="dxa"/>
            <w:tcBorders>
              <w:top w:val="nil"/>
              <w:left w:val="single" w:sz="6" w:space="0" w:color="auto"/>
              <w:bottom w:val="single" w:sz="6" w:space="0" w:color="auto"/>
              <w:right w:val="single" w:sz="6" w:space="0" w:color="auto"/>
            </w:tcBorders>
            <w:shd w:val="clear" w:color="auto" w:fill="auto"/>
            <w:vAlign w:val="center"/>
            <w:hideMark/>
          </w:tcPr>
          <w:p w14:paraId="580F0631"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2035 - 2040</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536D79C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0.7%</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29E61B1E"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1.3%</w:t>
            </w:r>
            <w:r w:rsidRPr="008A0812">
              <w:rPr>
                <w:rFonts w:cs="Segoe UI"/>
              </w:rPr>
              <w:t> </w:t>
            </w:r>
          </w:p>
        </w:tc>
        <w:tc>
          <w:tcPr>
            <w:tcW w:w="2333" w:type="dxa"/>
            <w:tcBorders>
              <w:top w:val="nil"/>
              <w:left w:val="nil"/>
              <w:bottom w:val="single" w:sz="6" w:space="0" w:color="auto"/>
              <w:right w:val="single" w:sz="6" w:space="0" w:color="auto"/>
            </w:tcBorders>
            <w:shd w:val="clear" w:color="auto" w:fill="auto"/>
            <w:vAlign w:val="bottom"/>
            <w:hideMark/>
          </w:tcPr>
          <w:p w14:paraId="7BAB147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0.8%</w:t>
            </w:r>
            <w:r w:rsidRPr="008A0812">
              <w:rPr>
                <w:rFonts w:cs="Segoe UI"/>
              </w:rPr>
              <w:t> </w:t>
            </w:r>
          </w:p>
        </w:tc>
      </w:tr>
    </w:tbl>
    <w:p w14:paraId="12B204AF" w14:textId="7AB81018" w:rsidR="00AB1045" w:rsidRPr="008A0812" w:rsidRDefault="00AB1045" w:rsidP="00AB1045">
      <w:pPr>
        <w:pStyle w:val="BodyText"/>
      </w:pPr>
      <w:r w:rsidRPr="008A0812">
        <w:t xml:space="preserve">The population growth percentages were applied to current population estimates per the response letter dated February 21, 2018 from SBMWD to the Local Agency Formation Commission (LAFCO) for San Bernardino County. Current population estimates by service area are shown in </w:t>
      </w:r>
      <w:r w:rsidR="004A4D5D" w:rsidRPr="008A0812">
        <w:fldChar w:fldCharType="begin"/>
      </w:r>
      <w:r w:rsidR="004A4D5D" w:rsidRPr="008A0812">
        <w:instrText xml:space="preserve"> REF _Ref36233780 \h </w:instrText>
      </w:r>
      <w:r w:rsidR="008A0812">
        <w:instrText xml:space="preserve"> \* MERGEFORMAT </w:instrText>
      </w:r>
      <w:r w:rsidR="004A4D5D" w:rsidRPr="008A0812">
        <w:fldChar w:fldCharType="separate"/>
      </w:r>
      <w:r w:rsidR="00AA68F8" w:rsidRPr="008A0812">
        <w:t xml:space="preserve">Table </w:t>
      </w:r>
      <w:r w:rsidR="00AA68F8">
        <w:rPr>
          <w:noProof/>
        </w:rPr>
        <w:t>6</w:t>
      </w:r>
      <w:r w:rsidR="00AA68F8" w:rsidRPr="008A0812">
        <w:rPr>
          <w:noProof/>
        </w:rPr>
        <w:noBreakHyphen/>
      </w:r>
      <w:r w:rsidR="00AA68F8">
        <w:rPr>
          <w:noProof/>
        </w:rPr>
        <w:t>2</w:t>
      </w:r>
      <w:r w:rsidR="004A4D5D" w:rsidRPr="008A0812">
        <w:fldChar w:fldCharType="end"/>
      </w:r>
      <w:r w:rsidRPr="008A0812">
        <w:t xml:space="preserve">, with projected population through 2040 in 5-year increments. </w:t>
      </w:r>
      <w:r w:rsidR="004A4D5D" w:rsidRPr="008A0812">
        <w:fldChar w:fldCharType="begin"/>
      </w:r>
      <w:r w:rsidR="004A4D5D" w:rsidRPr="008A0812">
        <w:instrText xml:space="preserve"> REF _Ref36233571 \h </w:instrText>
      </w:r>
      <w:r w:rsidR="008A0812">
        <w:instrText xml:space="preserve"> \* MERGEFORMAT </w:instrText>
      </w:r>
      <w:r w:rsidR="004A4D5D" w:rsidRPr="008A0812">
        <w:fldChar w:fldCharType="separate"/>
      </w:r>
      <w:r w:rsidR="00AA68F8" w:rsidRPr="008A0812">
        <w:t xml:space="preserve">Figure </w:t>
      </w:r>
      <w:r w:rsidR="00AA68F8">
        <w:rPr>
          <w:noProof/>
        </w:rPr>
        <w:t>6</w:t>
      </w:r>
      <w:r w:rsidR="00AA68F8">
        <w:rPr>
          <w:noProof/>
        </w:rPr>
        <w:noBreakHyphen/>
        <w:t>1</w:t>
      </w:r>
      <w:r w:rsidR="004A4D5D" w:rsidRPr="008A0812">
        <w:fldChar w:fldCharType="end"/>
      </w:r>
      <w:r w:rsidRPr="008A0812">
        <w:t xml:space="preserve"> depicts the projected populations for the same time period using both </w:t>
      </w:r>
      <w:r w:rsidR="008B5430" w:rsidRPr="008A0812">
        <w:t>the</w:t>
      </w:r>
      <w:r w:rsidRPr="008A0812">
        <w:t xml:space="preserve"> </w:t>
      </w:r>
      <w:r w:rsidR="00EE2962" w:rsidRPr="008A0812">
        <w:t>San Bernardino Valley Municipal Water District</w:t>
      </w:r>
      <w:r w:rsidRPr="008A0812">
        <w:t xml:space="preserve"> UWMP figures and SCAG 2016 figures.</w:t>
      </w:r>
      <w:r w:rsidRPr="008A0812">
        <w:rPr>
          <w:iCs/>
        </w:rPr>
        <w:t xml:space="preserve"> </w:t>
      </w:r>
    </w:p>
    <w:p w14:paraId="4A765447" w14:textId="77777777" w:rsidR="004A4D5D" w:rsidRPr="008A0812" w:rsidRDefault="004A4D5D" w:rsidP="00AB1045"/>
    <w:p w14:paraId="388BF485" w14:textId="1BED6A5B" w:rsidR="004A4D5D" w:rsidRPr="008A0812" w:rsidRDefault="004A4D5D" w:rsidP="00AF40CB">
      <w:pPr>
        <w:pStyle w:val="FigureHeading"/>
      </w:pPr>
      <w:bookmarkStart w:id="345" w:name="_Ref36233571"/>
      <w:bookmarkStart w:id="346" w:name="_Toc36414064"/>
      <w:bookmarkStart w:id="347" w:name="_Toc41684704"/>
      <w:r w:rsidRPr="008A0812">
        <w:t xml:space="preserve">Figure </w:t>
      </w:r>
      <w:fldSimple w:instr=" STYLEREF 1 \s ">
        <w:r w:rsidR="00AA68F8">
          <w:rPr>
            <w:noProof/>
          </w:rPr>
          <w:t>6</w:t>
        </w:r>
      </w:fldSimple>
      <w:r w:rsidR="00B233D1">
        <w:noBreakHyphen/>
      </w:r>
      <w:fldSimple w:instr=" SEQ Figure \* ARABIC \s 1 ">
        <w:r w:rsidR="00AA68F8">
          <w:rPr>
            <w:noProof/>
          </w:rPr>
          <w:t>1</w:t>
        </w:r>
      </w:fldSimple>
      <w:bookmarkEnd w:id="345"/>
      <w:r w:rsidRPr="008A0812">
        <w:t>: SBWRP Population Projections</w:t>
      </w:r>
      <w:bookmarkEnd w:id="346"/>
      <w:bookmarkEnd w:id="347"/>
    </w:p>
    <w:p w14:paraId="4D79C18D" w14:textId="4A44BF93" w:rsidR="00AB1045" w:rsidRPr="008A0812" w:rsidRDefault="004A4D5D" w:rsidP="00AB1045">
      <w:r>
        <w:rPr>
          <w:noProof/>
        </w:rPr>
        <w:drawing>
          <wp:inline distT="0" distB="0" distL="0" distR="0" wp14:anchorId="4C89FE7B" wp14:editId="24041FE6">
            <wp:extent cx="5838824" cy="4243739"/>
            <wp:effectExtent l="0" t="0" r="0" b="4445"/>
            <wp:docPr id="197145741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38824" cy="4243739"/>
                    </a:xfrm>
                    <a:prstGeom prst="rect">
                      <a:avLst/>
                    </a:prstGeom>
                  </pic:spPr>
                </pic:pic>
              </a:graphicData>
            </a:graphic>
          </wp:inline>
        </w:drawing>
      </w:r>
    </w:p>
    <w:p w14:paraId="638209AB" w14:textId="2C05D45D" w:rsidR="004A4D5D" w:rsidRPr="008A0812" w:rsidRDefault="004A4D5D" w:rsidP="004A4D5D">
      <w:pPr>
        <w:pStyle w:val="TableHeading"/>
      </w:pPr>
      <w:bookmarkStart w:id="348" w:name="_Ref36233780"/>
      <w:bookmarkStart w:id="349" w:name="_Toc36414065"/>
      <w:bookmarkStart w:id="350" w:name="_Toc41684758"/>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348"/>
      <w:r w:rsidRPr="008A0812">
        <w:t>: Current and Projected Population of SBWRP Service Area</w:t>
      </w:r>
      <w:bookmarkEnd w:id="349"/>
      <w:bookmarkEnd w:id="350"/>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5"/>
        <w:gridCol w:w="1555"/>
        <w:gridCol w:w="1555"/>
        <w:gridCol w:w="1555"/>
        <w:gridCol w:w="1555"/>
        <w:gridCol w:w="1556"/>
      </w:tblGrid>
      <w:tr w:rsidR="00AB1045" w:rsidRPr="008A0812" w14:paraId="4FE9E145" w14:textId="77777777" w:rsidTr="00AB1045">
        <w:trPr>
          <w:trHeight w:val="525"/>
        </w:trPr>
        <w:tc>
          <w:tcPr>
            <w:tcW w:w="1555"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1C4B6BD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 </w:t>
            </w:r>
          </w:p>
        </w:tc>
        <w:tc>
          <w:tcPr>
            <w:tcW w:w="1555" w:type="dxa"/>
            <w:tcBorders>
              <w:top w:val="single" w:sz="6" w:space="0" w:color="auto"/>
              <w:left w:val="nil"/>
              <w:bottom w:val="single" w:sz="6" w:space="0" w:color="auto"/>
              <w:right w:val="single" w:sz="6" w:space="0" w:color="auto"/>
            </w:tcBorders>
            <w:shd w:val="clear" w:color="auto" w:fill="BFBFBF"/>
            <w:vAlign w:val="bottom"/>
            <w:hideMark/>
          </w:tcPr>
          <w:p w14:paraId="1474797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b/>
                <w:bCs/>
                <w:color w:val="000000"/>
              </w:rPr>
              <w:t>SBMWD</w:t>
            </w:r>
            <w:r w:rsidRPr="008A0812">
              <w:rPr>
                <w:rFonts w:cs="Segoe UI"/>
              </w:rPr>
              <w:t> </w:t>
            </w:r>
          </w:p>
        </w:tc>
        <w:tc>
          <w:tcPr>
            <w:tcW w:w="1555" w:type="dxa"/>
            <w:tcBorders>
              <w:top w:val="single" w:sz="6" w:space="0" w:color="auto"/>
              <w:left w:val="nil"/>
              <w:bottom w:val="single" w:sz="6" w:space="0" w:color="auto"/>
              <w:right w:val="single" w:sz="6" w:space="0" w:color="auto"/>
            </w:tcBorders>
            <w:shd w:val="clear" w:color="auto" w:fill="BFBFBF"/>
            <w:vAlign w:val="bottom"/>
            <w:hideMark/>
          </w:tcPr>
          <w:p w14:paraId="536373DC" w14:textId="669EEFA9"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b/>
                <w:bCs/>
                <w:color w:val="000000"/>
              </w:rPr>
              <w:t>Loma Linda</w:t>
            </w:r>
            <w:r w:rsidR="000D2D44" w:rsidRPr="008A0812">
              <w:rPr>
                <w:rFonts w:cs="Segoe UI"/>
                <w:b/>
                <w:bCs/>
                <w:color w:val="000000"/>
              </w:rPr>
              <w:t xml:space="preserve"> </w:t>
            </w:r>
          </w:p>
        </w:tc>
        <w:tc>
          <w:tcPr>
            <w:tcW w:w="1555" w:type="dxa"/>
            <w:tcBorders>
              <w:top w:val="single" w:sz="6" w:space="0" w:color="auto"/>
              <w:left w:val="nil"/>
              <w:bottom w:val="single" w:sz="6" w:space="0" w:color="auto"/>
              <w:right w:val="single" w:sz="6" w:space="0" w:color="auto"/>
            </w:tcBorders>
            <w:shd w:val="clear" w:color="auto" w:fill="BFBFBF"/>
            <w:vAlign w:val="bottom"/>
            <w:hideMark/>
          </w:tcPr>
          <w:p w14:paraId="2960A547" w14:textId="62902DE6"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b/>
                <w:bCs/>
                <w:color w:val="000000"/>
              </w:rPr>
              <w:t>EVWD</w:t>
            </w:r>
            <w:r w:rsidR="000D2D44" w:rsidRPr="008A0812">
              <w:rPr>
                <w:rFonts w:cs="Segoe UI"/>
                <w:b/>
                <w:bCs/>
                <w:color w:val="000000"/>
              </w:rPr>
              <w:t xml:space="preserve"> </w:t>
            </w:r>
          </w:p>
        </w:tc>
        <w:tc>
          <w:tcPr>
            <w:tcW w:w="1555" w:type="dxa"/>
            <w:tcBorders>
              <w:top w:val="single" w:sz="6" w:space="0" w:color="auto"/>
              <w:left w:val="nil"/>
              <w:bottom w:val="single" w:sz="6" w:space="0" w:color="auto"/>
              <w:right w:val="single" w:sz="6" w:space="0" w:color="auto"/>
            </w:tcBorders>
            <w:shd w:val="clear" w:color="auto" w:fill="BFBFBF"/>
            <w:vAlign w:val="bottom"/>
            <w:hideMark/>
          </w:tcPr>
          <w:p w14:paraId="7BB14CE9" w14:textId="2C92D570"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b/>
                <w:bCs/>
                <w:color w:val="000000"/>
              </w:rPr>
              <w:t>Total </w:t>
            </w:r>
            <w:r w:rsidR="00B446C5" w:rsidRPr="008A0812">
              <w:rPr>
                <w:rFonts w:cs="Segoe UI"/>
                <w:b/>
                <w:bCs/>
                <w:color w:val="000000"/>
              </w:rPr>
              <w:t>n</w:t>
            </w:r>
            <w:r w:rsidRPr="008A0812">
              <w:rPr>
                <w:rFonts w:cs="Segoe UI"/>
                <w:b/>
                <w:bCs/>
                <w:color w:val="000000"/>
              </w:rPr>
              <w:t>ot Including EVWD</w:t>
            </w:r>
            <w:r w:rsidRPr="008A0812">
              <w:rPr>
                <w:rFonts w:cs="Segoe UI"/>
              </w:rPr>
              <w:t> </w:t>
            </w:r>
          </w:p>
        </w:tc>
        <w:tc>
          <w:tcPr>
            <w:tcW w:w="1556" w:type="dxa"/>
            <w:tcBorders>
              <w:top w:val="single" w:sz="6" w:space="0" w:color="auto"/>
              <w:left w:val="nil"/>
              <w:bottom w:val="single" w:sz="6" w:space="0" w:color="auto"/>
              <w:right w:val="single" w:sz="6" w:space="0" w:color="auto"/>
            </w:tcBorders>
            <w:shd w:val="clear" w:color="auto" w:fill="BFBFBF"/>
            <w:vAlign w:val="bottom"/>
            <w:hideMark/>
          </w:tcPr>
          <w:p w14:paraId="5BE088B8"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b/>
                <w:bCs/>
                <w:color w:val="000000"/>
              </w:rPr>
              <w:t>Total Including EVWD</w:t>
            </w:r>
            <w:r w:rsidRPr="008A0812">
              <w:rPr>
                <w:rFonts w:cs="Segoe UI"/>
              </w:rPr>
              <w:t> </w:t>
            </w:r>
          </w:p>
        </w:tc>
      </w:tr>
      <w:tr w:rsidR="00AB1045" w:rsidRPr="008A0812" w14:paraId="318A1BD8"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5A73F98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Current</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2E383AE9"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195,000 </w:t>
            </w:r>
          </w:p>
        </w:tc>
        <w:tc>
          <w:tcPr>
            <w:tcW w:w="1555" w:type="dxa"/>
            <w:tcBorders>
              <w:top w:val="nil"/>
              <w:left w:val="nil"/>
              <w:bottom w:val="single" w:sz="6" w:space="0" w:color="auto"/>
              <w:right w:val="single" w:sz="6" w:space="0" w:color="auto"/>
            </w:tcBorders>
            <w:shd w:val="clear" w:color="auto" w:fill="auto"/>
            <w:hideMark/>
          </w:tcPr>
          <w:p w14:paraId="3E38BD1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25,000 </w:t>
            </w:r>
          </w:p>
        </w:tc>
        <w:tc>
          <w:tcPr>
            <w:tcW w:w="1555" w:type="dxa"/>
            <w:tcBorders>
              <w:top w:val="nil"/>
              <w:left w:val="nil"/>
              <w:bottom w:val="single" w:sz="6" w:space="0" w:color="auto"/>
              <w:right w:val="single" w:sz="6" w:space="0" w:color="auto"/>
            </w:tcBorders>
            <w:shd w:val="clear" w:color="auto" w:fill="auto"/>
            <w:hideMark/>
          </w:tcPr>
          <w:p w14:paraId="21BAB09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93,500 </w:t>
            </w:r>
          </w:p>
        </w:tc>
        <w:tc>
          <w:tcPr>
            <w:tcW w:w="1555" w:type="dxa"/>
            <w:tcBorders>
              <w:top w:val="nil"/>
              <w:left w:val="nil"/>
              <w:bottom w:val="single" w:sz="6" w:space="0" w:color="auto"/>
              <w:right w:val="single" w:sz="6" w:space="0" w:color="auto"/>
            </w:tcBorders>
            <w:shd w:val="clear" w:color="auto" w:fill="auto"/>
            <w:hideMark/>
          </w:tcPr>
          <w:p w14:paraId="1214474D"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220,000 </w:t>
            </w:r>
          </w:p>
        </w:tc>
        <w:tc>
          <w:tcPr>
            <w:tcW w:w="1556" w:type="dxa"/>
            <w:tcBorders>
              <w:top w:val="nil"/>
              <w:left w:val="nil"/>
              <w:bottom w:val="single" w:sz="6" w:space="0" w:color="auto"/>
              <w:right w:val="single" w:sz="6" w:space="0" w:color="auto"/>
            </w:tcBorders>
            <w:shd w:val="clear" w:color="auto" w:fill="auto"/>
            <w:hideMark/>
          </w:tcPr>
          <w:p w14:paraId="2F001749"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313,500 </w:t>
            </w:r>
          </w:p>
        </w:tc>
      </w:tr>
      <w:tr w:rsidR="00AB1045" w:rsidRPr="008A0812" w14:paraId="3905D8B8"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1A5AFC8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2020</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2F9645FF"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198,000 </w:t>
            </w:r>
          </w:p>
        </w:tc>
        <w:tc>
          <w:tcPr>
            <w:tcW w:w="1555" w:type="dxa"/>
            <w:tcBorders>
              <w:top w:val="nil"/>
              <w:left w:val="nil"/>
              <w:bottom w:val="single" w:sz="6" w:space="0" w:color="auto"/>
              <w:right w:val="single" w:sz="6" w:space="0" w:color="auto"/>
            </w:tcBorders>
            <w:shd w:val="clear" w:color="auto" w:fill="auto"/>
            <w:hideMark/>
          </w:tcPr>
          <w:p w14:paraId="33080CA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26,000 </w:t>
            </w:r>
          </w:p>
        </w:tc>
        <w:tc>
          <w:tcPr>
            <w:tcW w:w="1555" w:type="dxa"/>
            <w:tcBorders>
              <w:top w:val="nil"/>
              <w:left w:val="nil"/>
              <w:bottom w:val="single" w:sz="6" w:space="0" w:color="auto"/>
              <w:right w:val="single" w:sz="6" w:space="0" w:color="auto"/>
            </w:tcBorders>
            <w:shd w:val="clear" w:color="auto" w:fill="auto"/>
            <w:hideMark/>
          </w:tcPr>
          <w:p w14:paraId="56D9FAF2"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101,000 </w:t>
            </w:r>
          </w:p>
        </w:tc>
        <w:tc>
          <w:tcPr>
            <w:tcW w:w="1555" w:type="dxa"/>
            <w:tcBorders>
              <w:top w:val="nil"/>
              <w:left w:val="nil"/>
              <w:bottom w:val="single" w:sz="6" w:space="0" w:color="auto"/>
              <w:right w:val="single" w:sz="6" w:space="0" w:color="auto"/>
            </w:tcBorders>
            <w:shd w:val="clear" w:color="auto" w:fill="auto"/>
            <w:hideMark/>
          </w:tcPr>
          <w:p w14:paraId="037CEA1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224,000 </w:t>
            </w:r>
          </w:p>
        </w:tc>
        <w:tc>
          <w:tcPr>
            <w:tcW w:w="1556" w:type="dxa"/>
            <w:tcBorders>
              <w:top w:val="nil"/>
              <w:left w:val="nil"/>
              <w:bottom w:val="single" w:sz="6" w:space="0" w:color="auto"/>
              <w:right w:val="single" w:sz="6" w:space="0" w:color="auto"/>
            </w:tcBorders>
            <w:shd w:val="clear" w:color="auto" w:fill="auto"/>
            <w:hideMark/>
          </w:tcPr>
          <w:p w14:paraId="6A2C1A9D"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325,000 </w:t>
            </w:r>
          </w:p>
        </w:tc>
      </w:tr>
      <w:tr w:rsidR="00AB1045" w:rsidRPr="008A0812" w14:paraId="024449C9"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3057E2F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2025</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36AAC239"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205,000 </w:t>
            </w:r>
          </w:p>
        </w:tc>
        <w:tc>
          <w:tcPr>
            <w:tcW w:w="1555" w:type="dxa"/>
            <w:tcBorders>
              <w:top w:val="nil"/>
              <w:left w:val="nil"/>
              <w:bottom w:val="single" w:sz="6" w:space="0" w:color="auto"/>
              <w:right w:val="single" w:sz="6" w:space="0" w:color="auto"/>
            </w:tcBorders>
            <w:shd w:val="clear" w:color="auto" w:fill="auto"/>
            <w:hideMark/>
          </w:tcPr>
          <w:p w14:paraId="4FE9C9C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28,000 </w:t>
            </w:r>
          </w:p>
        </w:tc>
        <w:tc>
          <w:tcPr>
            <w:tcW w:w="1555" w:type="dxa"/>
            <w:tcBorders>
              <w:top w:val="nil"/>
              <w:left w:val="nil"/>
              <w:bottom w:val="single" w:sz="6" w:space="0" w:color="auto"/>
              <w:right w:val="single" w:sz="6" w:space="0" w:color="auto"/>
            </w:tcBorders>
            <w:shd w:val="clear" w:color="auto" w:fill="auto"/>
            <w:hideMark/>
          </w:tcPr>
          <w:p w14:paraId="56EF365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107,000 </w:t>
            </w:r>
          </w:p>
        </w:tc>
        <w:tc>
          <w:tcPr>
            <w:tcW w:w="1555" w:type="dxa"/>
            <w:tcBorders>
              <w:top w:val="nil"/>
              <w:left w:val="nil"/>
              <w:bottom w:val="single" w:sz="6" w:space="0" w:color="auto"/>
              <w:right w:val="single" w:sz="6" w:space="0" w:color="auto"/>
            </w:tcBorders>
            <w:shd w:val="clear" w:color="auto" w:fill="auto"/>
            <w:hideMark/>
          </w:tcPr>
          <w:p w14:paraId="3205111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233,000 </w:t>
            </w:r>
          </w:p>
        </w:tc>
        <w:tc>
          <w:tcPr>
            <w:tcW w:w="1556" w:type="dxa"/>
            <w:tcBorders>
              <w:top w:val="nil"/>
              <w:left w:val="nil"/>
              <w:bottom w:val="single" w:sz="6" w:space="0" w:color="auto"/>
              <w:right w:val="single" w:sz="6" w:space="0" w:color="auto"/>
            </w:tcBorders>
            <w:shd w:val="clear" w:color="auto" w:fill="auto"/>
            <w:hideMark/>
          </w:tcPr>
          <w:p w14:paraId="076D2C2C"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340,000 </w:t>
            </w:r>
          </w:p>
        </w:tc>
      </w:tr>
      <w:tr w:rsidR="00AB1045" w:rsidRPr="008A0812" w14:paraId="4CFE0B21"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10CF6788"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2030</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7FC39922"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212,000 </w:t>
            </w:r>
          </w:p>
        </w:tc>
        <w:tc>
          <w:tcPr>
            <w:tcW w:w="1555" w:type="dxa"/>
            <w:tcBorders>
              <w:top w:val="nil"/>
              <w:left w:val="nil"/>
              <w:bottom w:val="single" w:sz="6" w:space="0" w:color="auto"/>
              <w:right w:val="single" w:sz="6" w:space="0" w:color="auto"/>
            </w:tcBorders>
            <w:shd w:val="clear" w:color="auto" w:fill="auto"/>
            <w:hideMark/>
          </w:tcPr>
          <w:p w14:paraId="0DD69E32"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30,000 </w:t>
            </w:r>
          </w:p>
        </w:tc>
        <w:tc>
          <w:tcPr>
            <w:tcW w:w="1555" w:type="dxa"/>
            <w:tcBorders>
              <w:top w:val="nil"/>
              <w:left w:val="nil"/>
              <w:bottom w:val="single" w:sz="6" w:space="0" w:color="auto"/>
              <w:right w:val="single" w:sz="6" w:space="0" w:color="auto"/>
            </w:tcBorders>
            <w:shd w:val="clear" w:color="auto" w:fill="auto"/>
            <w:hideMark/>
          </w:tcPr>
          <w:p w14:paraId="7D7FACE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112,000 </w:t>
            </w:r>
          </w:p>
        </w:tc>
        <w:tc>
          <w:tcPr>
            <w:tcW w:w="1555" w:type="dxa"/>
            <w:tcBorders>
              <w:top w:val="nil"/>
              <w:left w:val="nil"/>
              <w:bottom w:val="single" w:sz="6" w:space="0" w:color="auto"/>
              <w:right w:val="single" w:sz="6" w:space="0" w:color="auto"/>
            </w:tcBorders>
            <w:shd w:val="clear" w:color="auto" w:fill="auto"/>
            <w:hideMark/>
          </w:tcPr>
          <w:p w14:paraId="26199B8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242,000 </w:t>
            </w:r>
          </w:p>
        </w:tc>
        <w:tc>
          <w:tcPr>
            <w:tcW w:w="1556" w:type="dxa"/>
            <w:tcBorders>
              <w:top w:val="nil"/>
              <w:left w:val="nil"/>
              <w:bottom w:val="single" w:sz="6" w:space="0" w:color="auto"/>
              <w:right w:val="single" w:sz="6" w:space="0" w:color="auto"/>
            </w:tcBorders>
            <w:shd w:val="clear" w:color="auto" w:fill="auto"/>
            <w:hideMark/>
          </w:tcPr>
          <w:p w14:paraId="3F7029BD"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354,000 </w:t>
            </w:r>
          </w:p>
        </w:tc>
      </w:tr>
      <w:tr w:rsidR="00AB1045" w:rsidRPr="008A0812" w14:paraId="65FC9250"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48FDD82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2035</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4D5AA1AB"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220,000 </w:t>
            </w:r>
          </w:p>
        </w:tc>
        <w:tc>
          <w:tcPr>
            <w:tcW w:w="1555" w:type="dxa"/>
            <w:tcBorders>
              <w:top w:val="nil"/>
              <w:left w:val="nil"/>
              <w:bottom w:val="single" w:sz="6" w:space="0" w:color="auto"/>
              <w:right w:val="single" w:sz="6" w:space="0" w:color="auto"/>
            </w:tcBorders>
            <w:shd w:val="clear" w:color="auto" w:fill="auto"/>
            <w:hideMark/>
          </w:tcPr>
          <w:p w14:paraId="28F8F1DE"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32,000 </w:t>
            </w:r>
          </w:p>
        </w:tc>
        <w:tc>
          <w:tcPr>
            <w:tcW w:w="1555" w:type="dxa"/>
            <w:tcBorders>
              <w:top w:val="nil"/>
              <w:left w:val="nil"/>
              <w:bottom w:val="single" w:sz="6" w:space="0" w:color="auto"/>
              <w:right w:val="single" w:sz="6" w:space="0" w:color="auto"/>
            </w:tcBorders>
            <w:shd w:val="clear" w:color="auto" w:fill="auto"/>
            <w:hideMark/>
          </w:tcPr>
          <w:p w14:paraId="716395D5"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117,000 </w:t>
            </w:r>
          </w:p>
        </w:tc>
        <w:tc>
          <w:tcPr>
            <w:tcW w:w="1555" w:type="dxa"/>
            <w:tcBorders>
              <w:top w:val="nil"/>
              <w:left w:val="nil"/>
              <w:bottom w:val="single" w:sz="6" w:space="0" w:color="auto"/>
              <w:right w:val="single" w:sz="6" w:space="0" w:color="auto"/>
            </w:tcBorders>
            <w:shd w:val="clear" w:color="auto" w:fill="auto"/>
            <w:hideMark/>
          </w:tcPr>
          <w:p w14:paraId="1477F176"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252,000 </w:t>
            </w:r>
          </w:p>
        </w:tc>
        <w:tc>
          <w:tcPr>
            <w:tcW w:w="1556" w:type="dxa"/>
            <w:tcBorders>
              <w:top w:val="nil"/>
              <w:left w:val="nil"/>
              <w:bottom w:val="single" w:sz="6" w:space="0" w:color="auto"/>
              <w:right w:val="single" w:sz="6" w:space="0" w:color="auto"/>
            </w:tcBorders>
            <w:shd w:val="clear" w:color="auto" w:fill="auto"/>
            <w:hideMark/>
          </w:tcPr>
          <w:p w14:paraId="5876F0B1"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369,000 </w:t>
            </w:r>
          </w:p>
        </w:tc>
      </w:tr>
      <w:tr w:rsidR="00AB1045" w:rsidRPr="008A0812" w14:paraId="025C2B6E" w14:textId="77777777" w:rsidTr="00AB1045">
        <w:tc>
          <w:tcPr>
            <w:tcW w:w="1555" w:type="dxa"/>
            <w:tcBorders>
              <w:top w:val="nil"/>
              <w:left w:val="single" w:sz="6" w:space="0" w:color="auto"/>
              <w:bottom w:val="single" w:sz="6" w:space="0" w:color="auto"/>
              <w:right w:val="single" w:sz="6" w:space="0" w:color="auto"/>
            </w:tcBorders>
            <w:shd w:val="clear" w:color="auto" w:fill="auto"/>
            <w:vAlign w:val="center"/>
            <w:hideMark/>
          </w:tcPr>
          <w:p w14:paraId="2585E30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color w:val="000000"/>
              </w:rPr>
              <w:t>2040</w:t>
            </w:r>
            <w:r w:rsidRPr="008A0812">
              <w:rPr>
                <w:rFonts w:cs="Segoe UI"/>
              </w:rPr>
              <w:t> </w:t>
            </w:r>
          </w:p>
        </w:tc>
        <w:tc>
          <w:tcPr>
            <w:tcW w:w="1555" w:type="dxa"/>
            <w:tcBorders>
              <w:top w:val="nil"/>
              <w:left w:val="nil"/>
              <w:bottom w:val="single" w:sz="6" w:space="0" w:color="auto"/>
              <w:right w:val="single" w:sz="6" w:space="0" w:color="auto"/>
            </w:tcBorders>
            <w:shd w:val="clear" w:color="auto" w:fill="auto"/>
            <w:hideMark/>
          </w:tcPr>
          <w:p w14:paraId="1C624BF9"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228,000 </w:t>
            </w:r>
          </w:p>
        </w:tc>
        <w:tc>
          <w:tcPr>
            <w:tcW w:w="1555" w:type="dxa"/>
            <w:tcBorders>
              <w:top w:val="nil"/>
              <w:left w:val="nil"/>
              <w:bottom w:val="single" w:sz="6" w:space="0" w:color="auto"/>
              <w:right w:val="single" w:sz="6" w:space="0" w:color="auto"/>
            </w:tcBorders>
            <w:shd w:val="clear" w:color="auto" w:fill="auto"/>
            <w:hideMark/>
          </w:tcPr>
          <w:p w14:paraId="0209423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35,000 </w:t>
            </w:r>
          </w:p>
        </w:tc>
        <w:tc>
          <w:tcPr>
            <w:tcW w:w="1555" w:type="dxa"/>
            <w:tcBorders>
              <w:top w:val="nil"/>
              <w:left w:val="nil"/>
              <w:bottom w:val="single" w:sz="6" w:space="0" w:color="auto"/>
              <w:right w:val="single" w:sz="6" w:space="0" w:color="auto"/>
            </w:tcBorders>
            <w:shd w:val="clear" w:color="auto" w:fill="auto"/>
            <w:hideMark/>
          </w:tcPr>
          <w:p w14:paraId="383CDDCA"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122,000 </w:t>
            </w:r>
          </w:p>
        </w:tc>
        <w:tc>
          <w:tcPr>
            <w:tcW w:w="1555" w:type="dxa"/>
            <w:tcBorders>
              <w:top w:val="nil"/>
              <w:left w:val="nil"/>
              <w:bottom w:val="single" w:sz="6" w:space="0" w:color="auto"/>
              <w:right w:val="single" w:sz="6" w:space="0" w:color="auto"/>
            </w:tcBorders>
            <w:shd w:val="clear" w:color="auto" w:fill="auto"/>
            <w:hideMark/>
          </w:tcPr>
          <w:p w14:paraId="12156AA0"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263,000 </w:t>
            </w:r>
          </w:p>
        </w:tc>
        <w:tc>
          <w:tcPr>
            <w:tcW w:w="1556" w:type="dxa"/>
            <w:tcBorders>
              <w:top w:val="nil"/>
              <w:left w:val="nil"/>
              <w:bottom w:val="single" w:sz="6" w:space="0" w:color="auto"/>
              <w:right w:val="single" w:sz="6" w:space="0" w:color="auto"/>
            </w:tcBorders>
            <w:shd w:val="clear" w:color="auto" w:fill="auto"/>
            <w:hideMark/>
          </w:tcPr>
          <w:p w14:paraId="5AA8373E" w14:textId="77777777" w:rsidR="00AB1045" w:rsidRPr="008A0812" w:rsidRDefault="00AB1045" w:rsidP="00AB1045">
            <w:pPr>
              <w:overflowPunct/>
              <w:autoSpaceDE/>
              <w:autoSpaceDN/>
              <w:adjustRightInd/>
              <w:jc w:val="center"/>
              <w:rPr>
                <w:rFonts w:ascii="Segoe UI" w:hAnsi="Segoe UI" w:cs="Segoe UI"/>
                <w:sz w:val="18"/>
                <w:szCs w:val="18"/>
              </w:rPr>
            </w:pPr>
            <w:r w:rsidRPr="008A0812">
              <w:rPr>
                <w:rFonts w:cs="Segoe UI"/>
              </w:rPr>
              <w:t>385,000 </w:t>
            </w:r>
          </w:p>
        </w:tc>
      </w:tr>
    </w:tbl>
    <w:p w14:paraId="5BC4C2BA" w14:textId="12BDAA5C" w:rsidR="00AB1045" w:rsidRPr="008A0812" w:rsidRDefault="00AB1045" w:rsidP="00AB1045">
      <w:pPr>
        <w:pStyle w:val="BodyText"/>
      </w:pPr>
      <w:r w:rsidRPr="008A0812">
        <w:t>The population projections were used to project influent flow to the SBWRP as described in the next Section.</w:t>
      </w:r>
    </w:p>
    <w:p w14:paraId="113D474B" w14:textId="6CFC58EC" w:rsidR="00AB1045" w:rsidRPr="008A0812" w:rsidRDefault="00DD73F5" w:rsidP="002670B3">
      <w:pPr>
        <w:pStyle w:val="Heading3"/>
      </w:pPr>
      <w:bookmarkStart w:id="351" w:name="_Ref22830605"/>
      <w:bookmarkStart w:id="352" w:name="_Toc41680871"/>
      <w:r w:rsidRPr="008A0812">
        <w:t>SBWRP Current and Projected Flows</w:t>
      </w:r>
      <w:bookmarkEnd w:id="351"/>
      <w:bookmarkEnd w:id="352"/>
    </w:p>
    <w:p w14:paraId="50FF163B" w14:textId="51E7484B" w:rsidR="00AB1045" w:rsidRPr="008A0812" w:rsidRDefault="00AB1045" w:rsidP="00AB1045">
      <w:pPr>
        <w:pStyle w:val="BodyText"/>
      </w:pPr>
      <w:r w:rsidRPr="008A0812">
        <w:t xml:space="preserve">There are three lift stations that pump influent to the </w:t>
      </w:r>
      <w:r w:rsidR="00B446C5" w:rsidRPr="008A0812">
        <w:t>SB</w:t>
      </w:r>
      <w:r w:rsidRPr="008A0812">
        <w:t>WRP Headworks includ</w:t>
      </w:r>
      <w:r w:rsidR="00566E93">
        <w:t>ing the</w:t>
      </w:r>
      <w:r w:rsidRPr="008A0812">
        <w:t xml:space="preserve"> E Street Lift Station, which </w:t>
      </w:r>
      <w:r w:rsidR="00566E93">
        <w:t>conveys</w:t>
      </w:r>
      <w:r w:rsidRPr="008A0812">
        <w:t xml:space="preserve"> flow from Loma Linda and SBMWD, Arrowhead Lift Station</w:t>
      </w:r>
      <w:r w:rsidR="00566E93">
        <w:t>, which</w:t>
      </w:r>
      <w:r w:rsidRPr="008A0812">
        <w:t xml:space="preserve"> conveys flow from SBMWD</w:t>
      </w:r>
      <w:r w:rsidR="00566E93">
        <w:t>,</w:t>
      </w:r>
      <w:r w:rsidRPr="008A0812">
        <w:t xml:space="preserve"> and East </w:t>
      </w:r>
      <w:r w:rsidR="00CC2A20">
        <w:t xml:space="preserve">Influent </w:t>
      </w:r>
      <w:r w:rsidRPr="008A0812">
        <w:t>Lift Station</w:t>
      </w:r>
      <w:r w:rsidR="00566E93">
        <w:t>, which conveys</w:t>
      </w:r>
      <w:r w:rsidRPr="008A0812">
        <w:t xml:space="preserve"> from EVWD and SBMWD. Flow data was provided by SBMWD staff for SBWRP influent and effluent flow in 30-min</w:t>
      </w:r>
      <w:r w:rsidR="00B446C5" w:rsidRPr="008A0812">
        <w:t>ute</w:t>
      </w:r>
      <w:r w:rsidRPr="008A0812">
        <w:t xml:space="preserve"> increments. The total influent flow data was the summation of the three lift station flow meters, E Street, Arrowhead and East. </w:t>
      </w:r>
      <w:r w:rsidR="000D1851" w:rsidRPr="008A0812">
        <w:t xml:space="preserve">Additionally, a fourth gravity sewer from the historic Valley Truck Farm area is not </w:t>
      </w:r>
      <w:r w:rsidR="00CC2A20" w:rsidRPr="008A0812">
        <w:t>metered but</w:t>
      </w:r>
      <w:r w:rsidR="000D1851" w:rsidRPr="008A0812">
        <w:t xml:space="preserve"> is relatively low flow and is counted as part of the SBWRP drain flow. </w:t>
      </w:r>
      <w:r w:rsidRPr="008A0812">
        <w:t xml:space="preserve">There are no other flow meters within the plant that measure total plant flow prior to splitting of primary influent downstream of the headworks. </w:t>
      </w:r>
    </w:p>
    <w:p w14:paraId="00D8D5B1" w14:textId="008AD466" w:rsidR="00AB1045" w:rsidRPr="008A0812" w:rsidRDefault="00AB1045" w:rsidP="00AB1045">
      <w:pPr>
        <w:pStyle w:val="BodyText"/>
      </w:pPr>
      <w:r w:rsidRPr="008A0812">
        <w:t xml:space="preserve">Analysis of influent flow data revealed that data associated with the East </w:t>
      </w:r>
      <w:r w:rsidR="00CC2A20">
        <w:t xml:space="preserve">Influent </w:t>
      </w:r>
      <w:r w:rsidRPr="008A0812">
        <w:t>Lift Station flow meter was erroneous for significant portions of the period analyzed</w:t>
      </w:r>
      <w:r w:rsidR="00A23578" w:rsidRPr="008A0812">
        <w:t xml:space="preserve">. SBMWD staff acknowledged the past issues with East </w:t>
      </w:r>
      <w:r w:rsidR="00CC2A20">
        <w:t xml:space="preserve">Influent </w:t>
      </w:r>
      <w:r w:rsidR="00A23578" w:rsidRPr="008A0812">
        <w:t>Lift Station meter data and confirmed that the meter was subsequently replaced</w:t>
      </w:r>
      <w:r w:rsidR="007A1CDA" w:rsidRPr="008A0812">
        <w:t xml:space="preserve"> in summer of 2019</w:t>
      </w:r>
      <w:r w:rsidR="00A23578" w:rsidRPr="008A0812">
        <w:t xml:space="preserve">. </w:t>
      </w:r>
      <w:r w:rsidRPr="008A0812">
        <w:t xml:space="preserve">SBWRP effluent data was </w:t>
      </w:r>
      <w:r w:rsidR="00A23578" w:rsidRPr="008A0812">
        <w:t xml:space="preserve">therefore </w:t>
      </w:r>
      <w:r w:rsidRPr="008A0812">
        <w:t>analyzed in lieu of influent flow for projection</w:t>
      </w:r>
      <w:r w:rsidR="00E13AFC" w:rsidRPr="008A0812">
        <w:t>s</w:t>
      </w:r>
      <w:r w:rsidRPr="008A0812">
        <w:t xml:space="preserve">. Effluent data is assumed to be </w:t>
      </w:r>
      <w:r w:rsidR="00A23578" w:rsidRPr="008A0812">
        <w:t xml:space="preserve">an accurate </w:t>
      </w:r>
      <w:r w:rsidRPr="008A0812">
        <w:t xml:space="preserve">alternative to influent data </w:t>
      </w:r>
      <w:r w:rsidR="00B446C5" w:rsidRPr="008A0812">
        <w:t>since</w:t>
      </w:r>
      <w:r w:rsidRPr="008A0812">
        <w:t xml:space="preserve"> SBWRP has not utilized flow equalization. </w:t>
      </w:r>
      <w:r w:rsidR="004A4D5D" w:rsidRPr="008A0812">
        <w:fldChar w:fldCharType="begin"/>
      </w:r>
      <w:r w:rsidR="004A4D5D" w:rsidRPr="008A0812">
        <w:instrText xml:space="preserve"> REF _Ref36233604 \h </w:instrText>
      </w:r>
      <w:r w:rsidR="008A0812">
        <w:instrText xml:space="preserve"> \* MERGEFORMAT </w:instrText>
      </w:r>
      <w:r w:rsidR="004A4D5D" w:rsidRPr="008A0812">
        <w:fldChar w:fldCharType="separate"/>
      </w:r>
      <w:r w:rsidR="00AA68F8" w:rsidRPr="008A0812">
        <w:t xml:space="preserve">Figure </w:t>
      </w:r>
      <w:r w:rsidR="00AA68F8">
        <w:rPr>
          <w:noProof/>
        </w:rPr>
        <w:t>6</w:t>
      </w:r>
      <w:r w:rsidR="00AA68F8">
        <w:rPr>
          <w:noProof/>
        </w:rPr>
        <w:noBreakHyphen/>
        <w:t>2</w:t>
      </w:r>
      <w:r w:rsidR="004A4D5D" w:rsidRPr="008A0812">
        <w:fldChar w:fldCharType="end"/>
      </w:r>
      <w:r w:rsidR="008E036D" w:rsidRPr="008A0812">
        <w:t xml:space="preserve"> shows</w:t>
      </w:r>
      <w:r w:rsidR="005D73A5" w:rsidRPr="008A0812">
        <w:t xml:space="preserve"> representative influent flow</w:t>
      </w:r>
      <w:r w:rsidR="00A23578" w:rsidRPr="008A0812">
        <w:t xml:space="preserve"> from 2011 to 2019</w:t>
      </w:r>
      <w:r w:rsidR="008E036D" w:rsidRPr="008A0812">
        <w:t>, utilizing plant effluent flow starting in January 2017 due to erroneous influent data from 2017 to 2019.</w:t>
      </w:r>
    </w:p>
    <w:p w14:paraId="23BBAFB4" w14:textId="4F44F157" w:rsidR="004A4D5D" w:rsidRPr="008A0812" w:rsidRDefault="004A4D5D" w:rsidP="00AF40CB">
      <w:pPr>
        <w:pStyle w:val="FigureHeading"/>
      </w:pPr>
      <w:bookmarkStart w:id="353" w:name="_Ref36233604"/>
      <w:bookmarkStart w:id="354" w:name="_Toc36414066"/>
      <w:bookmarkStart w:id="355" w:name="_Toc41684705"/>
      <w:r w:rsidRPr="008A0812">
        <w:t xml:space="preserve">Figure </w:t>
      </w:r>
      <w:fldSimple w:instr=" STYLEREF 1 \s ">
        <w:r w:rsidR="00AA68F8">
          <w:rPr>
            <w:noProof/>
          </w:rPr>
          <w:t>6</w:t>
        </w:r>
      </w:fldSimple>
      <w:r w:rsidR="00B233D1">
        <w:noBreakHyphen/>
      </w:r>
      <w:fldSimple w:instr=" SEQ Figure \* ARABIC \s 1 ">
        <w:r w:rsidR="00AA68F8">
          <w:rPr>
            <w:noProof/>
          </w:rPr>
          <w:t>2</w:t>
        </w:r>
      </w:fldSimple>
      <w:bookmarkEnd w:id="353"/>
      <w:r w:rsidRPr="008A0812">
        <w:t>: SBWRP Historic Flow</w:t>
      </w:r>
      <w:bookmarkEnd w:id="354"/>
      <w:bookmarkEnd w:id="355"/>
    </w:p>
    <w:p w14:paraId="489FAB93" w14:textId="6E8036BF" w:rsidR="002821CF" w:rsidRPr="008A0812" w:rsidRDefault="005D73A5" w:rsidP="00AB1045">
      <w:pPr>
        <w:pStyle w:val="BodyText"/>
      </w:pPr>
      <w:r>
        <w:rPr>
          <w:noProof/>
        </w:rPr>
        <w:drawing>
          <wp:inline distT="0" distB="0" distL="0" distR="0" wp14:anchorId="6E7841C6" wp14:editId="64146A16">
            <wp:extent cx="6014722" cy="4371582"/>
            <wp:effectExtent l="0" t="0" r="5080" b="0"/>
            <wp:docPr id="11943342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88">
                      <a:extLst>
                        <a:ext uri="{28A0092B-C50C-407E-A947-70E740481C1C}">
                          <a14:useLocalDpi xmlns:a14="http://schemas.microsoft.com/office/drawing/2010/main" val="0"/>
                        </a:ext>
                      </a:extLst>
                    </a:blip>
                    <a:stretch>
                      <a:fillRect/>
                    </a:stretch>
                  </pic:blipFill>
                  <pic:spPr>
                    <a:xfrm>
                      <a:off x="0" y="0"/>
                      <a:ext cx="6014722" cy="4371582"/>
                    </a:xfrm>
                    <a:prstGeom prst="rect">
                      <a:avLst/>
                    </a:prstGeom>
                  </pic:spPr>
                </pic:pic>
              </a:graphicData>
            </a:graphic>
          </wp:inline>
        </w:drawing>
      </w:r>
    </w:p>
    <w:p w14:paraId="05838E46" w14:textId="77777777" w:rsidR="001A0F5C" w:rsidRPr="008A0812" w:rsidRDefault="001A0F5C" w:rsidP="001A0F5C">
      <w:pPr>
        <w:pStyle w:val="BodyText"/>
        <w:spacing w:after="0"/>
        <w:ind w:left="720"/>
        <w:rPr>
          <w:rFonts w:cs="Segoe UI"/>
          <w:sz w:val="20"/>
          <w:szCs w:val="20"/>
        </w:rPr>
      </w:pPr>
      <w:r w:rsidRPr="008A0812">
        <w:rPr>
          <w:rFonts w:cs="Segoe UI"/>
          <w:sz w:val="20"/>
          <w:szCs w:val="20"/>
        </w:rPr>
        <w:t>Notes:</w:t>
      </w:r>
    </w:p>
    <w:p w14:paraId="22F5C7CF" w14:textId="4CF769A9" w:rsidR="001A0F5C" w:rsidRPr="008A0812" w:rsidRDefault="001A0F5C" w:rsidP="00B40B9B">
      <w:pPr>
        <w:pStyle w:val="BodyText"/>
        <w:numPr>
          <w:ilvl w:val="0"/>
          <w:numId w:val="11"/>
        </w:numPr>
        <w:spacing w:before="0" w:after="0"/>
        <w:ind w:left="1483"/>
        <w:rPr>
          <w:rFonts w:cs="Segoe UI"/>
          <w:sz w:val="20"/>
          <w:szCs w:val="20"/>
        </w:rPr>
      </w:pPr>
      <w:r w:rsidRPr="008A0812">
        <w:rPr>
          <w:rFonts w:cs="Segoe UI"/>
          <w:sz w:val="20"/>
          <w:szCs w:val="20"/>
        </w:rPr>
        <w:t>Flow data shown from 6/1/2014 to 12/31/201</w:t>
      </w:r>
      <w:r w:rsidR="007A1CDA" w:rsidRPr="008A0812">
        <w:rPr>
          <w:rFonts w:cs="Segoe UI"/>
          <w:sz w:val="20"/>
          <w:szCs w:val="20"/>
        </w:rPr>
        <w:t>6</w:t>
      </w:r>
      <w:r w:rsidRPr="008A0812">
        <w:rPr>
          <w:rFonts w:cs="Segoe UI"/>
          <w:sz w:val="20"/>
          <w:szCs w:val="20"/>
        </w:rPr>
        <w:t xml:space="preserve"> is average daily influent. Flow data from 1/1/2017 to 7/1/2019 is average daily effluent data.</w:t>
      </w:r>
    </w:p>
    <w:p w14:paraId="73836B6E" w14:textId="66E598B0" w:rsidR="00AB1045" w:rsidRPr="008A0812" w:rsidRDefault="00AB1045" w:rsidP="00AB1045">
      <w:pPr>
        <w:pStyle w:val="BodyText"/>
      </w:pPr>
      <w:r w:rsidRPr="008A0812">
        <w:t xml:space="preserve">In order to separate influent flow provided by the three service areas, Loma Linda and EVWD flows were subtracted from the total SBWRP flow. EVWD was estimated as 6.0 </w:t>
      </w:r>
      <w:r w:rsidR="006C3D4C" w:rsidRPr="008A0812">
        <w:t>mgd</w:t>
      </w:r>
      <w:r w:rsidRPr="008A0812">
        <w:t xml:space="preserve"> based on the sum of the ADWF from the 6th Street and 3rd Street flow meters in the Draft EVWD Sewer Master Plan. Loma Linda influent flow was available in the form of 30-min</w:t>
      </w:r>
      <w:r w:rsidR="00ED6B5B" w:rsidRPr="008A0812">
        <w:t>ute</w:t>
      </w:r>
      <w:r w:rsidRPr="008A0812">
        <w:t xml:space="preserve"> flow data from the North and South meters, which feed directly to the SBWRP. </w:t>
      </w:r>
    </w:p>
    <w:p w14:paraId="57D301B9" w14:textId="237026F5" w:rsidR="006C3D4C" w:rsidRPr="008A0812" w:rsidRDefault="006C3D4C" w:rsidP="006C3D4C">
      <w:pPr>
        <w:pStyle w:val="BodyText"/>
      </w:pPr>
      <w:r w:rsidRPr="008A0812">
        <w:t xml:space="preserve">The SBWRP plant effluent data was analyzed to determine plant peaking factors in relation to ADWF, the results are presented in </w:t>
      </w:r>
      <w:r w:rsidR="004A4D5D" w:rsidRPr="008A0812">
        <w:fldChar w:fldCharType="begin"/>
      </w:r>
      <w:r w:rsidR="004A4D5D" w:rsidRPr="008A0812">
        <w:instrText xml:space="preserve"> REF _Ref36233803 \h </w:instrText>
      </w:r>
      <w:r w:rsidR="008A0812">
        <w:instrText xml:space="preserve"> \* MERGEFORMAT </w:instrText>
      </w:r>
      <w:r w:rsidR="004A4D5D" w:rsidRPr="008A0812">
        <w:fldChar w:fldCharType="separate"/>
      </w:r>
      <w:r w:rsidR="00AA68F8" w:rsidRPr="008A0812">
        <w:t xml:space="preserve">Table </w:t>
      </w:r>
      <w:r w:rsidR="00AA68F8">
        <w:rPr>
          <w:noProof/>
        </w:rPr>
        <w:t>6</w:t>
      </w:r>
      <w:r w:rsidR="00AA68F8" w:rsidRPr="008A0812">
        <w:rPr>
          <w:noProof/>
        </w:rPr>
        <w:noBreakHyphen/>
      </w:r>
      <w:r w:rsidR="00AA68F8">
        <w:rPr>
          <w:noProof/>
        </w:rPr>
        <w:t>3</w:t>
      </w:r>
      <w:r w:rsidR="004A4D5D" w:rsidRPr="008A0812">
        <w:fldChar w:fldCharType="end"/>
      </w:r>
      <w:r w:rsidRPr="008A0812">
        <w:t xml:space="preserve">. </w:t>
      </w:r>
    </w:p>
    <w:p w14:paraId="26F9196F" w14:textId="1F93D5E5" w:rsidR="004A4D5D" w:rsidRPr="008A0812" w:rsidRDefault="004A4D5D" w:rsidP="004A4D5D">
      <w:pPr>
        <w:pStyle w:val="TableHeading"/>
      </w:pPr>
      <w:bookmarkStart w:id="356" w:name="_Ref36233803"/>
      <w:bookmarkStart w:id="357" w:name="_Toc36414067"/>
      <w:bookmarkStart w:id="358" w:name="_Toc41684759"/>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356"/>
      <w:r w:rsidRPr="008A0812">
        <w:t>: SBWRP Historic Influent Flow Peaking Factors and Flow</w:t>
      </w:r>
      <w:bookmarkEnd w:id="357"/>
      <w:bookmarkEnd w:id="358"/>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10"/>
        <w:gridCol w:w="3110"/>
        <w:gridCol w:w="3111"/>
      </w:tblGrid>
      <w:tr w:rsidR="006C3D4C" w:rsidRPr="008A0812" w14:paraId="3329253F" w14:textId="77777777" w:rsidTr="004F4BC7">
        <w:tc>
          <w:tcPr>
            <w:tcW w:w="3110"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7AB90602"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b/>
                <w:bCs/>
              </w:rPr>
              <w:t>Scenario</w:t>
            </w:r>
          </w:p>
        </w:tc>
        <w:tc>
          <w:tcPr>
            <w:tcW w:w="3110" w:type="dxa"/>
            <w:tcBorders>
              <w:top w:val="single" w:sz="6" w:space="0" w:color="auto"/>
              <w:left w:val="nil"/>
              <w:bottom w:val="single" w:sz="6" w:space="0" w:color="auto"/>
              <w:right w:val="single" w:sz="6" w:space="0" w:color="auto"/>
            </w:tcBorders>
            <w:shd w:val="clear" w:color="auto" w:fill="BFBFBF"/>
            <w:vAlign w:val="bottom"/>
            <w:hideMark/>
          </w:tcPr>
          <w:p w14:paraId="27288785" w14:textId="287AEE83"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b/>
                <w:bCs/>
                <w:color w:val="000000"/>
              </w:rPr>
              <w:t>Peaking Factor (xADWF)</w:t>
            </w:r>
          </w:p>
        </w:tc>
        <w:tc>
          <w:tcPr>
            <w:tcW w:w="3111" w:type="dxa"/>
            <w:tcBorders>
              <w:top w:val="single" w:sz="6" w:space="0" w:color="auto"/>
              <w:left w:val="nil"/>
              <w:bottom w:val="single" w:sz="6" w:space="0" w:color="auto"/>
              <w:right w:val="single" w:sz="6" w:space="0" w:color="auto"/>
            </w:tcBorders>
            <w:shd w:val="clear" w:color="auto" w:fill="BFBFBF"/>
            <w:hideMark/>
          </w:tcPr>
          <w:p w14:paraId="58E3B87B" w14:textId="3CCD357D"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b/>
                <w:bCs/>
                <w:color w:val="000000"/>
              </w:rPr>
              <w:t>Historic Flows (mgd)</w:t>
            </w:r>
          </w:p>
        </w:tc>
      </w:tr>
      <w:tr w:rsidR="006C3D4C" w:rsidRPr="008A0812" w14:paraId="7652C657" w14:textId="77777777" w:rsidTr="004F4BC7">
        <w:tc>
          <w:tcPr>
            <w:tcW w:w="3110" w:type="dxa"/>
            <w:tcBorders>
              <w:top w:val="nil"/>
              <w:left w:val="single" w:sz="6" w:space="0" w:color="auto"/>
              <w:bottom w:val="single" w:sz="6" w:space="0" w:color="auto"/>
              <w:right w:val="single" w:sz="6" w:space="0" w:color="auto"/>
            </w:tcBorders>
            <w:shd w:val="clear" w:color="auto" w:fill="auto"/>
            <w:vAlign w:val="bottom"/>
            <w:hideMark/>
          </w:tcPr>
          <w:p w14:paraId="4C869E34"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Average Dry Weather</w:t>
            </w:r>
          </w:p>
        </w:tc>
        <w:tc>
          <w:tcPr>
            <w:tcW w:w="3110" w:type="dxa"/>
            <w:tcBorders>
              <w:top w:val="nil"/>
              <w:left w:val="nil"/>
              <w:bottom w:val="single" w:sz="6" w:space="0" w:color="auto"/>
              <w:right w:val="single" w:sz="6" w:space="0" w:color="auto"/>
            </w:tcBorders>
            <w:shd w:val="clear" w:color="auto" w:fill="auto"/>
            <w:vAlign w:val="bottom"/>
            <w:hideMark/>
          </w:tcPr>
          <w:p w14:paraId="63701332"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1.00</w:t>
            </w:r>
          </w:p>
        </w:tc>
        <w:tc>
          <w:tcPr>
            <w:tcW w:w="3111" w:type="dxa"/>
            <w:tcBorders>
              <w:top w:val="nil"/>
              <w:left w:val="nil"/>
              <w:bottom w:val="single" w:sz="6" w:space="0" w:color="auto"/>
              <w:right w:val="single" w:sz="6" w:space="0" w:color="auto"/>
            </w:tcBorders>
            <w:shd w:val="clear" w:color="auto" w:fill="auto"/>
            <w:hideMark/>
          </w:tcPr>
          <w:p w14:paraId="5D9D4AFD"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21.5</w:t>
            </w:r>
          </w:p>
        </w:tc>
      </w:tr>
      <w:tr w:rsidR="006C3D4C" w:rsidRPr="008A0812" w14:paraId="44123FDA" w14:textId="77777777" w:rsidTr="004F4BC7">
        <w:tc>
          <w:tcPr>
            <w:tcW w:w="3110" w:type="dxa"/>
            <w:tcBorders>
              <w:top w:val="nil"/>
              <w:left w:val="single" w:sz="6" w:space="0" w:color="auto"/>
              <w:bottom w:val="single" w:sz="6" w:space="0" w:color="auto"/>
              <w:right w:val="single" w:sz="6" w:space="0" w:color="auto"/>
            </w:tcBorders>
            <w:shd w:val="clear" w:color="auto" w:fill="auto"/>
            <w:vAlign w:val="bottom"/>
            <w:hideMark/>
          </w:tcPr>
          <w:p w14:paraId="608FF02A"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Maximum Month</w:t>
            </w:r>
          </w:p>
        </w:tc>
        <w:tc>
          <w:tcPr>
            <w:tcW w:w="3110" w:type="dxa"/>
            <w:tcBorders>
              <w:top w:val="nil"/>
              <w:left w:val="nil"/>
              <w:bottom w:val="single" w:sz="6" w:space="0" w:color="auto"/>
              <w:right w:val="single" w:sz="6" w:space="0" w:color="auto"/>
            </w:tcBorders>
            <w:shd w:val="clear" w:color="auto" w:fill="auto"/>
            <w:vAlign w:val="bottom"/>
            <w:hideMark/>
          </w:tcPr>
          <w:p w14:paraId="0CFD5F24"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1.07</w:t>
            </w:r>
          </w:p>
        </w:tc>
        <w:tc>
          <w:tcPr>
            <w:tcW w:w="3111" w:type="dxa"/>
            <w:tcBorders>
              <w:top w:val="nil"/>
              <w:left w:val="nil"/>
              <w:bottom w:val="single" w:sz="6" w:space="0" w:color="auto"/>
              <w:right w:val="single" w:sz="6" w:space="0" w:color="auto"/>
            </w:tcBorders>
            <w:shd w:val="clear" w:color="auto" w:fill="auto"/>
            <w:hideMark/>
          </w:tcPr>
          <w:p w14:paraId="6F37A06C"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22.9</w:t>
            </w:r>
          </w:p>
        </w:tc>
      </w:tr>
      <w:tr w:rsidR="006C3D4C" w:rsidRPr="008A0812" w14:paraId="57DA8C96" w14:textId="77777777" w:rsidTr="004F4BC7">
        <w:tc>
          <w:tcPr>
            <w:tcW w:w="3110" w:type="dxa"/>
            <w:tcBorders>
              <w:top w:val="nil"/>
              <w:left w:val="single" w:sz="6" w:space="0" w:color="auto"/>
              <w:bottom w:val="single" w:sz="6" w:space="0" w:color="auto"/>
              <w:right w:val="single" w:sz="6" w:space="0" w:color="auto"/>
            </w:tcBorders>
            <w:shd w:val="clear" w:color="auto" w:fill="auto"/>
            <w:vAlign w:val="bottom"/>
          </w:tcPr>
          <w:p w14:paraId="0B286856" w14:textId="77777777" w:rsidR="006C3D4C" w:rsidRPr="008A0812" w:rsidRDefault="006C3D4C" w:rsidP="004F4BC7">
            <w:pPr>
              <w:overflowPunct/>
              <w:autoSpaceDE/>
              <w:autoSpaceDN/>
              <w:adjustRightInd/>
              <w:jc w:val="center"/>
              <w:rPr>
                <w:rFonts w:cs="Segoe UI"/>
                <w:color w:val="000000"/>
              </w:rPr>
            </w:pPr>
            <w:r w:rsidRPr="008A0812">
              <w:rPr>
                <w:rFonts w:cs="Segoe UI"/>
                <w:color w:val="000000"/>
              </w:rPr>
              <w:t>Maximum Week</w:t>
            </w:r>
          </w:p>
        </w:tc>
        <w:tc>
          <w:tcPr>
            <w:tcW w:w="3110" w:type="dxa"/>
            <w:tcBorders>
              <w:top w:val="nil"/>
              <w:left w:val="nil"/>
              <w:bottom w:val="single" w:sz="6" w:space="0" w:color="auto"/>
              <w:right w:val="single" w:sz="6" w:space="0" w:color="auto"/>
            </w:tcBorders>
            <w:shd w:val="clear" w:color="auto" w:fill="auto"/>
            <w:vAlign w:val="bottom"/>
          </w:tcPr>
          <w:p w14:paraId="2837726D" w14:textId="77777777" w:rsidR="006C3D4C" w:rsidRPr="008A0812" w:rsidRDefault="006C3D4C" w:rsidP="004F4BC7">
            <w:pPr>
              <w:overflowPunct/>
              <w:autoSpaceDE/>
              <w:autoSpaceDN/>
              <w:adjustRightInd/>
              <w:jc w:val="center"/>
              <w:rPr>
                <w:rFonts w:cs="Segoe UI"/>
                <w:color w:val="000000"/>
              </w:rPr>
            </w:pPr>
            <w:r w:rsidRPr="008A0812">
              <w:rPr>
                <w:rFonts w:cs="Segoe UI"/>
                <w:color w:val="000000"/>
              </w:rPr>
              <w:t>1.12</w:t>
            </w:r>
          </w:p>
        </w:tc>
        <w:tc>
          <w:tcPr>
            <w:tcW w:w="3111" w:type="dxa"/>
            <w:tcBorders>
              <w:top w:val="nil"/>
              <w:left w:val="nil"/>
              <w:bottom w:val="single" w:sz="6" w:space="0" w:color="auto"/>
              <w:right w:val="single" w:sz="6" w:space="0" w:color="auto"/>
            </w:tcBorders>
            <w:shd w:val="clear" w:color="auto" w:fill="auto"/>
          </w:tcPr>
          <w:p w14:paraId="722D8880" w14:textId="77777777" w:rsidR="006C3D4C" w:rsidRPr="008A0812" w:rsidRDefault="006C3D4C" w:rsidP="004F4BC7">
            <w:pPr>
              <w:overflowPunct/>
              <w:autoSpaceDE/>
              <w:autoSpaceDN/>
              <w:adjustRightInd/>
              <w:jc w:val="center"/>
              <w:rPr>
                <w:rFonts w:cs="Segoe UI"/>
              </w:rPr>
            </w:pPr>
            <w:r w:rsidRPr="008A0812">
              <w:rPr>
                <w:rFonts w:cs="Segoe UI"/>
              </w:rPr>
              <w:t>24.1</w:t>
            </w:r>
          </w:p>
        </w:tc>
      </w:tr>
      <w:tr w:rsidR="006C3D4C" w:rsidRPr="008A0812" w14:paraId="5E1FF0A7" w14:textId="77777777" w:rsidTr="004F4BC7">
        <w:trPr>
          <w:trHeight w:val="60"/>
        </w:trPr>
        <w:tc>
          <w:tcPr>
            <w:tcW w:w="3110" w:type="dxa"/>
            <w:tcBorders>
              <w:top w:val="nil"/>
              <w:left w:val="single" w:sz="6" w:space="0" w:color="auto"/>
              <w:bottom w:val="single" w:sz="6" w:space="0" w:color="auto"/>
              <w:right w:val="single" w:sz="6" w:space="0" w:color="auto"/>
            </w:tcBorders>
            <w:shd w:val="clear" w:color="auto" w:fill="auto"/>
            <w:vAlign w:val="bottom"/>
            <w:hideMark/>
          </w:tcPr>
          <w:p w14:paraId="76503A85"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Peak Day Dry Weather</w:t>
            </w:r>
          </w:p>
        </w:tc>
        <w:tc>
          <w:tcPr>
            <w:tcW w:w="3110" w:type="dxa"/>
            <w:tcBorders>
              <w:top w:val="nil"/>
              <w:left w:val="nil"/>
              <w:bottom w:val="single" w:sz="6" w:space="0" w:color="auto"/>
              <w:right w:val="single" w:sz="6" w:space="0" w:color="auto"/>
            </w:tcBorders>
            <w:shd w:val="clear" w:color="auto" w:fill="auto"/>
            <w:vAlign w:val="bottom"/>
            <w:hideMark/>
          </w:tcPr>
          <w:p w14:paraId="7EE1ECF5"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1.25</w:t>
            </w:r>
          </w:p>
        </w:tc>
        <w:tc>
          <w:tcPr>
            <w:tcW w:w="3111" w:type="dxa"/>
            <w:tcBorders>
              <w:top w:val="nil"/>
              <w:left w:val="nil"/>
              <w:bottom w:val="single" w:sz="6" w:space="0" w:color="auto"/>
              <w:right w:val="single" w:sz="6" w:space="0" w:color="auto"/>
            </w:tcBorders>
            <w:shd w:val="clear" w:color="auto" w:fill="auto"/>
            <w:hideMark/>
          </w:tcPr>
          <w:p w14:paraId="3C4C81E5"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26.8</w:t>
            </w:r>
          </w:p>
        </w:tc>
      </w:tr>
      <w:tr w:rsidR="006C3D4C" w:rsidRPr="008A0812" w14:paraId="0CAF9A1B" w14:textId="77777777" w:rsidTr="004F4BC7">
        <w:trPr>
          <w:trHeight w:val="60"/>
        </w:trPr>
        <w:tc>
          <w:tcPr>
            <w:tcW w:w="3110" w:type="dxa"/>
            <w:tcBorders>
              <w:top w:val="nil"/>
              <w:left w:val="single" w:sz="6" w:space="0" w:color="auto"/>
              <w:bottom w:val="single" w:sz="6" w:space="0" w:color="auto"/>
              <w:right w:val="single" w:sz="6" w:space="0" w:color="auto"/>
            </w:tcBorders>
            <w:shd w:val="clear" w:color="auto" w:fill="auto"/>
            <w:vAlign w:val="bottom"/>
            <w:hideMark/>
          </w:tcPr>
          <w:p w14:paraId="0A6014EE"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Peak Hour Dry Weather</w:t>
            </w:r>
          </w:p>
        </w:tc>
        <w:tc>
          <w:tcPr>
            <w:tcW w:w="3110" w:type="dxa"/>
            <w:tcBorders>
              <w:top w:val="nil"/>
              <w:left w:val="nil"/>
              <w:bottom w:val="single" w:sz="6" w:space="0" w:color="auto"/>
              <w:right w:val="single" w:sz="6" w:space="0" w:color="auto"/>
            </w:tcBorders>
            <w:shd w:val="clear" w:color="auto" w:fill="auto"/>
            <w:vAlign w:val="bottom"/>
            <w:hideMark/>
          </w:tcPr>
          <w:p w14:paraId="230FB545"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1.89</w:t>
            </w:r>
          </w:p>
        </w:tc>
        <w:tc>
          <w:tcPr>
            <w:tcW w:w="3111" w:type="dxa"/>
            <w:tcBorders>
              <w:top w:val="nil"/>
              <w:left w:val="nil"/>
              <w:bottom w:val="single" w:sz="6" w:space="0" w:color="auto"/>
              <w:right w:val="single" w:sz="6" w:space="0" w:color="auto"/>
            </w:tcBorders>
            <w:shd w:val="clear" w:color="auto" w:fill="auto"/>
            <w:hideMark/>
          </w:tcPr>
          <w:p w14:paraId="2CA9E47F"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40.3</w:t>
            </w:r>
          </w:p>
        </w:tc>
      </w:tr>
      <w:tr w:rsidR="006C3D4C" w:rsidRPr="008A0812" w14:paraId="38868089" w14:textId="77777777" w:rsidTr="004F4BC7">
        <w:trPr>
          <w:trHeight w:val="60"/>
        </w:trPr>
        <w:tc>
          <w:tcPr>
            <w:tcW w:w="3110" w:type="dxa"/>
            <w:tcBorders>
              <w:top w:val="nil"/>
              <w:left w:val="single" w:sz="6" w:space="0" w:color="auto"/>
              <w:bottom w:val="single" w:sz="6" w:space="0" w:color="auto"/>
              <w:right w:val="single" w:sz="6" w:space="0" w:color="auto"/>
            </w:tcBorders>
            <w:shd w:val="clear" w:color="auto" w:fill="auto"/>
            <w:vAlign w:val="bottom"/>
            <w:hideMark/>
          </w:tcPr>
          <w:p w14:paraId="47B7B99A"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color w:val="000000"/>
              </w:rPr>
              <w:t>Peak Hour Wet Weather</w:t>
            </w:r>
          </w:p>
        </w:tc>
        <w:tc>
          <w:tcPr>
            <w:tcW w:w="3110" w:type="dxa"/>
            <w:tcBorders>
              <w:top w:val="nil"/>
              <w:left w:val="nil"/>
              <w:bottom w:val="single" w:sz="6" w:space="0" w:color="auto"/>
              <w:right w:val="single" w:sz="6" w:space="0" w:color="auto"/>
            </w:tcBorders>
            <w:shd w:val="clear" w:color="auto" w:fill="auto"/>
            <w:vAlign w:val="bottom"/>
            <w:hideMark/>
          </w:tcPr>
          <w:p w14:paraId="6E5820D5"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2.97</w:t>
            </w:r>
          </w:p>
        </w:tc>
        <w:tc>
          <w:tcPr>
            <w:tcW w:w="3111" w:type="dxa"/>
            <w:tcBorders>
              <w:top w:val="nil"/>
              <w:left w:val="nil"/>
              <w:bottom w:val="single" w:sz="6" w:space="0" w:color="auto"/>
              <w:right w:val="single" w:sz="6" w:space="0" w:color="auto"/>
            </w:tcBorders>
            <w:shd w:val="clear" w:color="auto" w:fill="auto"/>
            <w:hideMark/>
          </w:tcPr>
          <w:p w14:paraId="45F08E0E" w14:textId="77777777" w:rsidR="006C3D4C" w:rsidRPr="008A0812" w:rsidRDefault="006C3D4C" w:rsidP="004F4BC7">
            <w:pPr>
              <w:overflowPunct/>
              <w:autoSpaceDE/>
              <w:autoSpaceDN/>
              <w:adjustRightInd/>
              <w:jc w:val="center"/>
              <w:rPr>
                <w:rFonts w:ascii="Segoe UI" w:hAnsi="Segoe UI" w:cs="Segoe UI"/>
                <w:sz w:val="18"/>
                <w:szCs w:val="18"/>
              </w:rPr>
            </w:pPr>
            <w:r w:rsidRPr="008A0812">
              <w:rPr>
                <w:rFonts w:cs="Segoe UI"/>
              </w:rPr>
              <w:t>63.8</w:t>
            </w:r>
          </w:p>
        </w:tc>
      </w:tr>
    </w:tbl>
    <w:p w14:paraId="1AFDCC42" w14:textId="77777777" w:rsidR="006C3D4C" w:rsidRPr="008A0812" w:rsidRDefault="006C3D4C" w:rsidP="006C3D4C">
      <w:pPr>
        <w:pStyle w:val="BodyText"/>
        <w:spacing w:after="0"/>
        <w:ind w:left="720"/>
        <w:rPr>
          <w:rFonts w:cs="Segoe UI"/>
          <w:sz w:val="20"/>
          <w:szCs w:val="20"/>
        </w:rPr>
      </w:pPr>
      <w:r w:rsidRPr="008A0812">
        <w:rPr>
          <w:rFonts w:cs="Segoe UI"/>
          <w:sz w:val="20"/>
          <w:szCs w:val="20"/>
        </w:rPr>
        <w:t>Notes:</w:t>
      </w:r>
    </w:p>
    <w:p w14:paraId="1591B434" w14:textId="77777777" w:rsidR="006C3D4C" w:rsidRPr="008A0812" w:rsidRDefault="006C3D4C" w:rsidP="00B40B9B">
      <w:pPr>
        <w:pStyle w:val="BodyText"/>
        <w:numPr>
          <w:ilvl w:val="0"/>
          <w:numId w:val="12"/>
        </w:numPr>
        <w:spacing w:before="0" w:after="0"/>
        <w:ind w:left="1483"/>
        <w:rPr>
          <w:rFonts w:cs="Segoe UI"/>
          <w:sz w:val="20"/>
          <w:szCs w:val="20"/>
        </w:rPr>
      </w:pPr>
      <w:r w:rsidRPr="008A0812">
        <w:rPr>
          <w:rFonts w:cs="Segoe UI"/>
          <w:sz w:val="20"/>
          <w:szCs w:val="20"/>
        </w:rPr>
        <w:t>Historic peaking factors were calculated based on flow data from January 1, 2015 to July 1, 2019.</w:t>
      </w:r>
    </w:p>
    <w:p w14:paraId="50F2B705" w14:textId="654C7C6C" w:rsidR="00AB1045" w:rsidRPr="008A0812" w:rsidRDefault="00AB1045" w:rsidP="00AB1045">
      <w:pPr>
        <w:pStyle w:val="BodyText"/>
      </w:pPr>
      <w:r w:rsidRPr="008A0812">
        <w:t xml:space="preserve">Using the populations projections derived in Section </w:t>
      </w:r>
      <w:r w:rsidR="00E47BA7" w:rsidRPr="008A0812">
        <w:fldChar w:fldCharType="begin"/>
      </w:r>
      <w:r w:rsidR="00E47BA7" w:rsidRPr="008A0812">
        <w:instrText xml:space="preserve"> REF _Ref20221270 \r \h  \* MERGEFORMAT </w:instrText>
      </w:r>
      <w:r w:rsidR="00E47BA7" w:rsidRPr="008A0812">
        <w:fldChar w:fldCharType="separate"/>
      </w:r>
      <w:r w:rsidR="00AA68F8">
        <w:t>6.1.1</w:t>
      </w:r>
      <w:r w:rsidR="00E47BA7" w:rsidRPr="008A0812">
        <w:fldChar w:fldCharType="end"/>
      </w:r>
      <w:r w:rsidRPr="008A0812">
        <w:t xml:space="preserve">, gallon per capita-day (gpcd) usage was calculated by dividing each service area flow by the corresponding population total. The gpcd usage for each service </w:t>
      </w:r>
      <w:r w:rsidR="00A23578" w:rsidRPr="008A0812">
        <w:t xml:space="preserve">area </w:t>
      </w:r>
      <w:r w:rsidRPr="008A0812">
        <w:t xml:space="preserve">was assumed to remain constant and was multiplied by the projected population through 2040 in 5-year increments. Although conservation efforts in recent years have generally caused wastewater flows to decrease </w:t>
      </w:r>
      <w:r w:rsidR="00A23578" w:rsidRPr="008A0812">
        <w:t xml:space="preserve">in </w:t>
      </w:r>
      <w:r w:rsidR="00ED6B5B" w:rsidRPr="008A0812">
        <w:t>S</w:t>
      </w:r>
      <w:r w:rsidR="00A23578" w:rsidRPr="008A0812">
        <w:t>outhern California</w:t>
      </w:r>
      <w:r w:rsidRPr="008A0812">
        <w:t xml:space="preserve">, there was not a notable decrease for the SBWRP service area. </w:t>
      </w:r>
      <w:r w:rsidR="004A4D5D" w:rsidRPr="008A0812">
        <w:fldChar w:fldCharType="begin"/>
      </w:r>
      <w:r w:rsidR="004A4D5D" w:rsidRPr="008A0812">
        <w:instrText xml:space="preserve"> REF _Ref36233822 \h </w:instrText>
      </w:r>
      <w:r w:rsidR="008A0812">
        <w:instrText xml:space="preserve"> \* MERGEFORMAT </w:instrText>
      </w:r>
      <w:r w:rsidR="004A4D5D" w:rsidRPr="008A0812">
        <w:fldChar w:fldCharType="separate"/>
      </w:r>
      <w:r w:rsidR="00AA68F8" w:rsidRPr="008A0812">
        <w:t xml:space="preserve">Table </w:t>
      </w:r>
      <w:r w:rsidR="00AA68F8">
        <w:rPr>
          <w:noProof/>
        </w:rPr>
        <w:t>6</w:t>
      </w:r>
      <w:r w:rsidR="00AA68F8" w:rsidRPr="008A0812">
        <w:rPr>
          <w:noProof/>
        </w:rPr>
        <w:noBreakHyphen/>
      </w:r>
      <w:r w:rsidR="00AA68F8">
        <w:rPr>
          <w:noProof/>
        </w:rPr>
        <w:t>4</w:t>
      </w:r>
      <w:r w:rsidR="004A4D5D" w:rsidRPr="008A0812">
        <w:fldChar w:fldCharType="end"/>
      </w:r>
      <w:r w:rsidRPr="008A0812">
        <w:t xml:space="preserve"> presents the results of the total current flow, and gpcd usage by service area. </w:t>
      </w:r>
      <w:r w:rsidR="004A4D5D" w:rsidRPr="008A0812">
        <w:fldChar w:fldCharType="begin"/>
      </w:r>
      <w:r w:rsidR="004A4D5D" w:rsidRPr="008A0812">
        <w:instrText xml:space="preserve"> REF _Ref36233852 \h </w:instrText>
      </w:r>
      <w:r w:rsidR="008A0812">
        <w:instrText xml:space="preserve"> \* MERGEFORMAT </w:instrText>
      </w:r>
      <w:r w:rsidR="004A4D5D" w:rsidRPr="008A0812">
        <w:fldChar w:fldCharType="separate"/>
      </w:r>
      <w:r w:rsidR="00AA68F8" w:rsidRPr="008A0812">
        <w:t xml:space="preserve">Table </w:t>
      </w:r>
      <w:r w:rsidR="00AA68F8">
        <w:rPr>
          <w:noProof/>
        </w:rPr>
        <w:t>6</w:t>
      </w:r>
      <w:r w:rsidR="00AA68F8" w:rsidRPr="008A0812">
        <w:rPr>
          <w:noProof/>
        </w:rPr>
        <w:noBreakHyphen/>
      </w:r>
      <w:r w:rsidR="00AA68F8">
        <w:rPr>
          <w:noProof/>
        </w:rPr>
        <w:t>5</w:t>
      </w:r>
      <w:r w:rsidR="004A4D5D" w:rsidRPr="008A0812">
        <w:fldChar w:fldCharType="end"/>
      </w:r>
      <w:r w:rsidRPr="008A0812">
        <w:t xml:space="preserve"> presents the results of the flow projection exercise. </w:t>
      </w:r>
    </w:p>
    <w:p w14:paraId="292906B9" w14:textId="7889F962" w:rsidR="004A4D5D" w:rsidRPr="008A0812" w:rsidRDefault="004A4D5D" w:rsidP="004A4D5D">
      <w:pPr>
        <w:pStyle w:val="TableHeading"/>
      </w:pPr>
      <w:bookmarkStart w:id="359" w:name="_Ref36233822"/>
      <w:bookmarkStart w:id="360" w:name="_Toc36414068"/>
      <w:bookmarkStart w:id="361" w:name="_Toc41684760"/>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359"/>
      <w:r w:rsidRPr="008A0812">
        <w:t>: Current Influent Flow and Per Capita Usage</w:t>
      </w:r>
      <w:bookmarkEnd w:id="360"/>
      <w:bookmarkEnd w:id="361"/>
    </w:p>
    <w:tbl>
      <w:tblPr>
        <w:tblW w:w="93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82"/>
        <w:gridCol w:w="1200"/>
        <w:gridCol w:w="1200"/>
        <w:gridCol w:w="1200"/>
        <w:gridCol w:w="1931"/>
        <w:gridCol w:w="1931"/>
      </w:tblGrid>
      <w:tr w:rsidR="00B855A9" w:rsidRPr="008A0812" w14:paraId="57E0B9C0" w14:textId="56129B3F" w:rsidTr="00B855A9">
        <w:tc>
          <w:tcPr>
            <w:tcW w:w="1882"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241F9F53"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rPr>
              <w:t> </w:t>
            </w:r>
          </w:p>
        </w:tc>
        <w:tc>
          <w:tcPr>
            <w:tcW w:w="1200" w:type="dxa"/>
            <w:tcBorders>
              <w:top w:val="single" w:sz="6" w:space="0" w:color="auto"/>
              <w:left w:val="nil"/>
              <w:bottom w:val="single" w:sz="6" w:space="0" w:color="auto"/>
              <w:right w:val="single" w:sz="6" w:space="0" w:color="auto"/>
            </w:tcBorders>
            <w:shd w:val="clear" w:color="auto" w:fill="BFBFBF"/>
            <w:vAlign w:val="bottom"/>
            <w:hideMark/>
          </w:tcPr>
          <w:p w14:paraId="6C2FEA13"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b/>
                <w:bCs/>
                <w:color w:val="000000"/>
              </w:rPr>
              <w:t>SBMWD</w:t>
            </w:r>
            <w:r w:rsidRPr="008A0812">
              <w:rPr>
                <w:rFonts w:cs="Segoe UI"/>
              </w:rPr>
              <w:t> </w:t>
            </w:r>
          </w:p>
        </w:tc>
        <w:tc>
          <w:tcPr>
            <w:tcW w:w="1200" w:type="dxa"/>
            <w:tcBorders>
              <w:top w:val="single" w:sz="6" w:space="0" w:color="auto"/>
              <w:left w:val="nil"/>
              <w:bottom w:val="single" w:sz="6" w:space="0" w:color="auto"/>
              <w:right w:val="single" w:sz="6" w:space="0" w:color="auto"/>
            </w:tcBorders>
            <w:shd w:val="clear" w:color="auto" w:fill="BFBFBF"/>
            <w:vAlign w:val="bottom"/>
            <w:hideMark/>
          </w:tcPr>
          <w:p w14:paraId="0533BA37"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b/>
                <w:bCs/>
                <w:color w:val="000000"/>
              </w:rPr>
              <w:t>Loma Linda</w:t>
            </w:r>
            <w:r w:rsidRPr="008A0812">
              <w:rPr>
                <w:rFonts w:cs="Segoe UI"/>
              </w:rPr>
              <w:t> </w:t>
            </w:r>
          </w:p>
        </w:tc>
        <w:tc>
          <w:tcPr>
            <w:tcW w:w="1200" w:type="dxa"/>
            <w:tcBorders>
              <w:top w:val="single" w:sz="6" w:space="0" w:color="auto"/>
              <w:left w:val="nil"/>
              <w:bottom w:val="single" w:sz="6" w:space="0" w:color="auto"/>
              <w:right w:val="single" w:sz="6" w:space="0" w:color="auto"/>
            </w:tcBorders>
            <w:shd w:val="clear" w:color="auto" w:fill="BFBFBF"/>
            <w:vAlign w:val="bottom"/>
            <w:hideMark/>
          </w:tcPr>
          <w:p w14:paraId="2C7B8542"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b/>
                <w:bCs/>
                <w:color w:val="000000"/>
              </w:rPr>
              <w:t>EVWD</w:t>
            </w:r>
            <w:r w:rsidRPr="008A0812">
              <w:rPr>
                <w:rFonts w:cs="Segoe UI"/>
              </w:rPr>
              <w:t> </w:t>
            </w:r>
          </w:p>
        </w:tc>
        <w:tc>
          <w:tcPr>
            <w:tcW w:w="1931" w:type="dxa"/>
            <w:tcBorders>
              <w:top w:val="single" w:sz="6" w:space="0" w:color="auto"/>
              <w:left w:val="nil"/>
              <w:bottom w:val="single" w:sz="6" w:space="0" w:color="auto"/>
              <w:right w:val="single" w:sz="4" w:space="0" w:color="auto"/>
            </w:tcBorders>
            <w:shd w:val="clear" w:color="auto" w:fill="BFBFBF"/>
            <w:vAlign w:val="bottom"/>
            <w:hideMark/>
          </w:tcPr>
          <w:p w14:paraId="26C1121D" w14:textId="6432977D"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b/>
                <w:bCs/>
                <w:color w:val="000000"/>
              </w:rPr>
              <w:t>Total WRP Including EVWD</w:t>
            </w:r>
          </w:p>
        </w:tc>
        <w:tc>
          <w:tcPr>
            <w:tcW w:w="1931" w:type="dxa"/>
            <w:tcBorders>
              <w:top w:val="single" w:sz="4" w:space="0" w:color="auto"/>
              <w:left w:val="single" w:sz="4" w:space="0" w:color="auto"/>
              <w:bottom w:val="single" w:sz="4" w:space="0" w:color="auto"/>
              <w:right w:val="single" w:sz="4" w:space="0" w:color="auto"/>
            </w:tcBorders>
            <w:shd w:val="clear" w:color="auto" w:fill="BFBFBF"/>
            <w:vAlign w:val="bottom"/>
          </w:tcPr>
          <w:p w14:paraId="5A41F125" w14:textId="43B9B953" w:rsidR="00B855A9" w:rsidRPr="008A0812" w:rsidRDefault="00B855A9" w:rsidP="00B855A9">
            <w:pPr>
              <w:overflowPunct/>
              <w:autoSpaceDE/>
              <w:autoSpaceDN/>
              <w:adjustRightInd/>
              <w:jc w:val="center"/>
              <w:rPr>
                <w:rFonts w:cs="Segoe UI"/>
                <w:b/>
                <w:bCs/>
                <w:color w:val="000000"/>
              </w:rPr>
            </w:pPr>
            <w:r w:rsidRPr="008A0812">
              <w:rPr>
                <w:rFonts w:cs="Segoe UI"/>
                <w:b/>
                <w:bCs/>
                <w:color w:val="000000"/>
              </w:rPr>
              <w:t>Total WRP not Including EVWD</w:t>
            </w:r>
            <w:r w:rsidRPr="008A0812">
              <w:rPr>
                <w:rFonts w:cs="Segoe UI"/>
              </w:rPr>
              <w:t> </w:t>
            </w:r>
          </w:p>
        </w:tc>
      </w:tr>
      <w:tr w:rsidR="00B855A9" w:rsidRPr="008A0812" w14:paraId="365C9CF9" w14:textId="3750E5DB" w:rsidTr="00B855A9">
        <w:tc>
          <w:tcPr>
            <w:tcW w:w="1882" w:type="dxa"/>
            <w:tcBorders>
              <w:top w:val="nil"/>
              <w:left w:val="single" w:sz="6" w:space="0" w:color="auto"/>
              <w:bottom w:val="single" w:sz="6" w:space="0" w:color="auto"/>
              <w:right w:val="single" w:sz="6" w:space="0" w:color="auto"/>
            </w:tcBorders>
            <w:shd w:val="clear" w:color="auto" w:fill="auto"/>
            <w:vAlign w:val="bottom"/>
            <w:hideMark/>
          </w:tcPr>
          <w:p w14:paraId="6342E512" w14:textId="79AF4EFE" w:rsidR="00B855A9" w:rsidRPr="008A0812" w:rsidRDefault="00B855A9" w:rsidP="00B855A9">
            <w:pPr>
              <w:overflowPunct/>
              <w:autoSpaceDE/>
              <w:autoSpaceDN/>
              <w:adjustRightInd/>
              <w:rPr>
                <w:rFonts w:ascii="Segoe UI" w:hAnsi="Segoe UI" w:cs="Segoe UI"/>
                <w:sz w:val="18"/>
                <w:szCs w:val="18"/>
              </w:rPr>
            </w:pPr>
            <w:r w:rsidRPr="008A0812">
              <w:rPr>
                <w:rFonts w:cs="Segoe UI"/>
                <w:color w:val="000000"/>
              </w:rPr>
              <w:t xml:space="preserve"> Current ADWF (mgd)</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185ADA14"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13.4</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706CF260"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2.1</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1E9B4729"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6.0</w:t>
            </w:r>
            <w:r w:rsidRPr="008A0812">
              <w:rPr>
                <w:rFonts w:cs="Segoe UI"/>
              </w:rPr>
              <w:t> </w:t>
            </w:r>
          </w:p>
        </w:tc>
        <w:tc>
          <w:tcPr>
            <w:tcW w:w="1931" w:type="dxa"/>
            <w:tcBorders>
              <w:top w:val="nil"/>
              <w:left w:val="nil"/>
              <w:bottom w:val="single" w:sz="6" w:space="0" w:color="auto"/>
              <w:right w:val="single" w:sz="4" w:space="0" w:color="auto"/>
            </w:tcBorders>
            <w:shd w:val="clear" w:color="auto" w:fill="auto"/>
            <w:vAlign w:val="bottom"/>
            <w:hideMark/>
          </w:tcPr>
          <w:p w14:paraId="63DD2836"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21.5</w:t>
            </w:r>
            <w:r w:rsidRPr="008A0812">
              <w:rPr>
                <w:rFonts w:cs="Segoe UI"/>
              </w:rPr>
              <w:t> </w:t>
            </w:r>
          </w:p>
        </w:tc>
        <w:tc>
          <w:tcPr>
            <w:tcW w:w="1931" w:type="dxa"/>
            <w:tcBorders>
              <w:top w:val="single" w:sz="4" w:space="0" w:color="auto"/>
              <w:left w:val="single" w:sz="4" w:space="0" w:color="auto"/>
              <w:bottom w:val="single" w:sz="4" w:space="0" w:color="auto"/>
              <w:right w:val="single" w:sz="4" w:space="0" w:color="auto"/>
            </w:tcBorders>
            <w:vAlign w:val="bottom"/>
          </w:tcPr>
          <w:p w14:paraId="06B40EA0" w14:textId="47077B65" w:rsidR="00B855A9" w:rsidRPr="008A0812" w:rsidRDefault="00B855A9" w:rsidP="00B855A9">
            <w:pPr>
              <w:overflowPunct/>
              <w:autoSpaceDE/>
              <w:autoSpaceDN/>
              <w:adjustRightInd/>
              <w:jc w:val="center"/>
              <w:rPr>
                <w:rFonts w:cs="Segoe UI"/>
                <w:color w:val="000000"/>
              </w:rPr>
            </w:pPr>
            <w:r w:rsidRPr="008A0812">
              <w:rPr>
                <w:rFonts w:cs="Segoe UI"/>
                <w:color w:val="000000"/>
              </w:rPr>
              <w:t>15.5</w:t>
            </w:r>
            <w:r w:rsidRPr="008A0812">
              <w:rPr>
                <w:rFonts w:cs="Segoe UI"/>
              </w:rPr>
              <w:t> </w:t>
            </w:r>
          </w:p>
        </w:tc>
      </w:tr>
      <w:tr w:rsidR="00B855A9" w:rsidRPr="008A0812" w14:paraId="4B876C8E" w14:textId="42BE7CD7" w:rsidTr="00B855A9">
        <w:tc>
          <w:tcPr>
            <w:tcW w:w="1882" w:type="dxa"/>
            <w:tcBorders>
              <w:top w:val="nil"/>
              <w:left w:val="single" w:sz="6" w:space="0" w:color="auto"/>
              <w:bottom w:val="single" w:sz="6" w:space="0" w:color="auto"/>
              <w:right w:val="single" w:sz="6" w:space="0" w:color="auto"/>
            </w:tcBorders>
            <w:shd w:val="clear" w:color="auto" w:fill="auto"/>
            <w:vAlign w:val="bottom"/>
            <w:hideMark/>
          </w:tcPr>
          <w:p w14:paraId="19FED1E1"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Current ADWF (gpcd)</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5FC65AE9"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69</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579A82FF"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85</w:t>
            </w:r>
            <w:r w:rsidRPr="008A0812">
              <w:rPr>
                <w:rFonts w:cs="Segoe UI"/>
              </w:rPr>
              <w:t> </w:t>
            </w:r>
          </w:p>
        </w:tc>
        <w:tc>
          <w:tcPr>
            <w:tcW w:w="1200" w:type="dxa"/>
            <w:tcBorders>
              <w:top w:val="nil"/>
              <w:left w:val="nil"/>
              <w:bottom w:val="single" w:sz="6" w:space="0" w:color="auto"/>
              <w:right w:val="single" w:sz="6" w:space="0" w:color="auto"/>
            </w:tcBorders>
            <w:shd w:val="clear" w:color="auto" w:fill="auto"/>
            <w:vAlign w:val="bottom"/>
            <w:hideMark/>
          </w:tcPr>
          <w:p w14:paraId="5DA04F1F"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64</w:t>
            </w:r>
            <w:r w:rsidRPr="008A0812">
              <w:rPr>
                <w:rFonts w:cs="Segoe UI"/>
              </w:rPr>
              <w:t> </w:t>
            </w:r>
          </w:p>
        </w:tc>
        <w:tc>
          <w:tcPr>
            <w:tcW w:w="1931" w:type="dxa"/>
            <w:tcBorders>
              <w:top w:val="nil"/>
              <w:left w:val="nil"/>
              <w:bottom w:val="single" w:sz="6" w:space="0" w:color="auto"/>
              <w:right w:val="single" w:sz="4" w:space="0" w:color="auto"/>
            </w:tcBorders>
            <w:shd w:val="clear" w:color="auto" w:fill="auto"/>
            <w:vAlign w:val="bottom"/>
            <w:hideMark/>
          </w:tcPr>
          <w:p w14:paraId="57BEBDE2" w14:textId="77777777" w:rsidR="00B855A9" w:rsidRPr="008A0812" w:rsidRDefault="00B855A9" w:rsidP="00B855A9">
            <w:pPr>
              <w:overflowPunct/>
              <w:autoSpaceDE/>
              <w:autoSpaceDN/>
              <w:adjustRightInd/>
              <w:jc w:val="center"/>
              <w:rPr>
                <w:rFonts w:ascii="Segoe UI" w:hAnsi="Segoe UI" w:cs="Segoe UI"/>
                <w:sz w:val="18"/>
                <w:szCs w:val="18"/>
              </w:rPr>
            </w:pPr>
            <w:r w:rsidRPr="008A0812">
              <w:rPr>
                <w:rFonts w:cs="Segoe UI"/>
                <w:color w:val="000000"/>
              </w:rPr>
              <w:t>69</w:t>
            </w:r>
            <w:r w:rsidRPr="008A0812">
              <w:rPr>
                <w:rFonts w:cs="Segoe UI"/>
              </w:rPr>
              <w:t> </w:t>
            </w:r>
          </w:p>
        </w:tc>
        <w:tc>
          <w:tcPr>
            <w:tcW w:w="1931" w:type="dxa"/>
            <w:tcBorders>
              <w:top w:val="single" w:sz="4" w:space="0" w:color="auto"/>
              <w:left w:val="single" w:sz="4" w:space="0" w:color="auto"/>
              <w:bottom w:val="single" w:sz="4" w:space="0" w:color="auto"/>
              <w:right w:val="single" w:sz="4" w:space="0" w:color="auto"/>
            </w:tcBorders>
            <w:vAlign w:val="bottom"/>
          </w:tcPr>
          <w:p w14:paraId="0E88E939" w14:textId="0515AE28" w:rsidR="00B855A9" w:rsidRPr="008A0812" w:rsidRDefault="00B855A9" w:rsidP="00B855A9">
            <w:pPr>
              <w:overflowPunct/>
              <w:autoSpaceDE/>
              <w:autoSpaceDN/>
              <w:adjustRightInd/>
              <w:jc w:val="center"/>
              <w:rPr>
                <w:rFonts w:cs="Segoe UI"/>
                <w:color w:val="000000"/>
              </w:rPr>
            </w:pPr>
            <w:r w:rsidRPr="008A0812">
              <w:rPr>
                <w:rFonts w:cs="Segoe UI"/>
                <w:color w:val="000000"/>
              </w:rPr>
              <w:t>71</w:t>
            </w:r>
            <w:r w:rsidRPr="008A0812">
              <w:rPr>
                <w:rFonts w:cs="Segoe UI"/>
              </w:rPr>
              <w:t> </w:t>
            </w:r>
          </w:p>
        </w:tc>
      </w:tr>
    </w:tbl>
    <w:p w14:paraId="462EB29D" w14:textId="10A416CB" w:rsidR="004A4D5D" w:rsidRPr="008A0812" w:rsidRDefault="004A4D5D" w:rsidP="004A4D5D">
      <w:pPr>
        <w:pStyle w:val="TableHeading"/>
      </w:pPr>
      <w:bookmarkStart w:id="362" w:name="_Ref36233852"/>
      <w:bookmarkStart w:id="363" w:name="_Toc36414069"/>
      <w:bookmarkStart w:id="364" w:name="_Toc41684761"/>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362"/>
      <w:r w:rsidRPr="008A0812">
        <w:t>: Current and Projected Average Dry Weather Flow (mgd)</w:t>
      </w:r>
      <w:bookmarkEnd w:id="363"/>
      <w:bookmarkEnd w:id="364"/>
    </w:p>
    <w:tbl>
      <w:tblPr>
        <w:tblW w:w="93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278"/>
        <w:gridCol w:w="1278"/>
        <w:gridCol w:w="1278"/>
        <w:gridCol w:w="1279"/>
        <w:gridCol w:w="2115"/>
        <w:gridCol w:w="2116"/>
      </w:tblGrid>
      <w:tr w:rsidR="00242F80" w:rsidRPr="008A0812" w14:paraId="3BBA5558" w14:textId="77777777" w:rsidTr="00242F80">
        <w:tc>
          <w:tcPr>
            <w:tcW w:w="1278"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6A26CD30"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 </w:t>
            </w:r>
          </w:p>
        </w:tc>
        <w:tc>
          <w:tcPr>
            <w:tcW w:w="1278" w:type="dxa"/>
            <w:tcBorders>
              <w:top w:val="single" w:sz="6" w:space="0" w:color="auto"/>
              <w:left w:val="nil"/>
              <w:bottom w:val="single" w:sz="6" w:space="0" w:color="auto"/>
              <w:right w:val="single" w:sz="6" w:space="0" w:color="auto"/>
            </w:tcBorders>
            <w:shd w:val="clear" w:color="auto" w:fill="BFBFBF"/>
            <w:vAlign w:val="bottom"/>
            <w:hideMark/>
          </w:tcPr>
          <w:p w14:paraId="6D9A9CC7"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b/>
                <w:bCs/>
                <w:color w:val="000000"/>
              </w:rPr>
              <w:t>SBMWD</w:t>
            </w:r>
            <w:r w:rsidRPr="008A0812">
              <w:rPr>
                <w:rFonts w:cs="Segoe UI"/>
              </w:rPr>
              <w:t> </w:t>
            </w:r>
          </w:p>
        </w:tc>
        <w:tc>
          <w:tcPr>
            <w:tcW w:w="1278" w:type="dxa"/>
            <w:tcBorders>
              <w:top w:val="single" w:sz="6" w:space="0" w:color="auto"/>
              <w:left w:val="nil"/>
              <w:bottom w:val="single" w:sz="6" w:space="0" w:color="auto"/>
              <w:right w:val="single" w:sz="6" w:space="0" w:color="auto"/>
            </w:tcBorders>
            <w:shd w:val="clear" w:color="auto" w:fill="BFBFBF"/>
            <w:vAlign w:val="bottom"/>
            <w:hideMark/>
          </w:tcPr>
          <w:p w14:paraId="5F7D5F2C"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b/>
                <w:bCs/>
                <w:color w:val="000000"/>
              </w:rPr>
              <w:t>Loma Linda</w:t>
            </w:r>
            <w:r w:rsidRPr="008A0812">
              <w:rPr>
                <w:rFonts w:cs="Segoe UI"/>
              </w:rPr>
              <w:t> </w:t>
            </w:r>
          </w:p>
        </w:tc>
        <w:tc>
          <w:tcPr>
            <w:tcW w:w="1279" w:type="dxa"/>
            <w:tcBorders>
              <w:top w:val="single" w:sz="6" w:space="0" w:color="auto"/>
              <w:left w:val="nil"/>
              <w:bottom w:val="single" w:sz="6" w:space="0" w:color="auto"/>
              <w:right w:val="single" w:sz="6" w:space="0" w:color="auto"/>
            </w:tcBorders>
            <w:shd w:val="clear" w:color="auto" w:fill="BFBFBF"/>
            <w:vAlign w:val="bottom"/>
            <w:hideMark/>
          </w:tcPr>
          <w:p w14:paraId="67B915F1"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b/>
                <w:bCs/>
                <w:color w:val="000000"/>
              </w:rPr>
              <w:t>EVWD</w:t>
            </w:r>
            <w:r w:rsidRPr="008A0812">
              <w:rPr>
                <w:rFonts w:cs="Segoe UI"/>
              </w:rPr>
              <w:t> </w:t>
            </w:r>
          </w:p>
        </w:tc>
        <w:tc>
          <w:tcPr>
            <w:tcW w:w="2115" w:type="dxa"/>
            <w:tcBorders>
              <w:top w:val="single" w:sz="6" w:space="0" w:color="auto"/>
              <w:left w:val="nil"/>
              <w:bottom w:val="single" w:sz="6" w:space="0" w:color="auto"/>
              <w:right w:val="single" w:sz="6" w:space="0" w:color="auto"/>
            </w:tcBorders>
            <w:shd w:val="clear" w:color="auto" w:fill="BFBFBF"/>
            <w:vAlign w:val="bottom"/>
            <w:hideMark/>
          </w:tcPr>
          <w:p w14:paraId="428B9B2A" w14:textId="6BC6D371"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b/>
                <w:bCs/>
              </w:rPr>
              <w:t>Total SBWRP Including EVWD</w:t>
            </w:r>
            <w:r w:rsidR="000D2D44" w:rsidRPr="008A0812">
              <w:rPr>
                <w:rFonts w:cs="Segoe UI"/>
                <w:b/>
                <w:bCs/>
                <w:color w:val="000000"/>
              </w:rPr>
              <w:t xml:space="preserve"> </w:t>
            </w:r>
          </w:p>
        </w:tc>
        <w:tc>
          <w:tcPr>
            <w:tcW w:w="2116" w:type="dxa"/>
            <w:tcBorders>
              <w:top w:val="single" w:sz="6" w:space="0" w:color="auto"/>
              <w:left w:val="nil"/>
              <w:bottom w:val="single" w:sz="6" w:space="0" w:color="auto"/>
              <w:right w:val="single" w:sz="6" w:space="0" w:color="auto"/>
            </w:tcBorders>
            <w:shd w:val="clear" w:color="auto" w:fill="BFBFBF"/>
            <w:vAlign w:val="bottom"/>
            <w:hideMark/>
          </w:tcPr>
          <w:p w14:paraId="00CC6138" w14:textId="1907EDF9"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b/>
                <w:bCs/>
              </w:rPr>
              <w:t>Total SBWRP </w:t>
            </w:r>
            <w:r w:rsidR="00ED6B5B" w:rsidRPr="008A0812">
              <w:rPr>
                <w:rFonts w:cs="Segoe UI"/>
                <w:b/>
                <w:bCs/>
              </w:rPr>
              <w:t>n</w:t>
            </w:r>
            <w:r w:rsidRPr="008A0812">
              <w:rPr>
                <w:rFonts w:cs="Segoe UI"/>
                <w:b/>
                <w:bCs/>
              </w:rPr>
              <w:t>ot Including EVWD</w:t>
            </w:r>
            <w:r w:rsidRPr="008A0812">
              <w:rPr>
                <w:rFonts w:cs="Segoe UI"/>
              </w:rPr>
              <w:t> </w:t>
            </w:r>
          </w:p>
        </w:tc>
      </w:tr>
      <w:tr w:rsidR="00242F80" w:rsidRPr="008A0812" w14:paraId="24927F27"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7668ED0E"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Current</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325B2075"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13.4 </w:t>
            </w:r>
          </w:p>
        </w:tc>
        <w:tc>
          <w:tcPr>
            <w:tcW w:w="1278" w:type="dxa"/>
            <w:tcBorders>
              <w:top w:val="nil"/>
              <w:left w:val="nil"/>
              <w:bottom w:val="single" w:sz="6" w:space="0" w:color="auto"/>
              <w:right w:val="single" w:sz="6" w:space="0" w:color="auto"/>
            </w:tcBorders>
            <w:shd w:val="clear" w:color="auto" w:fill="auto"/>
            <w:hideMark/>
          </w:tcPr>
          <w:p w14:paraId="6CF8F168"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2.1 </w:t>
            </w:r>
          </w:p>
        </w:tc>
        <w:tc>
          <w:tcPr>
            <w:tcW w:w="1279" w:type="dxa"/>
            <w:tcBorders>
              <w:top w:val="nil"/>
              <w:left w:val="nil"/>
              <w:bottom w:val="single" w:sz="6" w:space="0" w:color="auto"/>
              <w:right w:val="single" w:sz="6" w:space="0" w:color="auto"/>
            </w:tcBorders>
            <w:shd w:val="clear" w:color="auto" w:fill="auto"/>
            <w:hideMark/>
          </w:tcPr>
          <w:p w14:paraId="255218DF"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6.0 </w:t>
            </w:r>
          </w:p>
        </w:tc>
        <w:tc>
          <w:tcPr>
            <w:tcW w:w="2115" w:type="dxa"/>
            <w:tcBorders>
              <w:top w:val="nil"/>
              <w:left w:val="nil"/>
              <w:bottom w:val="single" w:sz="6" w:space="0" w:color="auto"/>
              <w:right w:val="single" w:sz="6" w:space="0" w:color="auto"/>
            </w:tcBorders>
            <w:shd w:val="clear" w:color="auto" w:fill="auto"/>
            <w:hideMark/>
          </w:tcPr>
          <w:p w14:paraId="5990E0AD"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21.5 </w:t>
            </w:r>
          </w:p>
        </w:tc>
        <w:tc>
          <w:tcPr>
            <w:tcW w:w="2116" w:type="dxa"/>
            <w:tcBorders>
              <w:top w:val="nil"/>
              <w:left w:val="nil"/>
              <w:bottom w:val="single" w:sz="6" w:space="0" w:color="auto"/>
              <w:right w:val="single" w:sz="6" w:space="0" w:color="auto"/>
            </w:tcBorders>
            <w:shd w:val="clear" w:color="auto" w:fill="auto"/>
            <w:hideMark/>
          </w:tcPr>
          <w:p w14:paraId="2608397F"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15.5 </w:t>
            </w:r>
          </w:p>
        </w:tc>
      </w:tr>
      <w:tr w:rsidR="00242F80" w:rsidRPr="008A0812" w14:paraId="6014E85D"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2324AF9F"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2020</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51721FEE"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13.6 </w:t>
            </w:r>
          </w:p>
        </w:tc>
        <w:tc>
          <w:tcPr>
            <w:tcW w:w="1278" w:type="dxa"/>
            <w:tcBorders>
              <w:top w:val="nil"/>
              <w:left w:val="nil"/>
              <w:bottom w:val="single" w:sz="6" w:space="0" w:color="auto"/>
              <w:right w:val="single" w:sz="6" w:space="0" w:color="auto"/>
            </w:tcBorders>
            <w:shd w:val="clear" w:color="auto" w:fill="auto"/>
            <w:hideMark/>
          </w:tcPr>
          <w:p w14:paraId="223FDE01"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2.1 </w:t>
            </w:r>
          </w:p>
        </w:tc>
        <w:tc>
          <w:tcPr>
            <w:tcW w:w="1279" w:type="dxa"/>
            <w:tcBorders>
              <w:top w:val="nil"/>
              <w:left w:val="nil"/>
              <w:bottom w:val="single" w:sz="6" w:space="0" w:color="auto"/>
              <w:right w:val="single" w:sz="6" w:space="0" w:color="auto"/>
            </w:tcBorders>
            <w:shd w:val="clear" w:color="auto" w:fill="auto"/>
            <w:hideMark/>
          </w:tcPr>
          <w:p w14:paraId="07349F76"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6.5 </w:t>
            </w:r>
          </w:p>
        </w:tc>
        <w:tc>
          <w:tcPr>
            <w:tcW w:w="2115" w:type="dxa"/>
            <w:tcBorders>
              <w:top w:val="nil"/>
              <w:left w:val="nil"/>
              <w:bottom w:val="single" w:sz="6" w:space="0" w:color="auto"/>
              <w:right w:val="single" w:sz="6" w:space="0" w:color="auto"/>
            </w:tcBorders>
            <w:shd w:val="clear" w:color="auto" w:fill="auto"/>
            <w:hideMark/>
          </w:tcPr>
          <w:p w14:paraId="08D63635"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22.2 </w:t>
            </w:r>
          </w:p>
        </w:tc>
        <w:tc>
          <w:tcPr>
            <w:tcW w:w="2116" w:type="dxa"/>
            <w:tcBorders>
              <w:top w:val="nil"/>
              <w:left w:val="nil"/>
              <w:bottom w:val="single" w:sz="6" w:space="0" w:color="auto"/>
              <w:right w:val="single" w:sz="6" w:space="0" w:color="auto"/>
            </w:tcBorders>
            <w:shd w:val="clear" w:color="auto" w:fill="auto"/>
            <w:hideMark/>
          </w:tcPr>
          <w:p w14:paraId="1CEA358B"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15.8 </w:t>
            </w:r>
          </w:p>
        </w:tc>
      </w:tr>
      <w:tr w:rsidR="00242F80" w:rsidRPr="008A0812" w14:paraId="5DD1879C"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1D2333F2"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2025</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6A8C7D90"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14.1 </w:t>
            </w:r>
          </w:p>
        </w:tc>
        <w:tc>
          <w:tcPr>
            <w:tcW w:w="1278" w:type="dxa"/>
            <w:tcBorders>
              <w:top w:val="nil"/>
              <w:left w:val="nil"/>
              <w:bottom w:val="single" w:sz="6" w:space="0" w:color="auto"/>
              <w:right w:val="single" w:sz="6" w:space="0" w:color="auto"/>
            </w:tcBorders>
            <w:shd w:val="clear" w:color="auto" w:fill="auto"/>
            <w:hideMark/>
          </w:tcPr>
          <w:p w14:paraId="2AB9F56D"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2.3 </w:t>
            </w:r>
          </w:p>
        </w:tc>
        <w:tc>
          <w:tcPr>
            <w:tcW w:w="1279" w:type="dxa"/>
            <w:tcBorders>
              <w:top w:val="nil"/>
              <w:left w:val="nil"/>
              <w:bottom w:val="single" w:sz="6" w:space="0" w:color="auto"/>
              <w:right w:val="single" w:sz="6" w:space="0" w:color="auto"/>
            </w:tcBorders>
            <w:shd w:val="clear" w:color="auto" w:fill="auto"/>
            <w:hideMark/>
          </w:tcPr>
          <w:p w14:paraId="3B091098"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6.9 </w:t>
            </w:r>
          </w:p>
        </w:tc>
        <w:tc>
          <w:tcPr>
            <w:tcW w:w="2115" w:type="dxa"/>
            <w:tcBorders>
              <w:top w:val="nil"/>
              <w:left w:val="nil"/>
              <w:bottom w:val="single" w:sz="6" w:space="0" w:color="auto"/>
              <w:right w:val="single" w:sz="6" w:space="0" w:color="auto"/>
            </w:tcBorders>
            <w:shd w:val="clear" w:color="auto" w:fill="auto"/>
            <w:hideMark/>
          </w:tcPr>
          <w:p w14:paraId="65CE6152"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23.3 </w:t>
            </w:r>
          </w:p>
        </w:tc>
        <w:tc>
          <w:tcPr>
            <w:tcW w:w="2116" w:type="dxa"/>
            <w:tcBorders>
              <w:top w:val="nil"/>
              <w:left w:val="nil"/>
              <w:bottom w:val="single" w:sz="6" w:space="0" w:color="auto"/>
              <w:right w:val="single" w:sz="6" w:space="0" w:color="auto"/>
            </w:tcBorders>
            <w:shd w:val="clear" w:color="auto" w:fill="auto"/>
            <w:hideMark/>
          </w:tcPr>
          <w:p w14:paraId="39787948"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16.4 </w:t>
            </w:r>
          </w:p>
        </w:tc>
      </w:tr>
      <w:tr w:rsidR="00242F80" w:rsidRPr="008A0812" w14:paraId="78EA1F0D"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4A4C5E50"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2030</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6ECAF974"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14.6 </w:t>
            </w:r>
          </w:p>
        </w:tc>
        <w:tc>
          <w:tcPr>
            <w:tcW w:w="1278" w:type="dxa"/>
            <w:tcBorders>
              <w:top w:val="nil"/>
              <w:left w:val="nil"/>
              <w:bottom w:val="single" w:sz="6" w:space="0" w:color="auto"/>
              <w:right w:val="single" w:sz="6" w:space="0" w:color="auto"/>
            </w:tcBorders>
            <w:shd w:val="clear" w:color="auto" w:fill="auto"/>
            <w:hideMark/>
          </w:tcPr>
          <w:p w14:paraId="7BD0C189"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2.5 </w:t>
            </w:r>
          </w:p>
        </w:tc>
        <w:tc>
          <w:tcPr>
            <w:tcW w:w="1279" w:type="dxa"/>
            <w:tcBorders>
              <w:top w:val="nil"/>
              <w:left w:val="nil"/>
              <w:bottom w:val="single" w:sz="6" w:space="0" w:color="auto"/>
              <w:right w:val="single" w:sz="6" w:space="0" w:color="auto"/>
            </w:tcBorders>
            <w:shd w:val="clear" w:color="auto" w:fill="auto"/>
            <w:hideMark/>
          </w:tcPr>
          <w:p w14:paraId="129DA247"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7.2 </w:t>
            </w:r>
          </w:p>
        </w:tc>
        <w:tc>
          <w:tcPr>
            <w:tcW w:w="2115" w:type="dxa"/>
            <w:tcBorders>
              <w:top w:val="nil"/>
              <w:left w:val="nil"/>
              <w:bottom w:val="single" w:sz="6" w:space="0" w:color="auto"/>
              <w:right w:val="single" w:sz="6" w:space="0" w:color="auto"/>
            </w:tcBorders>
            <w:shd w:val="clear" w:color="auto" w:fill="auto"/>
            <w:hideMark/>
          </w:tcPr>
          <w:p w14:paraId="44673ADC"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24.2 </w:t>
            </w:r>
          </w:p>
        </w:tc>
        <w:tc>
          <w:tcPr>
            <w:tcW w:w="2116" w:type="dxa"/>
            <w:tcBorders>
              <w:top w:val="nil"/>
              <w:left w:val="nil"/>
              <w:bottom w:val="single" w:sz="6" w:space="0" w:color="auto"/>
              <w:right w:val="single" w:sz="6" w:space="0" w:color="auto"/>
            </w:tcBorders>
            <w:shd w:val="clear" w:color="auto" w:fill="auto"/>
            <w:hideMark/>
          </w:tcPr>
          <w:p w14:paraId="4749E52F"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17.1 </w:t>
            </w:r>
          </w:p>
        </w:tc>
      </w:tr>
      <w:tr w:rsidR="00242F80" w:rsidRPr="008A0812" w14:paraId="365F9838"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48B633E7"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2035</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10F1FA44"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15.1 </w:t>
            </w:r>
          </w:p>
        </w:tc>
        <w:tc>
          <w:tcPr>
            <w:tcW w:w="1278" w:type="dxa"/>
            <w:tcBorders>
              <w:top w:val="nil"/>
              <w:left w:val="nil"/>
              <w:bottom w:val="single" w:sz="6" w:space="0" w:color="auto"/>
              <w:right w:val="single" w:sz="6" w:space="0" w:color="auto"/>
            </w:tcBorders>
            <w:shd w:val="clear" w:color="auto" w:fill="auto"/>
            <w:hideMark/>
          </w:tcPr>
          <w:p w14:paraId="2E1AB1E9"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2.6 </w:t>
            </w:r>
          </w:p>
        </w:tc>
        <w:tc>
          <w:tcPr>
            <w:tcW w:w="1279" w:type="dxa"/>
            <w:tcBorders>
              <w:top w:val="nil"/>
              <w:left w:val="nil"/>
              <w:bottom w:val="single" w:sz="6" w:space="0" w:color="auto"/>
              <w:right w:val="single" w:sz="6" w:space="0" w:color="auto"/>
            </w:tcBorders>
            <w:shd w:val="clear" w:color="auto" w:fill="auto"/>
            <w:hideMark/>
          </w:tcPr>
          <w:p w14:paraId="5127FBC1"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7.5 </w:t>
            </w:r>
          </w:p>
        </w:tc>
        <w:tc>
          <w:tcPr>
            <w:tcW w:w="2115" w:type="dxa"/>
            <w:tcBorders>
              <w:top w:val="nil"/>
              <w:left w:val="nil"/>
              <w:bottom w:val="single" w:sz="6" w:space="0" w:color="auto"/>
              <w:right w:val="single" w:sz="6" w:space="0" w:color="auto"/>
            </w:tcBorders>
            <w:shd w:val="clear" w:color="auto" w:fill="auto"/>
            <w:hideMark/>
          </w:tcPr>
          <w:p w14:paraId="05F1F93A"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25.3 </w:t>
            </w:r>
          </w:p>
        </w:tc>
        <w:tc>
          <w:tcPr>
            <w:tcW w:w="2116" w:type="dxa"/>
            <w:tcBorders>
              <w:top w:val="nil"/>
              <w:left w:val="nil"/>
              <w:bottom w:val="single" w:sz="6" w:space="0" w:color="auto"/>
              <w:right w:val="single" w:sz="6" w:space="0" w:color="auto"/>
            </w:tcBorders>
            <w:shd w:val="clear" w:color="auto" w:fill="auto"/>
            <w:hideMark/>
          </w:tcPr>
          <w:p w14:paraId="2EF2DEF1"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17.8 </w:t>
            </w:r>
          </w:p>
        </w:tc>
      </w:tr>
      <w:tr w:rsidR="00242F80" w:rsidRPr="008A0812" w14:paraId="4C2336C9" w14:textId="77777777" w:rsidTr="00242F80">
        <w:tc>
          <w:tcPr>
            <w:tcW w:w="1278" w:type="dxa"/>
            <w:tcBorders>
              <w:top w:val="nil"/>
              <w:left w:val="single" w:sz="6" w:space="0" w:color="auto"/>
              <w:bottom w:val="single" w:sz="6" w:space="0" w:color="auto"/>
              <w:right w:val="single" w:sz="6" w:space="0" w:color="auto"/>
            </w:tcBorders>
            <w:shd w:val="clear" w:color="auto" w:fill="auto"/>
            <w:vAlign w:val="bottom"/>
            <w:hideMark/>
          </w:tcPr>
          <w:p w14:paraId="0C5F7FED"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color w:val="000000"/>
              </w:rPr>
              <w:t>2040</w:t>
            </w:r>
            <w:r w:rsidRPr="008A0812">
              <w:rPr>
                <w:rFonts w:cs="Segoe UI"/>
              </w:rPr>
              <w:t> </w:t>
            </w:r>
          </w:p>
        </w:tc>
        <w:tc>
          <w:tcPr>
            <w:tcW w:w="1278" w:type="dxa"/>
            <w:tcBorders>
              <w:top w:val="nil"/>
              <w:left w:val="nil"/>
              <w:bottom w:val="single" w:sz="6" w:space="0" w:color="auto"/>
              <w:right w:val="single" w:sz="6" w:space="0" w:color="auto"/>
            </w:tcBorders>
            <w:shd w:val="clear" w:color="auto" w:fill="auto"/>
            <w:hideMark/>
          </w:tcPr>
          <w:p w14:paraId="46BB69EF"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15.7 </w:t>
            </w:r>
          </w:p>
        </w:tc>
        <w:tc>
          <w:tcPr>
            <w:tcW w:w="1278" w:type="dxa"/>
            <w:tcBorders>
              <w:top w:val="nil"/>
              <w:left w:val="nil"/>
              <w:bottom w:val="single" w:sz="6" w:space="0" w:color="auto"/>
              <w:right w:val="single" w:sz="6" w:space="0" w:color="auto"/>
            </w:tcBorders>
            <w:shd w:val="clear" w:color="auto" w:fill="auto"/>
            <w:hideMark/>
          </w:tcPr>
          <w:p w14:paraId="1EDBD091"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2.9 </w:t>
            </w:r>
          </w:p>
        </w:tc>
        <w:tc>
          <w:tcPr>
            <w:tcW w:w="1279" w:type="dxa"/>
            <w:tcBorders>
              <w:top w:val="nil"/>
              <w:left w:val="nil"/>
              <w:bottom w:val="single" w:sz="6" w:space="0" w:color="auto"/>
              <w:right w:val="single" w:sz="6" w:space="0" w:color="auto"/>
            </w:tcBorders>
            <w:shd w:val="clear" w:color="auto" w:fill="auto"/>
            <w:hideMark/>
          </w:tcPr>
          <w:p w14:paraId="71DCFCE0"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7.8 </w:t>
            </w:r>
          </w:p>
        </w:tc>
        <w:tc>
          <w:tcPr>
            <w:tcW w:w="2115" w:type="dxa"/>
            <w:tcBorders>
              <w:top w:val="nil"/>
              <w:left w:val="nil"/>
              <w:bottom w:val="single" w:sz="6" w:space="0" w:color="auto"/>
              <w:right w:val="single" w:sz="6" w:space="0" w:color="auto"/>
            </w:tcBorders>
            <w:shd w:val="clear" w:color="auto" w:fill="auto"/>
            <w:hideMark/>
          </w:tcPr>
          <w:p w14:paraId="45DE120A"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26.4 </w:t>
            </w:r>
          </w:p>
        </w:tc>
        <w:tc>
          <w:tcPr>
            <w:tcW w:w="2116" w:type="dxa"/>
            <w:tcBorders>
              <w:top w:val="nil"/>
              <w:left w:val="nil"/>
              <w:bottom w:val="single" w:sz="6" w:space="0" w:color="auto"/>
              <w:right w:val="single" w:sz="6" w:space="0" w:color="auto"/>
            </w:tcBorders>
            <w:shd w:val="clear" w:color="auto" w:fill="auto"/>
            <w:hideMark/>
          </w:tcPr>
          <w:p w14:paraId="7366DC6D" w14:textId="77777777" w:rsidR="00242F80" w:rsidRPr="008A0812" w:rsidRDefault="00242F80" w:rsidP="00242F80">
            <w:pPr>
              <w:overflowPunct/>
              <w:autoSpaceDE/>
              <w:autoSpaceDN/>
              <w:adjustRightInd/>
              <w:jc w:val="center"/>
              <w:rPr>
                <w:rFonts w:ascii="Segoe UI" w:hAnsi="Segoe UI" w:cs="Segoe UI"/>
                <w:sz w:val="18"/>
                <w:szCs w:val="18"/>
              </w:rPr>
            </w:pPr>
            <w:r w:rsidRPr="008A0812">
              <w:rPr>
                <w:rFonts w:cs="Segoe UI"/>
              </w:rPr>
              <w:t>18.6 </w:t>
            </w:r>
          </w:p>
        </w:tc>
      </w:tr>
    </w:tbl>
    <w:p w14:paraId="70A862E0" w14:textId="77777777" w:rsidR="00AD2172" w:rsidRPr="008A0812" w:rsidRDefault="00242F80" w:rsidP="00242F80">
      <w:pPr>
        <w:pStyle w:val="BodyText"/>
        <w:spacing w:after="0"/>
        <w:ind w:left="720"/>
        <w:rPr>
          <w:rFonts w:cs="Segoe UI"/>
          <w:sz w:val="20"/>
          <w:szCs w:val="20"/>
        </w:rPr>
      </w:pPr>
      <w:r w:rsidRPr="008A0812">
        <w:rPr>
          <w:rFonts w:cs="Segoe UI"/>
          <w:sz w:val="20"/>
          <w:szCs w:val="20"/>
        </w:rPr>
        <w:t>Note</w:t>
      </w:r>
      <w:r w:rsidR="00AD2172" w:rsidRPr="008A0812">
        <w:rPr>
          <w:rFonts w:cs="Segoe UI"/>
          <w:sz w:val="20"/>
          <w:szCs w:val="20"/>
        </w:rPr>
        <w:t>s</w:t>
      </w:r>
      <w:r w:rsidRPr="008A0812">
        <w:rPr>
          <w:rFonts w:cs="Segoe UI"/>
          <w:sz w:val="20"/>
          <w:szCs w:val="20"/>
        </w:rPr>
        <w:t>:</w:t>
      </w:r>
    </w:p>
    <w:p w14:paraId="41AD68A2" w14:textId="15F83931" w:rsidR="00AB1045" w:rsidRPr="008A0812" w:rsidRDefault="00242F80" w:rsidP="00B40B9B">
      <w:pPr>
        <w:pStyle w:val="BodyText"/>
        <w:numPr>
          <w:ilvl w:val="0"/>
          <w:numId w:val="20"/>
        </w:numPr>
        <w:spacing w:before="0" w:after="0"/>
        <w:rPr>
          <w:rFonts w:cs="Segoe UI"/>
          <w:sz w:val="20"/>
          <w:szCs w:val="20"/>
        </w:rPr>
      </w:pPr>
      <w:r w:rsidRPr="008A0812">
        <w:rPr>
          <w:rFonts w:cs="Segoe UI"/>
          <w:sz w:val="20"/>
          <w:szCs w:val="20"/>
        </w:rPr>
        <w:t>Current ADWF flows estimated from available data from January 1, 2015 to July 1, 2019.</w:t>
      </w:r>
    </w:p>
    <w:p w14:paraId="3F07A92B" w14:textId="4BBEE70F" w:rsidR="00242F80" w:rsidRPr="008A0812" w:rsidRDefault="00242F80" w:rsidP="00242F80">
      <w:pPr>
        <w:pStyle w:val="BodyText"/>
      </w:pPr>
      <w:r w:rsidRPr="008A0812">
        <w:t>With EVWD flows remaining within the service area of SBWRP, flow would</w:t>
      </w:r>
      <w:r w:rsidR="00A23578" w:rsidRPr="008A0812">
        <w:t xml:space="preserve"> be</w:t>
      </w:r>
      <w:r w:rsidRPr="008A0812">
        <w:t xml:space="preserve"> expect</w:t>
      </w:r>
      <w:r w:rsidR="00A23578" w:rsidRPr="008A0812">
        <w:t>ed</w:t>
      </w:r>
      <w:r w:rsidRPr="008A0812">
        <w:t xml:space="preserve"> to rise to 26</w:t>
      </w:r>
      <w:r w:rsidR="00A23578" w:rsidRPr="008A0812">
        <w:t>.4</w:t>
      </w:r>
      <w:r w:rsidRPr="008A0812">
        <w:t xml:space="preserve"> </w:t>
      </w:r>
      <w:r w:rsidR="006C3D4C" w:rsidRPr="008A0812">
        <w:t>mgd</w:t>
      </w:r>
      <w:r w:rsidRPr="008A0812">
        <w:t xml:space="preserve"> by 2040</w:t>
      </w:r>
      <w:r w:rsidR="00A23578" w:rsidRPr="008A0812">
        <w:t>; h</w:t>
      </w:r>
      <w:r w:rsidRPr="008A0812">
        <w:t xml:space="preserve">owever, when factoring out </w:t>
      </w:r>
      <w:r w:rsidR="00A23578" w:rsidRPr="008A0812">
        <w:t>E</w:t>
      </w:r>
      <w:r w:rsidR="00CC2A20">
        <w:t>V</w:t>
      </w:r>
      <w:r w:rsidR="00A23578" w:rsidRPr="008A0812">
        <w:t xml:space="preserve">WD’s </w:t>
      </w:r>
      <w:r w:rsidRPr="008A0812">
        <w:t>contribution to influent flow, the 2040 project</w:t>
      </w:r>
      <w:r w:rsidR="00D21EAB" w:rsidRPr="008A0812">
        <w:t>ed</w:t>
      </w:r>
      <w:r w:rsidRPr="008A0812">
        <w:t xml:space="preserve"> influent flow is expected to be 18</w:t>
      </w:r>
      <w:r w:rsidR="00A23578" w:rsidRPr="008A0812">
        <w:t>.6</w:t>
      </w:r>
      <w:r w:rsidRPr="008A0812">
        <w:t xml:space="preserve"> </w:t>
      </w:r>
      <w:r w:rsidR="006C3D4C" w:rsidRPr="008A0812">
        <w:t>mgd</w:t>
      </w:r>
      <w:r w:rsidRPr="008A0812">
        <w:t xml:space="preserve">. </w:t>
      </w:r>
      <w:r w:rsidR="00C62B2E" w:rsidRPr="008A0812">
        <w:t>To</w:t>
      </w:r>
      <w:r w:rsidRPr="008A0812">
        <w:t xml:space="preserve"> factor in a buffer for potential growth exceeding </w:t>
      </w:r>
      <w:r w:rsidR="00A23578" w:rsidRPr="008A0812">
        <w:t>projections (about a 2% buffer)</w:t>
      </w:r>
      <w:r w:rsidRPr="008A0812">
        <w:t xml:space="preserve">, this Master Plan will assume a projected influent flow of 19 </w:t>
      </w:r>
      <w:r w:rsidR="006C3D4C" w:rsidRPr="008A0812">
        <w:t>mgd</w:t>
      </w:r>
      <w:r w:rsidRPr="008A0812">
        <w:t xml:space="preserve"> by 2040. </w:t>
      </w:r>
    </w:p>
    <w:p w14:paraId="4DB42C56" w14:textId="2EA098A8" w:rsidR="00242F80" w:rsidRPr="008A0812" w:rsidRDefault="00DD73F5" w:rsidP="002670B3">
      <w:pPr>
        <w:pStyle w:val="Heading3"/>
      </w:pPr>
      <w:bookmarkStart w:id="365" w:name="_Ref20223807"/>
      <w:bookmarkStart w:id="366" w:name="_Toc41680872"/>
      <w:r w:rsidRPr="008A0812">
        <w:t xml:space="preserve">SBWRP </w:t>
      </w:r>
      <w:r w:rsidR="002670B3" w:rsidRPr="008A0812">
        <w:t>Current and Projected Loads</w:t>
      </w:r>
      <w:bookmarkEnd w:id="365"/>
      <w:bookmarkEnd w:id="366"/>
    </w:p>
    <w:p w14:paraId="4C09E41F" w14:textId="0728939E" w:rsidR="002670B3" w:rsidRPr="008A0812" w:rsidRDefault="002670B3" w:rsidP="002670B3">
      <w:pPr>
        <w:pStyle w:val="BodyText"/>
      </w:pPr>
      <w:r w:rsidRPr="008A0812">
        <w:t xml:space="preserve">SBWRP loads were calculated using daily concentration measurements and flow data collected by SBMWD. Concentrations of </w:t>
      </w:r>
      <w:r w:rsidR="00DD73F5" w:rsidRPr="008A0812">
        <w:t>biological oxygen demand (</w:t>
      </w:r>
      <w:r w:rsidRPr="008A0812">
        <w:t>BOD</w:t>
      </w:r>
      <w:r w:rsidR="00DD73F5" w:rsidRPr="008A0812">
        <w:t>)</w:t>
      </w:r>
      <w:r w:rsidRPr="008A0812">
        <w:t>,</w:t>
      </w:r>
      <w:r w:rsidR="00DD73F5" w:rsidRPr="008A0812">
        <w:t xml:space="preserve"> total suspended solids</w:t>
      </w:r>
      <w:r w:rsidRPr="008A0812">
        <w:t xml:space="preserve"> </w:t>
      </w:r>
      <w:r w:rsidR="00DD73F5" w:rsidRPr="008A0812">
        <w:t>(</w:t>
      </w:r>
      <w:r w:rsidRPr="008A0812">
        <w:t>TSS</w:t>
      </w:r>
      <w:r w:rsidR="00DD73F5" w:rsidRPr="008A0812">
        <w:t>)</w:t>
      </w:r>
      <w:r w:rsidRPr="008A0812">
        <w:t xml:space="preserve">, ammonia, nitrate and nitrite are measured using 24-hour composite samples collected downstream of the three influent flow meters and upstream of the headworks facility. </w:t>
      </w:r>
    </w:p>
    <w:p w14:paraId="37D988D8" w14:textId="12F1D06E" w:rsidR="002670B3" w:rsidRPr="008A0812" w:rsidRDefault="004A4D5D" w:rsidP="002670B3">
      <w:pPr>
        <w:pStyle w:val="BodyText"/>
      </w:pPr>
      <w:r w:rsidRPr="008A0812">
        <w:fldChar w:fldCharType="begin"/>
      </w:r>
      <w:r w:rsidRPr="008A0812">
        <w:instrText xml:space="preserve"> REF _Ref36233636 \h </w:instrText>
      </w:r>
      <w:r w:rsidR="008A0812">
        <w:instrText xml:space="preserve"> \* MERGEFORMAT </w:instrText>
      </w:r>
      <w:r w:rsidRPr="008A0812">
        <w:fldChar w:fldCharType="separate"/>
      </w:r>
      <w:r w:rsidR="00AA68F8" w:rsidRPr="008A0812">
        <w:t xml:space="preserve">Figure </w:t>
      </w:r>
      <w:r w:rsidR="00AA68F8">
        <w:rPr>
          <w:noProof/>
        </w:rPr>
        <w:t>6</w:t>
      </w:r>
      <w:r w:rsidR="00AA68F8">
        <w:rPr>
          <w:noProof/>
        </w:rPr>
        <w:noBreakHyphen/>
        <w:t>3</w:t>
      </w:r>
      <w:r w:rsidRPr="008A0812">
        <w:fldChar w:fldCharType="end"/>
      </w:r>
      <w:r w:rsidR="002670B3" w:rsidRPr="008A0812">
        <w:t xml:space="preserve"> and </w:t>
      </w:r>
      <w:r w:rsidRPr="008A0812">
        <w:fldChar w:fldCharType="begin"/>
      </w:r>
      <w:r w:rsidRPr="008A0812">
        <w:instrText xml:space="preserve"> REF _Ref36233658 \h </w:instrText>
      </w:r>
      <w:r w:rsidR="008A0812">
        <w:instrText xml:space="preserve"> \* MERGEFORMAT </w:instrText>
      </w:r>
      <w:r w:rsidRPr="008A0812">
        <w:fldChar w:fldCharType="separate"/>
      </w:r>
      <w:r w:rsidR="00AA68F8" w:rsidRPr="008A0812">
        <w:t xml:space="preserve">Figure </w:t>
      </w:r>
      <w:r w:rsidR="00AA68F8">
        <w:rPr>
          <w:noProof/>
        </w:rPr>
        <w:t>6</w:t>
      </w:r>
      <w:r w:rsidR="00AA68F8">
        <w:rPr>
          <w:noProof/>
        </w:rPr>
        <w:noBreakHyphen/>
        <w:t>4</w:t>
      </w:r>
      <w:r w:rsidRPr="008A0812">
        <w:fldChar w:fldCharType="end"/>
      </w:r>
      <w:r w:rsidR="002670B3" w:rsidRPr="008A0812">
        <w:t xml:space="preserve"> portray the influent concentrations of BOD and TSS to SBWRP. Prior to 2015, the SB</w:t>
      </w:r>
      <w:r w:rsidR="00566E93">
        <w:t>M</w:t>
      </w:r>
      <w:r w:rsidR="00FE6ECE" w:rsidRPr="008A0812">
        <w:t>WD</w:t>
      </w:r>
      <w:r w:rsidR="002670B3" w:rsidRPr="008A0812">
        <w:t xml:space="preserve"> service area produced higher BOD and TSS concentrations with a wider range of scatter. This can be attributed to illegal discharges, which were eliminated in 2014. The analysis of BOD and TSS </w:t>
      </w:r>
      <w:r w:rsidR="0083595C" w:rsidRPr="008A0812">
        <w:t>for projection purposes</w:t>
      </w:r>
      <w:r w:rsidR="002670B3" w:rsidRPr="008A0812">
        <w:t xml:space="preserve"> utilized data starting </w:t>
      </w:r>
      <w:r w:rsidR="0083595C" w:rsidRPr="008A0812">
        <w:t>January 1, 2015</w:t>
      </w:r>
      <w:r w:rsidR="00C62B2E">
        <w:t xml:space="preserve"> (</w:t>
      </w:r>
      <w:r w:rsidR="002670B3" w:rsidRPr="008A0812">
        <w:t xml:space="preserve">in order to avoid using data that would influence higher loads than currently experienced at the </w:t>
      </w:r>
      <w:r w:rsidR="00C62B2E" w:rsidRPr="008A0812">
        <w:t>SBWRP</w:t>
      </w:r>
      <w:r w:rsidR="00C62B2E">
        <w:t>)</w:t>
      </w:r>
      <w:r w:rsidR="00C62B2E" w:rsidRPr="008A0812">
        <w:rPr>
          <w:iCs/>
        </w:rPr>
        <w:t xml:space="preserve"> and</w:t>
      </w:r>
      <w:r w:rsidR="0083595C" w:rsidRPr="008A0812">
        <w:rPr>
          <w:iCs/>
        </w:rPr>
        <w:t xml:space="preserve"> ending December 31, 2018 to provide three full years of data.</w:t>
      </w:r>
    </w:p>
    <w:p w14:paraId="0E093084" w14:textId="6D13D9B4" w:rsidR="004A4D5D" w:rsidRPr="008A0812" w:rsidRDefault="004A4D5D" w:rsidP="00AF40CB">
      <w:pPr>
        <w:pStyle w:val="FigureHeading"/>
      </w:pPr>
      <w:bookmarkStart w:id="367" w:name="_Ref36233636"/>
      <w:bookmarkStart w:id="368" w:name="_Toc36414070"/>
      <w:bookmarkStart w:id="369" w:name="_Toc41684706"/>
      <w:r w:rsidRPr="008A0812">
        <w:t xml:space="preserve">Figure </w:t>
      </w:r>
      <w:fldSimple w:instr=" STYLEREF 1 \s ">
        <w:r w:rsidR="00AA68F8">
          <w:rPr>
            <w:noProof/>
          </w:rPr>
          <w:t>6</w:t>
        </w:r>
      </w:fldSimple>
      <w:r w:rsidR="00B233D1">
        <w:noBreakHyphen/>
      </w:r>
      <w:fldSimple w:instr=" SEQ Figure \* ARABIC \s 1 ">
        <w:r w:rsidR="00AA68F8">
          <w:rPr>
            <w:noProof/>
          </w:rPr>
          <w:t>3</w:t>
        </w:r>
      </w:fldSimple>
      <w:bookmarkEnd w:id="367"/>
      <w:r w:rsidRPr="008A0812">
        <w:t>: SBWRP Influent BOD Concentration</w:t>
      </w:r>
      <w:bookmarkEnd w:id="368"/>
      <w:bookmarkEnd w:id="369"/>
    </w:p>
    <w:p w14:paraId="34AD35F7" w14:textId="442198A7" w:rsidR="002670B3" w:rsidRPr="008A0812" w:rsidRDefault="002670B3" w:rsidP="002670B3">
      <w:r>
        <w:rPr>
          <w:noProof/>
        </w:rPr>
        <w:drawing>
          <wp:inline distT="0" distB="0" distL="0" distR="0" wp14:anchorId="76CD2E6C" wp14:editId="09931180">
            <wp:extent cx="5943600" cy="4319318"/>
            <wp:effectExtent l="0" t="0" r="0" b="5080"/>
            <wp:docPr id="1305103006" name="Picture 37" descr="C:\Users\jhodgens\AppData\Local\Microsoft\Windows\INetCache\Content.MSO\6E82A36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89">
                      <a:extLst>
                        <a:ext uri="{28A0092B-C50C-407E-A947-70E740481C1C}">
                          <a14:useLocalDpi xmlns:a14="http://schemas.microsoft.com/office/drawing/2010/main" val="0"/>
                        </a:ext>
                      </a:extLst>
                    </a:blip>
                    <a:stretch>
                      <a:fillRect/>
                    </a:stretch>
                  </pic:blipFill>
                  <pic:spPr>
                    <a:xfrm>
                      <a:off x="0" y="0"/>
                      <a:ext cx="5943600" cy="4319318"/>
                    </a:xfrm>
                    <a:prstGeom prst="rect">
                      <a:avLst/>
                    </a:prstGeom>
                  </pic:spPr>
                </pic:pic>
              </a:graphicData>
            </a:graphic>
          </wp:inline>
        </w:drawing>
      </w:r>
    </w:p>
    <w:p w14:paraId="298E49A8" w14:textId="6A30CA30" w:rsidR="00DD73F5" w:rsidRPr="008A0812" w:rsidRDefault="00DD73F5" w:rsidP="00BC3044">
      <w:pPr>
        <w:pStyle w:val="BodyText"/>
      </w:pPr>
      <w:r w:rsidRPr="008A0812">
        <w:t xml:space="preserve">Following the reduction of high concentration discharges, the level of BOD concentrations has remained relatively flat. The peak in BOD concentration observed in the Spring of 2017 was not observed in TSS or ammonia during the same time, as can be observed in </w:t>
      </w:r>
      <w:r w:rsidR="004A4D5D" w:rsidRPr="008A0812">
        <w:fldChar w:fldCharType="begin"/>
      </w:r>
      <w:r w:rsidR="004A4D5D" w:rsidRPr="008A0812">
        <w:instrText xml:space="preserve"> REF _Ref36233658 \h </w:instrText>
      </w:r>
      <w:r w:rsidR="008A0812">
        <w:instrText xml:space="preserve"> \* MERGEFORMAT </w:instrText>
      </w:r>
      <w:r w:rsidR="004A4D5D" w:rsidRPr="008A0812">
        <w:fldChar w:fldCharType="separate"/>
      </w:r>
      <w:r w:rsidR="00AA68F8" w:rsidRPr="008A0812">
        <w:t xml:space="preserve">Figure </w:t>
      </w:r>
      <w:r w:rsidR="00AA68F8">
        <w:rPr>
          <w:noProof/>
        </w:rPr>
        <w:t>6</w:t>
      </w:r>
      <w:r w:rsidR="00AA68F8">
        <w:rPr>
          <w:noProof/>
        </w:rPr>
        <w:noBreakHyphen/>
        <w:t>4</w:t>
      </w:r>
      <w:r w:rsidR="004A4D5D" w:rsidRPr="008A0812">
        <w:fldChar w:fldCharType="end"/>
      </w:r>
      <w:r w:rsidRPr="008A0812">
        <w:t xml:space="preserve"> and </w:t>
      </w:r>
      <w:r w:rsidR="004A4D5D" w:rsidRPr="008A0812">
        <w:fldChar w:fldCharType="begin"/>
      </w:r>
      <w:r w:rsidR="004A4D5D" w:rsidRPr="008A0812">
        <w:instrText xml:space="preserve"> REF _Ref36233734 \h </w:instrText>
      </w:r>
      <w:r w:rsidR="008A0812">
        <w:instrText xml:space="preserve"> \* MERGEFORMAT </w:instrText>
      </w:r>
      <w:r w:rsidR="004A4D5D" w:rsidRPr="008A0812">
        <w:fldChar w:fldCharType="separate"/>
      </w:r>
      <w:r w:rsidR="00AA68F8" w:rsidRPr="008A0812">
        <w:t xml:space="preserve">Figure </w:t>
      </w:r>
      <w:r w:rsidR="00AA68F8">
        <w:rPr>
          <w:noProof/>
        </w:rPr>
        <w:t>6</w:t>
      </w:r>
      <w:r w:rsidR="00AA68F8">
        <w:rPr>
          <w:noProof/>
        </w:rPr>
        <w:noBreakHyphen/>
        <w:t>5</w:t>
      </w:r>
      <w:r w:rsidR="004A4D5D" w:rsidRPr="008A0812">
        <w:fldChar w:fldCharType="end"/>
      </w:r>
      <w:r w:rsidRPr="008A0812">
        <w:t xml:space="preserve">. Therefore, the peak was not </w:t>
      </w:r>
      <w:r w:rsidR="00EC6EA2" w:rsidRPr="008A0812">
        <w:t>factored into</w:t>
      </w:r>
      <w:r w:rsidR="00E955BD" w:rsidRPr="008A0812">
        <w:t xml:space="preserve"> peaking and</w:t>
      </w:r>
      <w:r w:rsidR="00EC6EA2" w:rsidRPr="008A0812">
        <w:t xml:space="preserve"> projection calculations.</w:t>
      </w:r>
    </w:p>
    <w:p w14:paraId="50868250" w14:textId="402B2606" w:rsidR="004A4D5D" w:rsidRPr="008A0812" w:rsidRDefault="004A4D5D" w:rsidP="00AF40CB">
      <w:pPr>
        <w:pStyle w:val="FigureHeading"/>
      </w:pPr>
      <w:bookmarkStart w:id="370" w:name="_Ref36233658"/>
      <w:bookmarkStart w:id="371" w:name="_Toc36414071"/>
      <w:bookmarkStart w:id="372" w:name="_Toc41684707"/>
      <w:r w:rsidRPr="008A0812">
        <w:t xml:space="preserve">Figure </w:t>
      </w:r>
      <w:fldSimple w:instr=" STYLEREF 1 \s ">
        <w:r w:rsidR="00AA68F8">
          <w:rPr>
            <w:noProof/>
          </w:rPr>
          <w:t>6</w:t>
        </w:r>
      </w:fldSimple>
      <w:r w:rsidR="00B233D1">
        <w:noBreakHyphen/>
      </w:r>
      <w:fldSimple w:instr=" SEQ Figure \* ARABIC \s 1 ">
        <w:r w:rsidR="00AA68F8">
          <w:rPr>
            <w:noProof/>
          </w:rPr>
          <w:t>4</w:t>
        </w:r>
      </w:fldSimple>
      <w:bookmarkEnd w:id="370"/>
      <w:r w:rsidRPr="008A0812">
        <w:t>: SBWRP Influent TSS Concentration</w:t>
      </w:r>
      <w:bookmarkEnd w:id="371"/>
      <w:bookmarkEnd w:id="372"/>
    </w:p>
    <w:p w14:paraId="008C0FF4" w14:textId="7B60B894" w:rsidR="002670B3" w:rsidRPr="008A0812" w:rsidRDefault="002670B3" w:rsidP="002670B3">
      <w:r>
        <w:rPr>
          <w:noProof/>
        </w:rPr>
        <w:drawing>
          <wp:inline distT="0" distB="0" distL="0" distR="0" wp14:anchorId="4895F7A8" wp14:editId="70423466">
            <wp:extent cx="5943600" cy="4319318"/>
            <wp:effectExtent l="0" t="0" r="0" b="5080"/>
            <wp:docPr id="1424592252" name="Picture 39" descr="C:\Users\jhodgens\AppData\Local\Microsoft\Windows\INetCache\Content.MSO\E3ADF8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90">
                      <a:extLst>
                        <a:ext uri="{28A0092B-C50C-407E-A947-70E740481C1C}">
                          <a14:useLocalDpi xmlns:a14="http://schemas.microsoft.com/office/drawing/2010/main" val="0"/>
                        </a:ext>
                      </a:extLst>
                    </a:blip>
                    <a:stretch>
                      <a:fillRect/>
                    </a:stretch>
                  </pic:blipFill>
                  <pic:spPr>
                    <a:xfrm>
                      <a:off x="0" y="0"/>
                      <a:ext cx="5943600" cy="4319318"/>
                    </a:xfrm>
                    <a:prstGeom prst="rect">
                      <a:avLst/>
                    </a:prstGeom>
                  </pic:spPr>
                </pic:pic>
              </a:graphicData>
            </a:graphic>
          </wp:inline>
        </w:drawing>
      </w:r>
    </w:p>
    <w:p w14:paraId="1F965FE0" w14:textId="1A990FDF" w:rsidR="002670B3" w:rsidRPr="008A0812" w:rsidRDefault="00FE6ECE" w:rsidP="002670B3">
      <w:pPr>
        <w:pStyle w:val="BodyText"/>
      </w:pPr>
      <w:r w:rsidRPr="008A0812">
        <w:t xml:space="preserve">Daily </w:t>
      </w:r>
      <w:r w:rsidR="002670B3" w:rsidRPr="008A0812">
        <w:t>composite samples for ammonia</w:t>
      </w:r>
      <w:r w:rsidRPr="008A0812">
        <w:t xml:space="preserve"> are collected at the SBWRP</w:t>
      </w:r>
      <w:r w:rsidR="0012232B" w:rsidRPr="008A0812">
        <w:t>. Other</w:t>
      </w:r>
      <w:r w:rsidR="002670B3" w:rsidRPr="008A0812">
        <w:t xml:space="preserve"> nitrogen species such as nitrate, nitr</w:t>
      </w:r>
      <w:r w:rsidR="00B855A9" w:rsidRPr="008A0812">
        <w:t>i</w:t>
      </w:r>
      <w:r w:rsidR="002670B3" w:rsidRPr="008A0812">
        <w:t>te, and Total Kjeldahl Nitrogen (TKN)</w:t>
      </w:r>
      <w:r w:rsidR="0012232B" w:rsidRPr="008A0812">
        <w:t xml:space="preserve"> </w:t>
      </w:r>
      <w:r w:rsidR="002670B3" w:rsidRPr="008A0812">
        <w:t xml:space="preserve">are collected on a weekly basis. TKN is </w:t>
      </w:r>
      <w:r w:rsidR="0012232B" w:rsidRPr="008A0812">
        <w:t xml:space="preserve">ammonia plus organic nitrogen, most of which is converted to ammonia within the treatment process. Thus, </w:t>
      </w:r>
      <w:r w:rsidR="002670B3" w:rsidRPr="008A0812">
        <w:t>th</w:t>
      </w:r>
      <w:r w:rsidR="0012232B" w:rsidRPr="008A0812">
        <w:t>is</w:t>
      </w:r>
      <w:r w:rsidR="002670B3" w:rsidRPr="008A0812">
        <w:t xml:space="preserve"> Master Plan uses ammonia to evaluate nitrogen removal throughout the plant. The average ammonia-to-TKN ratio observed in the plant is 0.63, which is</w:t>
      </w:r>
      <w:r w:rsidR="00416411" w:rsidRPr="008A0812">
        <w:t xml:space="preserve"> within the typical range of 0.6 to 0.8. </w:t>
      </w:r>
    </w:p>
    <w:p w14:paraId="4929719D" w14:textId="05FCFB30" w:rsidR="004A4D5D" w:rsidRPr="008A0812" w:rsidRDefault="004A4D5D" w:rsidP="00AF40CB">
      <w:pPr>
        <w:pStyle w:val="FigureHeading"/>
      </w:pPr>
      <w:bookmarkStart w:id="373" w:name="_Ref36233734"/>
      <w:bookmarkStart w:id="374" w:name="_Toc36414072"/>
      <w:bookmarkStart w:id="375" w:name="_Toc41684708"/>
      <w:r w:rsidRPr="008A0812">
        <w:t xml:space="preserve">Figure </w:t>
      </w:r>
      <w:fldSimple w:instr=" STYLEREF 1 \s ">
        <w:r w:rsidR="00AA68F8">
          <w:rPr>
            <w:noProof/>
          </w:rPr>
          <w:t>6</w:t>
        </w:r>
      </w:fldSimple>
      <w:r w:rsidR="00B233D1">
        <w:noBreakHyphen/>
      </w:r>
      <w:fldSimple w:instr=" SEQ Figure \* ARABIC \s 1 ">
        <w:r w:rsidR="00AA68F8">
          <w:rPr>
            <w:noProof/>
          </w:rPr>
          <w:t>5</w:t>
        </w:r>
      </w:fldSimple>
      <w:bookmarkEnd w:id="373"/>
      <w:r w:rsidRPr="008A0812">
        <w:t>: SBWRP Influent Ammonia Concentration</w:t>
      </w:r>
      <w:bookmarkEnd w:id="374"/>
      <w:bookmarkEnd w:id="375"/>
    </w:p>
    <w:p w14:paraId="1A5CD648" w14:textId="0DB60E8D" w:rsidR="002670B3" w:rsidRPr="008A0812" w:rsidRDefault="002670B3" w:rsidP="002670B3">
      <w:r>
        <w:rPr>
          <w:noProof/>
        </w:rPr>
        <w:drawing>
          <wp:inline distT="0" distB="0" distL="0" distR="0" wp14:anchorId="1C58F4AB" wp14:editId="29D22A29">
            <wp:extent cx="5943600" cy="4319318"/>
            <wp:effectExtent l="0" t="0" r="0" b="5080"/>
            <wp:docPr id="296412901" name="Picture 40" descr="C:\Users\jhodgens\AppData\Local\Microsoft\Windows\INetCache\Content.MSO\47BFDE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91">
                      <a:extLst>
                        <a:ext uri="{28A0092B-C50C-407E-A947-70E740481C1C}">
                          <a14:useLocalDpi xmlns:a14="http://schemas.microsoft.com/office/drawing/2010/main" val="0"/>
                        </a:ext>
                      </a:extLst>
                    </a:blip>
                    <a:stretch>
                      <a:fillRect/>
                    </a:stretch>
                  </pic:blipFill>
                  <pic:spPr>
                    <a:xfrm>
                      <a:off x="0" y="0"/>
                      <a:ext cx="5943600" cy="4319318"/>
                    </a:xfrm>
                    <a:prstGeom prst="rect">
                      <a:avLst/>
                    </a:prstGeom>
                  </pic:spPr>
                </pic:pic>
              </a:graphicData>
            </a:graphic>
          </wp:inline>
        </w:drawing>
      </w:r>
    </w:p>
    <w:p w14:paraId="10B8C0C6" w14:textId="10598EB8" w:rsidR="002670B3" w:rsidRPr="008A0812" w:rsidRDefault="002670B3" w:rsidP="002670B3">
      <w:pPr>
        <w:pStyle w:val="BodyText"/>
      </w:pPr>
      <w:r w:rsidRPr="008A0812">
        <w:t xml:space="preserve">A summary on influent concentrations for BOD, TSS and ammonia is provided in </w:t>
      </w:r>
      <w:r w:rsidR="004A4D5D" w:rsidRPr="008A0812">
        <w:fldChar w:fldCharType="begin"/>
      </w:r>
      <w:r w:rsidR="004A4D5D" w:rsidRPr="008A0812">
        <w:instrText xml:space="preserve"> REF _Ref36233879 \h </w:instrText>
      </w:r>
      <w:r w:rsidR="008A0812">
        <w:instrText xml:space="preserve"> \* MERGEFORMAT </w:instrText>
      </w:r>
      <w:r w:rsidR="004A4D5D" w:rsidRPr="008A0812">
        <w:fldChar w:fldCharType="separate"/>
      </w:r>
      <w:r w:rsidR="00AA68F8" w:rsidRPr="008A0812">
        <w:t xml:space="preserve">Table </w:t>
      </w:r>
      <w:r w:rsidR="00AA68F8">
        <w:rPr>
          <w:noProof/>
        </w:rPr>
        <w:t>6</w:t>
      </w:r>
      <w:r w:rsidR="00AA68F8" w:rsidRPr="008A0812">
        <w:rPr>
          <w:noProof/>
        </w:rPr>
        <w:noBreakHyphen/>
      </w:r>
      <w:r w:rsidR="00AA68F8">
        <w:rPr>
          <w:noProof/>
        </w:rPr>
        <w:t>6</w:t>
      </w:r>
      <w:r w:rsidR="004A4D5D" w:rsidRPr="008A0812">
        <w:fldChar w:fldCharType="end"/>
      </w:r>
      <w:r w:rsidRPr="008A0812">
        <w:t>. Due to the relatively stable levels of concentrations from 2015 to the present, these values were utilized for future loading projections.</w:t>
      </w:r>
    </w:p>
    <w:p w14:paraId="5E0AB25B" w14:textId="5545DF09" w:rsidR="004A4D5D" w:rsidRPr="008A0812" w:rsidRDefault="004A4D5D" w:rsidP="004A4D5D">
      <w:pPr>
        <w:pStyle w:val="TableHeading"/>
      </w:pPr>
      <w:bookmarkStart w:id="376" w:name="_Ref36233879"/>
      <w:bookmarkStart w:id="377" w:name="_Toc36414073"/>
      <w:bookmarkStart w:id="378" w:name="_Toc41684762"/>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376"/>
      <w:r w:rsidRPr="008A0812">
        <w:t>: SBWRP Influent Wastewater Concentrations</w:t>
      </w:r>
      <w:bookmarkEnd w:id="377"/>
      <w:bookmarkEnd w:id="378"/>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2"/>
        <w:gridCol w:w="2333"/>
        <w:gridCol w:w="2333"/>
        <w:gridCol w:w="2333"/>
      </w:tblGrid>
      <w:tr w:rsidR="002670B3" w:rsidRPr="008A0812" w14:paraId="364E04FC" w14:textId="77777777" w:rsidTr="002670B3">
        <w:trPr>
          <w:trHeight w:val="495"/>
        </w:trPr>
        <w:tc>
          <w:tcPr>
            <w:tcW w:w="2332"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4AA2AD3C"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Criteria</w:t>
            </w:r>
            <w:r w:rsidRPr="008A0812">
              <w:rPr>
                <w:rFonts w:cs="Segoe UI"/>
              </w:rPr>
              <w:t> </w:t>
            </w:r>
          </w:p>
        </w:tc>
        <w:tc>
          <w:tcPr>
            <w:tcW w:w="2333" w:type="dxa"/>
            <w:tcBorders>
              <w:top w:val="single" w:sz="6" w:space="0" w:color="auto"/>
              <w:left w:val="nil"/>
              <w:bottom w:val="single" w:sz="6" w:space="0" w:color="auto"/>
              <w:right w:val="single" w:sz="6" w:space="0" w:color="auto"/>
            </w:tcBorders>
            <w:shd w:val="clear" w:color="auto" w:fill="BFBFBF"/>
            <w:vAlign w:val="bottom"/>
            <w:hideMark/>
          </w:tcPr>
          <w:p w14:paraId="5DDCB6DA"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BOD</w:t>
            </w:r>
            <w:r w:rsidRPr="008A0812">
              <w:rPr>
                <w:rFonts w:cs="Segoe UI"/>
              </w:rPr>
              <w:t> </w:t>
            </w:r>
          </w:p>
          <w:p w14:paraId="775FC426"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(mg/L)</w:t>
            </w:r>
            <w:r w:rsidRPr="008A0812">
              <w:rPr>
                <w:rFonts w:cs="Segoe UI"/>
              </w:rPr>
              <w:t> </w:t>
            </w:r>
          </w:p>
        </w:tc>
        <w:tc>
          <w:tcPr>
            <w:tcW w:w="2333" w:type="dxa"/>
            <w:tcBorders>
              <w:top w:val="single" w:sz="6" w:space="0" w:color="auto"/>
              <w:left w:val="nil"/>
              <w:bottom w:val="single" w:sz="6" w:space="0" w:color="auto"/>
              <w:right w:val="single" w:sz="6" w:space="0" w:color="auto"/>
            </w:tcBorders>
            <w:shd w:val="clear" w:color="auto" w:fill="BFBFBF"/>
            <w:vAlign w:val="bottom"/>
            <w:hideMark/>
          </w:tcPr>
          <w:p w14:paraId="2FF4E8C8"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TSS</w:t>
            </w:r>
            <w:r w:rsidRPr="008A0812">
              <w:rPr>
                <w:rFonts w:cs="Segoe UI"/>
              </w:rPr>
              <w:t> </w:t>
            </w:r>
          </w:p>
          <w:p w14:paraId="6193079D"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(mg/L)</w:t>
            </w:r>
            <w:r w:rsidRPr="008A0812">
              <w:rPr>
                <w:rFonts w:cs="Segoe UI"/>
              </w:rPr>
              <w:t> </w:t>
            </w:r>
          </w:p>
        </w:tc>
        <w:tc>
          <w:tcPr>
            <w:tcW w:w="2333" w:type="dxa"/>
            <w:tcBorders>
              <w:top w:val="single" w:sz="6" w:space="0" w:color="auto"/>
              <w:left w:val="nil"/>
              <w:bottom w:val="single" w:sz="6" w:space="0" w:color="auto"/>
              <w:right w:val="single" w:sz="6" w:space="0" w:color="auto"/>
            </w:tcBorders>
            <w:shd w:val="clear" w:color="auto" w:fill="BFBFBF"/>
            <w:vAlign w:val="bottom"/>
            <w:hideMark/>
          </w:tcPr>
          <w:p w14:paraId="6097EC66"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Ammonia</w:t>
            </w:r>
            <w:r w:rsidRPr="008A0812">
              <w:rPr>
                <w:rFonts w:cs="Segoe UI"/>
              </w:rPr>
              <w:t> </w:t>
            </w:r>
          </w:p>
          <w:p w14:paraId="3F54E124"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b/>
                <w:bCs/>
              </w:rPr>
              <w:t>(mg/L)</w:t>
            </w:r>
            <w:r w:rsidRPr="008A0812">
              <w:rPr>
                <w:rFonts w:cs="Segoe UI"/>
              </w:rPr>
              <w:t> </w:t>
            </w:r>
          </w:p>
        </w:tc>
      </w:tr>
      <w:tr w:rsidR="002670B3" w:rsidRPr="008A0812" w14:paraId="059E613F" w14:textId="77777777" w:rsidTr="002670B3">
        <w:trPr>
          <w:trHeight w:val="345"/>
        </w:trPr>
        <w:tc>
          <w:tcPr>
            <w:tcW w:w="2332" w:type="dxa"/>
            <w:tcBorders>
              <w:top w:val="nil"/>
              <w:left w:val="single" w:sz="6" w:space="0" w:color="auto"/>
              <w:bottom w:val="single" w:sz="6" w:space="0" w:color="auto"/>
              <w:right w:val="single" w:sz="6" w:space="0" w:color="auto"/>
            </w:tcBorders>
            <w:shd w:val="clear" w:color="auto" w:fill="auto"/>
            <w:vAlign w:val="center"/>
            <w:hideMark/>
          </w:tcPr>
          <w:p w14:paraId="6A220864"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Average </w:t>
            </w:r>
          </w:p>
        </w:tc>
        <w:tc>
          <w:tcPr>
            <w:tcW w:w="2333" w:type="dxa"/>
            <w:tcBorders>
              <w:top w:val="nil"/>
              <w:left w:val="nil"/>
              <w:bottom w:val="single" w:sz="6" w:space="0" w:color="auto"/>
              <w:right w:val="single" w:sz="6" w:space="0" w:color="auto"/>
            </w:tcBorders>
            <w:shd w:val="clear" w:color="auto" w:fill="auto"/>
            <w:vAlign w:val="center"/>
            <w:hideMark/>
          </w:tcPr>
          <w:p w14:paraId="36A8E428"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293 </w:t>
            </w:r>
          </w:p>
        </w:tc>
        <w:tc>
          <w:tcPr>
            <w:tcW w:w="2333" w:type="dxa"/>
            <w:tcBorders>
              <w:top w:val="nil"/>
              <w:left w:val="nil"/>
              <w:bottom w:val="single" w:sz="6" w:space="0" w:color="auto"/>
              <w:right w:val="single" w:sz="6" w:space="0" w:color="auto"/>
            </w:tcBorders>
            <w:shd w:val="clear" w:color="auto" w:fill="auto"/>
            <w:vAlign w:val="center"/>
            <w:hideMark/>
          </w:tcPr>
          <w:p w14:paraId="0845A7BA"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248 </w:t>
            </w:r>
          </w:p>
        </w:tc>
        <w:tc>
          <w:tcPr>
            <w:tcW w:w="2333" w:type="dxa"/>
            <w:tcBorders>
              <w:top w:val="nil"/>
              <w:left w:val="nil"/>
              <w:bottom w:val="single" w:sz="6" w:space="0" w:color="auto"/>
              <w:right w:val="single" w:sz="6" w:space="0" w:color="auto"/>
            </w:tcBorders>
            <w:shd w:val="clear" w:color="auto" w:fill="auto"/>
            <w:vAlign w:val="center"/>
            <w:hideMark/>
          </w:tcPr>
          <w:p w14:paraId="73405233"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31 </w:t>
            </w:r>
          </w:p>
        </w:tc>
      </w:tr>
      <w:tr w:rsidR="002670B3" w:rsidRPr="008A0812" w14:paraId="47307835" w14:textId="77777777" w:rsidTr="002670B3">
        <w:trPr>
          <w:trHeight w:val="345"/>
        </w:trPr>
        <w:tc>
          <w:tcPr>
            <w:tcW w:w="2332" w:type="dxa"/>
            <w:tcBorders>
              <w:top w:val="nil"/>
              <w:left w:val="single" w:sz="6" w:space="0" w:color="auto"/>
              <w:bottom w:val="single" w:sz="6" w:space="0" w:color="auto"/>
              <w:right w:val="single" w:sz="6" w:space="0" w:color="auto"/>
            </w:tcBorders>
            <w:shd w:val="clear" w:color="auto" w:fill="auto"/>
            <w:vAlign w:val="center"/>
            <w:hideMark/>
          </w:tcPr>
          <w:p w14:paraId="280564F6"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Max Month </w:t>
            </w:r>
          </w:p>
        </w:tc>
        <w:tc>
          <w:tcPr>
            <w:tcW w:w="2333" w:type="dxa"/>
            <w:tcBorders>
              <w:top w:val="nil"/>
              <w:left w:val="nil"/>
              <w:bottom w:val="single" w:sz="6" w:space="0" w:color="auto"/>
              <w:right w:val="single" w:sz="6" w:space="0" w:color="auto"/>
            </w:tcBorders>
            <w:shd w:val="clear" w:color="auto" w:fill="auto"/>
            <w:vAlign w:val="center"/>
            <w:hideMark/>
          </w:tcPr>
          <w:p w14:paraId="71FEF83F"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429 </w:t>
            </w:r>
          </w:p>
        </w:tc>
        <w:tc>
          <w:tcPr>
            <w:tcW w:w="2333" w:type="dxa"/>
            <w:tcBorders>
              <w:top w:val="nil"/>
              <w:left w:val="nil"/>
              <w:bottom w:val="single" w:sz="6" w:space="0" w:color="auto"/>
              <w:right w:val="single" w:sz="6" w:space="0" w:color="auto"/>
            </w:tcBorders>
            <w:shd w:val="clear" w:color="auto" w:fill="auto"/>
            <w:vAlign w:val="center"/>
            <w:hideMark/>
          </w:tcPr>
          <w:p w14:paraId="5D8682A5"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429 </w:t>
            </w:r>
          </w:p>
        </w:tc>
        <w:tc>
          <w:tcPr>
            <w:tcW w:w="2333" w:type="dxa"/>
            <w:tcBorders>
              <w:top w:val="nil"/>
              <w:left w:val="nil"/>
              <w:bottom w:val="single" w:sz="6" w:space="0" w:color="auto"/>
              <w:right w:val="single" w:sz="6" w:space="0" w:color="auto"/>
            </w:tcBorders>
            <w:shd w:val="clear" w:color="auto" w:fill="auto"/>
            <w:vAlign w:val="center"/>
            <w:hideMark/>
          </w:tcPr>
          <w:p w14:paraId="0C4ED43A"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34 </w:t>
            </w:r>
          </w:p>
        </w:tc>
      </w:tr>
      <w:tr w:rsidR="002670B3" w:rsidRPr="008A0812" w14:paraId="08982E10" w14:textId="77777777" w:rsidTr="002670B3">
        <w:trPr>
          <w:trHeight w:val="360"/>
        </w:trPr>
        <w:tc>
          <w:tcPr>
            <w:tcW w:w="23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805981"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Max Week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3BF671F2"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466 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787E20B6"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325 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19B9D11E"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38 </w:t>
            </w:r>
          </w:p>
        </w:tc>
      </w:tr>
      <w:tr w:rsidR="002670B3" w:rsidRPr="008A0812" w14:paraId="2AC6BA8B" w14:textId="77777777" w:rsidTr="002670B3">
        <w:trPr>
          <w:trHeight w:val="360"/>
        </w:trPr>
        <w:tc>
          <w:tcPr>
            <w:tcW w:w="23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2BDE33"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Max Day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1AF821D2"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550 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3C364038"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363 </w:t>
            </w:r>
          </w:p>
        </w:tc>
        <w:tc>
          <w:tcPr>
            <w:tcW w:w="2333" w:type="dxa"/>
            <w:tcBorders>
              <w:top w:val="single" w:sz="6" w:space="0" w:color="auto"/>
              <w:left w:val="nil"/>
              <w:bottom w:val="single" w:sz="6" w:space="0" w:color="auto"/>
              <w:right w:val="single" w:sz="6" w:space="0" w:color="auto"/>
            </w:tcBorders>
            <w:shd w:val="clear" w:color="auto" w:fill="auto"/>
            <w:vAlign w:val="center"/>
            <w:hideMark/>
          </w:tcPr>
          <w:p w14:paraId="084A7066" w14:textId="77777777" w:rsidR="002670B3" w:rsidRPr="008A0812" w:rsidRDefault="002670B3" w:rsidP="002670B3">
            <w:pPr>
              <w:overflowPunct/>
              <w:autoSpaceDE/>
              <w:autoSpaceDN/>
              <w:adjustRightInd/>
              <w:jc w:val="center"/>
              <w:rPr>
                <w:rFonts w:ascii="Segoe UI" w:hAnsi="Segoe UI" w:cs="Segoe UI"/>
                <w:sz w:val="18"/>
                <w:szCs w:val="18"/>
              </w:rPr>
            </w:pPr>
            <w:r w:rsidRPr="008A0812">
              <w:rPr>
                <w:rFonts w:cs="Segoe UI"/>
              </w:rPr>
              <w:t>53 </w:t>
            </w:r>
          </w:p>
        </w:tc>
      </w:tr>
    </w:tbl>
    <w:p w14:paraId="0358B7A6" w14:textId="05BD2245" w:rsidR="00AD2172" w:rsidRPr="008A0812" w:rsidRDefault="002670B3" w:rsidP="002670B3">
      <w:pPr>
        <w:pStyle w:val="BodyText"/>
        <w:spacing w:after="0"/>
        <w:ind w:left="720"/>
        <w:rPr>
          <w:rFonts w:cs="Segoe UI"/>
          <w:sz w:val="20"/>
          <w:szCs w:val="20"/>
        </w:rPr>
      </w:pPr>
      <w:r w:rsidRPr="008A0812">
        <w:rPr>
          <w:rFonts w:cs="Segoe UI"/>
          <w:sz w:val="20"/>
          <w:szCs w:val="20"/>
        </w:rPr>
        <w:t>Note</w:t>
      </w:r>
      <w:r w:rsidR="00AD2172" w:rsidRPr="008A0812">
        <w:rPr>
          <w:rFonts w:cs="Segoe UI"/>
          <w:sz w:val="20"/>
          <w:szCs w:val="20"/>
        </w:rPr>
        <w:t>s</w:t>
      </w:r>
      <w:r w:rsidRPr="008A0812">
        <w:rPr>
          <w:rFonts w:cs="Segoe UI"/>
          <w:sz w:val="20"/>
          <w:szCs w:val="20"/>
        </w:rPr>
        <w:t>:</w:t>
      </w:r>
    </w:p>
    <w:p w14:paraId="35B3E227" w14:textId="285744DC" w:rsidR="002670B3" w:rsidRPr="008A0812" w:rsidRDefault="002670B3" w:rsidP="00B40B9B">
      <w:pPr>
        <w:pStyle w:val="BodyText"/>
        <w:numPr>
          <w:ilvl w:val="0"/>
          <w:numId w:val="10"/>
        </w:numPr>
        <w:spacing w:before="0" w:after="0"/>
        <w:ind w:left="1483"/>
        <w:rPr>
          <w:rFonts w:cs="Segoe UI"/>
          <w:sz w:val="20"/>
          <w:szCs w:val="20"/>
        </w:rPr>
      </w:pPr>
      <w:r w:rsidRPr="008A0812">
        <w:rPr>
          <w:rFonts w:cs="Segoe UI"/>
          <w:sz w:val="20"/>
          <w:szCs w:val="20"/>
        </w:rPr>
        <w:t>Influent concentration data spans 1/1/2015 to 12/31/2018.</w:t>
      </w:r>
    </w:p>
    <w:p w14:paraId="53B6BF82" w14:textId="77777777" w:rsidR="00BC3044" w:rsidRPr="008A0812" w:rsidRDefault="00BC3044">
      <w:pPr>
        <w:overflowPunct/>
        <w:autoSpaceDE/>
        <w:autoSpaceDN/>
        <w:adjustRightInd/>
        <w:textAlignment w:val="auto"/>
        <w:rPr>
          <w:b/>
          <w:sz w:val="24"/>
        </w:rPr>
      </w:pPr>
      <w:r w:rsidRPr="008A0812">
        <w:br w:type="page"/>
      </w:r>
    </w:p>
    <w:p w14:paraId="3897BA08" w14:textId="224FDF3F" w:rsidR="004A4D5D" w:rsidRPr="008A0812" w:rsidRDefault="004A4D5D" w:rsidP="004A4D5D">
      <w:pPr>
        <w:pStyle w:val="TableHeading"/>
      </w:pPr>
      <w:bookmarkStart w:id="379" w:name="_Ref36233942"/>
      <w:bookmarkStart w:id="380" w:name="_Toc36414074"/>
      <w:bookmarkStart w:id="381" w:name="_Toc41684763"/>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379"/>
      <w:r w:rsidRPr="008A0812">
        <w:t xml:space="preserve">: SBWRP Current Influent Loading and Peaking </w:t>
      </w:r>
      <w:r w:rsidR="0083595C" w:rsidRPr="008A0812">
        <w:t>Factors</w:t>
      </w:r>
      <w:bookmarkEnd w:id="380"/>
      <w:bookmarkEnd w:id="381"/>
    </w:p>
    <w:tbl>
      <w:tblPr>
        <w:tblW w:w="93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318"/>
        <w:gridCol w:w="1319"/>
        <w:gridCol w:w="1319"/>
        <w:gridCol w:w="1318"/>
        <w:gridCol w:w="1319"/>
        <w:gridCol w:w="1319"/>
        <w:gridCol w:w="1419"/>
      </w:tblGrid>
      <w:tr w:rsidR="00DA18C2" w:rsidRPr="008A0812" w14:paraId="00BBDA95" w14:textId="77777777" w:rsidTr="003F3AB0">
        <w:trPr>
          <w:trHeight w:val="495"/>
        </w:trPr>
        <w:tc>
          <w:tcPr>
            <w:tcW w:w="1318" w:type="dxa"/>
            <w:shd w:val="clear" w:color="auto" w:fill="BFBFBF"/>
            <w:vAlign w:val="bottom"/>
            <w:hideMark/>
          </w:tcPr>
          <w:p w14:paraId="3D5BD31F"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Criteria</w:t>
            </w:r>
            <w:r w:rsidRPr="008A0812">
              <w:rPr>
                <w:rFonts w:cs="Segoe UI"/>
              </w:rPr>
              <w:t> </w:t>
            </w:r>
          </w:p>
        </w:tc>
        <w:tc>
          <w:tcPr>
            <w:tcW w:w="1319" w:type="dxa"/>
            <w:shd w:val="clear" w:color="auto" w:fill="BFBFBF"/>
            <w:vAlign w:val="bottom"/>
            <w:hideMark/>
          </w:tcPr>
          <w:p w14:paraId="06BF2821"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BOD Load</w:t>
            </w:r>
            <w:r w:rsidRPr="008A0812">
              <w:rPr>
                <w:rFonts w:cs="Segoe UI"/>
              </w:rPr>
              <w:t> </w:t>
            </w:r>
          </w:p>
          <w:p w14:paraId="6E73219F" w14:textId="2BBFDCE4"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c>
          <w:tcPr>
            <w:tcW w:w="1319" w:type="dxa"/>
            <w:shd w:val="clear" w:color="auto" w:fill="BFBFBF"/>
            <w:vAlign w:val="bottom"/>
            <w:hideMark/>
          </w:tcPr>
          <w:p w14:paraId="51DDD456"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BOD Peaking Factor</w:t>
            </w:r>
            <w:r w:rsidRPr="008A0812">
              <w:rPr>
                <w:rFonts w:cs="Segoe UI"/>
              </w:rPr>
              <w:t> </w:t>
            </w:r>
          </w:p>
          <w:p w14:paraId="4627BF95"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(xADWF)</w:t>
            </w:r>
            <w:r w:rsidRPr="008A0812">
              <w:rPr>
                <w:rFonts w:cs="Segoe UI"/>
              </w:rPr>
              <w:t> </w:t>
            </w:r>
          </w:p>
        </w:tc>
        <w:tc>
          <w:tcPr>
            <w:tcW w:w="1318" w:type="dxa"/>
            <w:shd w:val="clear" w:color="auto" w:fill="BFBFBF"/>
            <w:vAlign w:val="bottom"/>
            <w:hideMark/>
          </w:tcPr>
          <w:p w14:paraId="7DED96E2"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TSS Load</w:t>
            </w:r>
            <w:r w:rsidRPr="008A0812">
              <w:rPr>
                <w:rFonts w:cs="Segoe UI"/>
              </w:rPr>
              <w:t> </w:t>
            </w:r>
          </w:p>
          <w:p w14:paraId="1EC2618D" w14:textId="16BABAA0"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c>
          <w:tcPr>
            <w:tcW w:w="1319" w:type="dxa"/>
            <w:shd w:val="clear" w:color="auto" w:fill="BFBFBF"/>
            <w:vAlign w:val="bottom"/>
            <w:hideMark/>
          </w:tcPr>
          <w:p w14:paraId="22252508"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TSS Peaking Factor</w:t>
            </w:r>
            <w:r w:rsidRPr="008A0812">
              <w:rPr>
                <w:rFonts w:cs="Segoe UI"/>
              </w:rPr>
              <w:t> </w:t>
            </w:r>
          </w:p>
          <w:p w14:paraId="060A7056"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(xADWF)</w:t>
            </w:r>
            <w:r w:rsidRPr="008A0812">
              <w:rPr>
                <w:rFonts w:cs="Segoe UI"/>
              </w:rPr>
              <w:t> </w:t>
            </w:r>
          </w:p>
        </w:tc>
        <w:tc>
          <w:tcPr>
            <w:tcW w:w="1319" w:type="dxa"/>
            <w:shd w:val="clear" w:color="auto" w:fill="BFBFBF"/>
            <w:vAlign w:val="bottom"/>
            <w:hideMark/>
          </w:tcPr>
          <w:p w14:paraId="59845135"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Ammonia Load</w:t>
            </w:r>
            <w:r w:rsidRPr="008A0812">
              <w:rPr>
                <w:rFonts w:cs="Segoe UI"/>
              </w:rPr>
              <w:t> </w:t>
            </w:r>
          </w:p>
          <w:p w14:paraId="442C4069" w14:textId="669F1FC0"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c>
          <w:tcPr>
            <w:tcW w:w="1419" w:type="dxa"/>
            <w:shd w:val="clear" w:color="auto" w:fill="BFBFBF"/>
            <w:hideMark/>
          </w:tcPr>
          <w:p w14:paraId="70AFD408" w14:textId="2C9153B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Ammonia Peaking Factor</w:t>
            </w:r>
            <w:r w:rsidRPr="008A0812">
              <w:rPr>
                <w:rFonts w:cs="Segoe UI"/>
              </w:rPr>
              <w:t> </w:t>
            </w:r>
          </w:p>
          <w:p w14:paraId="24663995" w14:textId="77777777" w:rsidR="00DA18C2" w:rsidRPr="008A0812" w:rsidRDefault="00DA18C2" w:rsidP="00DA18C2">
            <w:pPr>
              <w:overflowPunct/>
              <w:autoSpaceDE/>
              <w:autoSpaceDN/>
              <w:adjustRightInd/>
              <w:jc w:val="center"/>
              <w:rPr>
                <w:rFonts w:ascii="Segoe UI" w:hAnsi="Segoe UI" w:cs="Segoe UI"/>
                <w:sz w:val="18"/>
                <w:szCs w:val="18"/>
              </w:rPr>
            </w:pPr>
            <w:r w:rsidRPr="008A0812">
              <w:rPr>
                <w:rFonts w:cs="Segoe UI"/>
                <w:b/>
                <w:bCs/>
                <w:color w:val="000000"/>
              </w:rPr>
              <w:t>(xADWF)</w:t>
            </w:r>
            <w:r w:rsidRPr="008A0812">
              <w:rPr>
                <w:rFonts w:cs="Segoe UI"/>
              </w:rPr>
              <w:t> </w:t>
            </w:r>
          </w:p>
        </w:tc>
      </w:tr>
      <w:tr w:rsidR="00E6181D" w:rsidRPr="008A0812" w14:paraId="786CF576" w14:textId="77777777" w:rsidTr="003F3AB0">
        <w:trPr>
          <w:trHeight w:val="345"/>
        </w:trPr>
        <w:tc>
          <w:tcPr>
            <w:tcW w:w="1318" w:type="dxa"/>
            <w:shd w:val="clear" w:color="auto" w:fill="auto"/>
            <w:vAlign w:val="center"/>
            <w:hideMark/>
          </w:tcPr>
          <w:p w14:paraId="41BD2440" w14:textId="77777777" w:rsidR="00E6181D" w:rsidRPr="008A0812" w:rsidRDefault="00E6181D" w:rsidP="00E6181D">
            <w:pPr>
              <w:overflowPunct/>
              <w:autoSpaceDE/>
              <w:autoSpaceDN/>
              <w:adjustRightInd/>
              <w:jc w:val="center"/>
              <w:rPr>
                <w:rFonts w:ascii="Segoe UI" w:hAnsi="Segoe UI" w:cs="Segoe UI"/>
                <w:sz w:val="18"/>
                <w:szCs w:val="18"/>
              </w:rPr>
            </w:pPr>
            <w:r w:rsidRPr="008A0812">
              <w:rPr>
                <w:rFonts w:cs="Segoe UI"/>
                <w:color w:val="000000"/>
              </w:rPr>
              <w:t>Average</w:t>
            </w:r>
            <w:r w:rsidRPr="008A0812">
              <w:rPr>
                <w:rFonts w:cs="Segoe UI"/>
              </w:rPr>
              <w:t> </w:t>
            </w:r>
          </w:p>
        </w:tc>
        <w:tc>
          <w:tcPr>
            <w:tcW w:w="1319" w:type="dxa"/>
            <w:shd w:val="clear" w:color="auto" w:fill="auto"/>
            <w:vAlign w:val="center"/>
            <w:hideMark/>
          </w:tcPr>
          <w:p w14:paraId="102485D8" w14:textId="69D80270" w:rsidR="00E6181D" w:rsidRPr="008A0812" w:rsidRDefault="00E6181D" w:rsidP="006F0792">
            <w:pPr>
              <w:overflowPunct/>
              <w:autoSpaceDE/>
              <w:autoSpaceDN/>
              <w:adjustRightInd/>
              <w:jc w:val="center"/>
              <w:rPr>
                <w:rFonts w:ascii="Segoe UI" w:hAnsi="Segoe UI" w:cs="Segoe UI"/>
                <w:sz w:val="18"/>
                <w:szCs w:val="18"/>
              </w:rPr>
            </w:pPr>
            <w:r w:rsidRPr="008A0812">
              <w:t>52,700</w:t>
            </w:r>
          </w:p>
        </w:tc>
        <w:tc>
          <w:tcPr>
            <w:tcW w:w="1319" w:type="dxa"/>
            <w:shd w:val="clear" w:color="auto" w:fill="auto"/>
            <w:vAlign w:val="center"/>
            <w:hideMark/>
          </w:tcPr>
          <w:p w14:paraId="642F5F32" w14:textId="1EE26EE3" w:rsidR="00E6181D" w:rsidRPr="008A0812" w:rsidRDefault="00E6181D" w:rsidP="007850C5">
            <w:pPr>
              <w:overflowPunct/>
              <w:autoSpaceDE/>
              <w:autoSpaceDN/>
              <w:adjustRightInd/>
              <w:jc w:val="center"/>
              <w:rPr>
                <w:rFonts w:ascii="Segoe UI" w:hAnsi="Segoe UI" w:cs="Segoe UI"/>
                <w:sz w:val="18"/>
                <w:szCs w:val="18"/>
              </w:rPr>
            </w:pPr>
            <w:r w:rsidRPr="008A0812">
              <w:t>1.00</w:t>
            </w:r>
          </w:p>
        </w:tc>
        <w:tc>
          <w:tcPr>
            <w:tcW w:w="1318" w:type="dxa"/>
            <w:shd w:val="clear" w:color="auto" w:fill="auto"/>
            <w:vAlign w:val="center"/>
            <w:hideMark/>
          </w:tcPr>
          <w:p w14:paraId="0863F60E" w14:textId="6FC4B907" w:rsidR="00E6181D" w:rsidRPr="008A0812" w:rsidRDefault="00E6181D" w:rsidP="007850C5">
            <w:pPr>
              <w:overflowPunct/>
              <w:autoSpaceDE/>
              <w:autoSpaceDN/>
              <w:adjustRightInd/>
              <w:jc w:val="center"/>
              <w:rPr>
                <w:rFonts w:ascii="Segoe UI" w:hAnsi="Segoe UI" w:cs="Segoe UI"/>
                <w:sz w:val="18"/>
                <w:szCs w:val="18"/>
              </w:rPr>
            </w:pPr>
            <w:r w:rsidRPr="008A0812">
              <w:t>44,100</w:t>
            </w:r>
          </w:p>
        </w:tc>
        <w:tc>
          <w:tcPr>
            <w:tcW w:w="1319" w:type="dxa"/>
            <w:shd w:val="clear" w:color="auto" w:fill="auto"/>
            <w:vAlign w:val="center"/>
            <w:hideMark/>
          </w:tcPr>
          <w:p w14:paraId="7DE33858" w14:textId="68FB3515" w:rsidR="00E6181D" w:rsidRPr="008A0812" w:rsidRDefault="00E6181D" w:rsidP="007850C5">
            <w:pPr>
              <w:overflowPunct/>
              <w:autoSpaceDE/>
              <w:autoSpaceDN/>
              <w:adjustRightInd/>
              <w:jc w:val="center"/>
              <w:rPr>
                <w:rFonts w:ascii="Segoe UI" w:hAnsi="Segoe UI" w:cs="Segoe UI"/>
                <w:sz w:val="18"/>
                <w:szCs w:val="18"/>
              </w:rPr>
            </w:pPr>
            <w:r w:rsidRPr="008A0812">
              <w:t>1.00</w:t>
            </w:r>
          </w:p>
        </w:tc>
        <w:tc>
          <w:tcPr>
            <w:tcW w:w="1319" w:type="dxa"/>
            <w:shd w:val="clear" w:color="auto" w:fill="auto"/>
            <w:vAlign w:val="center"/>
            <w:hideMark/>
          </w:tcPr>
          <w:p w14:paraId="10F59031" w14:textId="3EB0070F" w:rsidR="00E6181D" w:rsidRPr="008A0812" w:rsidRDefault="00E6181D" w:rsidP="007850C5">
            <w:pPr>
              <w:overflowPunct/>
              <w:autoSpaceDE/>
              <w:autoSpaceDN/>
              <w:adjustRightInd/>
              <w:jc w:val="center"/>
              <w:rPr>
                <w:rFonts w:ascii="Segoe UI" w:hAnsi="Segoe UI" w:cs="Segoe UI"/>
                <w:sz w:val="18"/>
                <w:szCs w:val="18"/>
              </w:rPr>
            </w:pPr>
            <w:r w:rsidRPr="008A0812">
              <w:t>5,700</w:t>
            </w:r>
          </w:p>
        </w:tc>
        <w:tc>
          <w:tcPr>
            <w:tcW w:w="1419" w:type="dxa"/>
            <w:shd w:val="clear" w:color="auto" w:fill="auto"/>
            <w:vAlign w:val="center"/>
            <w:hideMark/>
          </w:tcPr>
          <w:p w14:paraId="37A963F8" w14:textId="020B9DD9" w:rsidR="00E6181D" w:rsidRPr="008A0812" w:rsidRDefault="00E6181D" w:rsidP="007850C5">
            <w:pPr>
              <w:overflowPunct/>
              <w:autoSpaceDE/>
              <w:autoSpaceDN/>
              <w:adjustRightInd/>
              <w:jc w:val="center"/>
              <w:rPr>
                <w:rFonts w:ascii="Segoe UI" w:hAnsi="Segoe UI" w:cs="Segoe UI"/>
                <w:sz w:val="18"/>
                <w:szCs w:val="18"/>
              </w:rPr>
            </w:pPr>
            <w:r w:rsidRPr="008A0812">
              <w:t>1.00</w:t>
            </w:r>
          </w:p>
        </w:tc>
      </w:tr>
      <w:tr w:rsidR="00E6181D" w:rsidRPr="008A0812" w14:paraId="54FF5584" w14:textId="77777777" w:rsidTr="003F3AB0">
        <w:trPr>
          <w:trHeight w:val="360"/>
        </w:trPr>
        <w:tc>
          <w:tcPr>
            <w:tcW w:w="1318" w:type="dxa"/>
            <w:shd w:val="clear" w:color="auto" w:fill="auto"/>
            <w:vAlign w:val="center"/>
            <w:hideMark/>
          </w:tcPr>
          <w:p w14:paraId="07119DF1" w14:textId="77777777" w:rsidR="00E6181D" w:rsidRPr="008A0812" w:rsidRDefault="00E6181D" w:rsidP="00E6181D">
            <w:pPr>
              <w:overflowPunct/>
              <w:autoSpaceDE/>
              <w:autoSpaceDN/>
              <w:adjustRightInd/>
              <w:jc w:val="center"/>
              <w:rPr>
                <w:rFonts w:ascii="Segoe UI" w:hAnsi="Segoe UI" w:cs="Segoe UI"/>
                <w:sz w:val="18"/>
                <w:szCs w:val="18"/>
              </w:rPr>
            </w:pPr>
            <w:r w:rsidRPr="008A0812">
              <w:rPr>
                <w:rFonts w:cs="Segoe UI"/>
                <w:color w:val="000000"/>
              </w:rPr>
              <w:t>Max Month</w:t>
            </w:r>
            <w:r w:rsidRPr="008A0812">
              <w:rPr>
                <w:rFonts w:cs="Segoe UI"/>
              </w:rPr>
              <w:t> </w:t>
            </w:r>
          </w:p>
        </w:tc>
        <w:tc>
          <w:tcPr>
            <w:tcW w:w="1319" w:type="dxa"/>
            <w:shd w:val="clear" w:color="auto" w:fill="auto"/>
            <w:vAlign w:val="center"/>
            <w:hideMark/>
          </w:tcPr>
          <w:p w14:paraId="49E4D395" w14:textId="12B347AE" w:rsidR="00E6181D" w:rsidRPr="008A0812" w:rsidRDefault="00E6181D" w:rsidP="006F0792">
            <w:pPr>
              <w:overflowPunct/>
              <w:autoSpaceDE/>
              <w:autoSpaceDN/>
              <w:adjustRightInd/>
              <w:jc w:val="center"/>
              <w:rPr>
                <w:rFonts w:ascii="Segoe UI" w:hAnsi="Segoe UI" w:cs="Segoe UI"/>
                <w:sz w:val="18"/>
                <w:szCs w:val="18"/>
              </w:rPr>
            </w:pPr>
            <w:r w:rsidRPr="008A0812">
              <w:t>59,900</w:t>
            </w:r>
          </w:p>
        </w:tc>
        <w:tc>
          <w:tcPr>
            <w:tcW w:w="1319" w:type="dxa"/>
            <w:shd w:val="clear" w:color="auto" w:fill="auto"/>
            <w:vAlign w:val="center"/>
            <w:hideMark/>
          </w:tcPr>
          <w:p w14:paraId="6A95DB56" w14:textId="02D19A62" w:rsidR="00E6181D" w:rsidRPr="008A0812" w:rsidRDefault="00E6181D" w:rsidP="007850C5">
            <w:pPr>
              <w:overflowPunct/>
              <w:autoSpaceDE/>
              <w:autoSpaceDN/>
              <w:adjustRightInd/>
              <w:jc w:val="center"/>
              <w:rPr>
                <w:rFonts w:ascii="Segoe UI" w:hAnsi="Segoe UI" w:cs="Segoe UI"/>
                <w:sz w:val="18"/>
                <w:szCs w:val="18"/>
              </w:rPr>
            </w:pPr>
            <w:r w:rsidRPr="008A0812">
              <w:t>1.14</w:t>
            </w:r>
          </w:p>
        </w:tc>
        <w:tc>
          <w:tcPr>
            <w:tcW w:w="1318" w:type="dxa"/>
            <w:shd w:val="clear" w:color="auto" w:fill="auto"/>
            <w:vAlign w:val="center"/>
            <w:hideMark/>
          </w:tcPr>
          <w:p w14:paraId="120C54C7" w14:textId="3E1C669C" w:rsidR="00E6181D" w:rsidRPr="008A0812" w:rsidRDefault="00E6181D" w:rsidP="007850C5">
            <w:pPr>
              <w:overflowPunct/>
              <w:autoSpaceDE/>
              <w:autoSpaceDN/>
              <w:adjustRightInd/>
              <w:jc w:val="center"/>
              <w:rPr>
                <w:rFonts w:ascii="Segoe UI" w:hAnsi="Segoe UI" w:cs="Segoe UI"/>
                <w:sz w:val="18"/>
                <w:szCs w:val="18"/>
              </w:rPr>
            </w:pPr>
            <w:r w:rsidRPr="008A0812">
              <w:t>57,100</w:t>
            </w:r>
          </w:p>
        </w:tc>
        <w:tc>
          <w:tcPr>
            <w:tcW w:w="1319" w:type="dxa"/>
            <w:shd w:val="clear" w:color="auto" w:fill="auto"/>
            <w:vAlign w:val="center"/>
            <w:hideMark/>
          </w:tcPr>
          <w:p w14:paraId="7E1D044C" w14:textId="629953AD" w:rsidR="00E6181D" w:rsidRPr="008A0812" w:rsidRDefault="00E6181D" w:rsidP="007850C5">
            <w:pPr>
              <w:overflowPunct/>
              <w:autoSpaceDE/>
              <w:autoSpaceDN/>
              <w:adjustRightInd/>
              <w:jc w:val="center"/>
              <w:rPr>
                <w:rFonts w:ascii="Segoe UI" w:hAnsi="Segoe UI" w:cs="Segoe UI"/>
                <w:sz w:val="18"/>
                <w:szCs w:val="18"/>
              </w:rPr>
            </w:pPr>
            <w:r w:rsidRPr="008A0812">
              <w:t>1.29</w:t>
            </w:r>
          </w:p>
        </w:tc>
        <w:tc>
          <w:tcPr>
            <w:tcW w:w="1319" w:type="dxa"/>
            <w:shd w:val="clear" w:color="auto" w:fill="auto"/>
            <w:vAlign w:val="center"/>
            <w:hideMark/>
          </w:tcPr>
          <w:p w14:paraId="3A3AC5AE" w14:textId="2F2BFEFF" w:rsidR="00E6181D" w:rsidRPr="008A0812" w:rsidRDefault="00E6181D" w:rsidP="007850C5">
            <w:pPr>
              <w:overflowPunct/>
              <w:autoSpaceDE/>
              <w:autoSpaceDN/>
              <w:adjustRightInd/>
              <w:jc w:val="center"/>
              <w:rPr>
                <w:rFonts w:ascii="Segoe UI" w:hAnsi="Segoe UI" w:cs="Segoe UI"/>
                <w:sz w:val="18"/>
                <w:szCs w:val="18"/>
              </w:rPr>
            </w:pPr>
            <w:r w:rsidRPr="008A0812">
              <w:t>6,900</w:t>
            </w:r>
          </w:p>
        </w:tc>
        <w:tc>
          <w:tcPr>
            <w:tcW w:w="1419" w:type="dxa"/>
            <w:shd w:val="clear" w:color="auto" w:fill="auto"/>
            <w:vAlign w:val="center"/>
            <w:hideMark/>
          </w:tcPr>
          <w:p w14:paraId="7BBE779A" w14:textId="45E24CBC" w:rsidR="00E6181D" w:rsidRPr="008A0812" w:rsidRDefault="00E6181D" w:rsidP="007850C5">
            <w:pPr>
              <w:overflowPunct/>
              <w:autoSpaceDE/>
              <w:autoSpaceDN/>
              <w:adjustRightInd/>
              <w:jc w:val="center"/>
              <w:rPr>
                <w:rFonts w:ascii="Segoe UI" w:hAnsi="Segoe UI" w:cs="Segoe UI"/>
                <w:sz w:val="18"/>
                <w:szCs w:val="18"/>
              </w:rPr>
            </w:pPr>
            <w:r w:rsidRPr="008A0812">
              <w:t>1.21</w:t>
            </w:r>
          </w:p>
        </w:tc>
      </w:tr>
      <w:tr w:rsidR="00E6181D" w:rsidRPr="008A0812" w14:paraId="0912BF83" w14:textId="77777777" w:rsidTr="003F3AB0">
        <w:trPr>
          <w:trHeight w:val="360"/>
        </w:trPr>
        <w:tc>
          <w:tcPr>
            <w:tcW w:w="1318" w:type="dxa"/>
            <w:shd w:val="clear" w:color="auto" w:fill="auto"/>
            <w:vAlign w:val="center"/>
            <w:hideMark/>
          </w:tcPr>
          <w:p w14:paraId="62808B7B" w14:textId="77777777" w:rsidR="00E6181D" w:rsidRPr="008A0812" w:rsidRDefault="00E6181D" w:rsidP="00E6181D">
            <w:pPr>
              <w:overflowPunct/>
              <w:autoSpaceDE/>
              <w:autoSpaceDN/>
              <w:adjustRightInd/>
              <w:jc w:val="center"/>
              <w:rPr>
                <w:rFonts w:ascii="Segoe UI" w:hAnsi="Segoe UI" w:cs="Segoe UI"/>
                <w:sz w:val="18"/>
                <w:szCs w:val="18"/>
              </w:rPr>
            </w:pPr>
            <w:r w:rsidRPr="008A0812">
              <w:rPr>
                <w:rFonts w:cs="Segoe UI"/>
                <w:color w:val="000000"/>
              </w:rPr>
              <w:t>Max Week</w:t>
            </w:r>
            <w:r w:rsidRPr="008A0812">
              <w:rPr>
                <w:rFonts w:cs="Segoe UI"/>
              </w:rPr>
              <w:t> </w:t>
            </w:r>
          </w:p>
        </w:tc>
        <w:tc>
          <w:tcPr>
            <w:tcW w:w="1319" w:type="dxa"/>
            <w:shd w:val="clear" w:color="auto" w:fill="auto"/>
            <w:vAlign w:val="center"/>
            <w:hideMark/>
          </w:tcPr>
          <w:p w14:paraId="7873E86A" w14:textId="15A6A8CF" w:rsidR="00E6181D" w:rsidRPr="008A0812" w:rsidRDefault="00E6181D" w:rsidP="006F0792">
            <w:pPr>
              <w:overflowPunct/>
              <w:autoSpaceDE/>
              <w:autoSpaceDN/>
              <w:adjustRightInd/>
              <w:jc w:val="center"/>
              <w:rPr>
                <w:rFonts w:ascii="Segoe UI" w:hAnsi="Segoe UI" w:cs="Segoe UI"/>
                <w:sz w:val="18"/>
                <w:szCs w:val="18"/>
              </w:rPr>
            </w:pPr>
            <w:r w:rsidRPr="008A0812">
              <w:t>82,300</w:t>
            </w:r>
          </w:p>
        </w:tc>
        <w:tc>
          <w:tcPr>
            <w:tcW w:w="1319" w:type="dxa"/>
            <w:shd w:val="clear" w:color="auto" w:fill="auto"/>
            <w:vAlign w:val="center"/>
            <w:hideMark/>
          </w:tcPr>
          <w:p w14:paraId="11A81895" w14:textId="35A6BEE1" w:rsidR="00E6181D" w:rsidRPr="008A0812" w:rsidRDefault="00E6181D" w:rsidP="007850C5">
            <w:pPr>
              <w:overflowPunct/>
              <w:autoSpaceDE/>
              <w:autoSpaceDN/>
              <w:adjustRightInd/>
              <w:jc w:val="center"/>
              <w:rPr>
                <w:rFonts w:ascii="Segoe UI" w:hAnsi="Segoe UI" w:cs="Segoe UI"/>
                <w:sz w:val="18"/>
                <w:szCs w:val="18"/>
              </w:rPr>
            </w:pPr>
            <w:r w:rsidRPr="008A0812">
              <w:t>1.56</w:t>
            </w:r>
          </w:p>
        </w:tc>
        <w:tc>
          <w:tcPr>
            <w:tcW w:w="1318" w:type="dxa"/>
            <w:shd w:val="clear" w:color="auto" w:fill="auto"/>
            <w:vAlign w:val="center"/>
            <w:hideMark/>
          </w:tcPr>
          <w:p w14:paraId="78C3B928" w14:textId="58F5819F" w:rsidR="00E6181D" w:rsidRPr="008A0812" w:rsidRDefault="00E6181D" w:rsidP="007850C5">
            <w:pPr>
              <w:overflowPunct/>
              <w:autoSpaceDE/>
              <w:autoSpaceDN/>
              <w:adjustRightInd/>
              <w:jc w:val="center"/>
              <w:rPr>
                <w:rFonts w:ascii="Segoe UI" w:hAnsi="Segoe UI" w:cs="Segoe UI"/>
                <w:sz w:val="18"/>
                <w:szCs w:val="18"/>
              </w:rPr>
            </w:pPr>
            <w:r w:rsidRPr="008A0812">
              <w:t>65,200</w:t>
            </w:r>
          </w:p>
        </w:tc>
        <w:tc>
          <w:tcPr>
            <w:tcW w:w="1319" w:type="dxa"/>
            <w:shd w:val="clear" w:color="auto" w:fill="auto"/>
            <w:vAlign w:val="center"/>
            <w:hideMark/>
          </w:tcPr>
          <w:p w14:paraId="07A33A1B" w14:textId="5D7AA054" w:rsidR="00E6181D" w:rsidRPr="008A0812" w:rsidRDefault="00E6181D" w:rsidP="007850C5">
            <w:pPr>
              <w:overflowPunct/>
              <w:autoSpaceDE/>
              <w:autoSpaceDN/>
              <w:adjustRightInd/>
              <w:jc w:val="center"/>
              <w:rPr>
                <w:rFonts w:ascii="Segoe UI" w:hAnsi="Segoe UI" w:cs="Segoe UI"/>
                <w:sz w:val="18"/>
                <w:szCs w:val="18"/>
              </w:rPr>
            </w:pPr>
            <w:r w:rsidRPr="008A0812">
              <w:t>1.48</w:t>
            </w:r>
          </w:p>
        </w:tc>
        <w:tc>
          <w:tcPr>
            <w:tcW w:w="1319" w:type="dxa"/>
            <w:shd w:val="clear" w:color="auto" w:fill="auto"/>
            <w:vAlign w:val="center"/>
            <w:hideMark/>
          </w:tcPr>
          <w:p w14:paraId="1BF8D9FB" w14:textId="4465A21D" w:rsidR="00E6181D" w:rsidRPr="008A0812" w:rsidRDefault="00E6181D" w:rsidP="007850C5">
            <w:pPr>
              <w:overflowPunct/>
              <w:autoSpaceDE/>
              <w:autoSpaceDN/>
              <w:adjustRightInd/>
              <w:jc w:val="center"/>
              <w:rPr>
                <w:rFonts w:ascii="Segoe UI" w:hAnsi="Segoe UI" w:cs="Segoe UI"/>
                <w:sz w:val="18"/>
                <w:szCs w:val="18"/>
              </w:rPr>
            </w:pPr>
            <w:r w:rsidRPr="008A0812">
              <w:t>6,300</w:t>
            </w:r>
          </w:p>
        </w:tc>
        <w:tc>
          <w:tcPr>
            <w:tcW w:w="1419" w:type="dxa"/>
            <w:shd w:val="clear" w:color="auto" w:fill="auto"/>
            <w:vAlign w:val="center"/>
            <w:hideMark/>
          </w:tcPr>
          <w:p w14:paraId="34CF2031" w14:textId="0A090615" w:rsidR="00E6181D" w:rsidRPr="008A0812" w:rsidRDefault="00E6181D" w:rsidP="007850C5">
            <w:pPr>
              <w:overflowPunct/>
              <w:autoSpaceDE/>
              <w:autoSpaceDN/>
              <w:adjustRightInd/>
              <w:jc w:val="center"/>
              <w:rPr>
                <w:rFonts w:ascii="Segoe UI" w:hAnsi="Segoe UI" w:cs="Segoe UI"/>
                <w:sz w:val="18"/>
                <w:szCs w:val="18"/>
              </w:rPr>
            </w:pPr>
            <w:r w:rsidRPr="008A0812">
              <w:t>1.11</w:t>
            </w:r>
          </w:p>
        </w:tc>
      </w:tr>
      <w:tr w:rsidR="00E6181D" w:rsidRPr="008A0812" w14:paraId="39F5C17E" w14:textId="77777777" w:rsidTr="003F3AB0">
        <w:trPr>
          <w:trHeight w:val="360"/>
        </w:trPr>
        <w:tc>
          <w:tcPr>
            <w:tcW w:w="1318" w:type="dxa"/>
            <w:shd w:val="clear" w:color="auto" w:fill="auto"/>
            <w:vAlign w:val="center"/>
            <w:hideMark/>
          </w:tcPr>
          <w:p w14:paraId="2F49B18C" w14:textId="77777777" w:rsidR="00E6181D" w:rsidRPr="008A0812" w:rsidRDefault="00E6181D" w:rsidP="00E6181D">
            <w:pPr>
              <w:overflowPunct/>
              <w:autoSpaceDE/>
              <w:autoSpaceDN/>
              <w:adjustRightInd/>
              <w:jc w:val="center"/>
              <w:rPr>
                <w:rFonts w:ascii="Segoe UI" w:hAnsi="Segoe UI" w:cs="Segoe UI"/>
                <w:sz w:val="18"/>
                <w:szCs w:val="18"/>
              </w:rPr>
            </w:pPr>
            <w:r w:rsidRPr="008A0812">
              <w:rPr>
                <w:rFonts w:cs="Segoe UI"/>
                <w:color w:val="000000"/>
              </w:rPr>
              <w:t>Max Day</w:t>
            </w:r>
            <w:r w:rsidRPr="008A0812">
              <w:rPr>
                <w:rFonts w:cs="Segoe UI"/>
              </w:rPr>
              <w:t> </w:t>
            </w:r>
          </w:p>
        </w:tc>
        <w:tc>
          <w:tcPr>
            <w:tcW w:w="1319" w:type="dxa"/>
            <w:shd w:val="clear" w:color="auto" w:fill="auto"/>
            <w:vAlign w:val="center"/>
            <w:hideMark/>
          </w:tcPr>
          <w:p w14:paraId="392D211A" w14:textId="173B1B6A" w:rsidR="00E6181D" w:rsidRPr="008A0812" w:rsidRDefault="00E6181D" w:rsidP="006F0792">
            <w:pPr>
              <w:overflowPunct/>
              <w:autoSpaceDE/>
              <w:autoSpaceDN/>
              <w:adjustRightInd/>
              <w:jc w:val="center"/>
              <w:rPr>
                <w:rFonts w:ascii="Segoe UI" w:hAnsi="Segoe UI" w:cs="Segoe UI"/>
                <w:sz w:val="18"/>
                <w:szCs w:val="18"/>
              </w:rPr>
            </w:pPr>
            <w:r w:rsidRPr="008A0812">
              <w:t>98,200</w:t>
            </w:r>
          </w:p>
        </w:tc>
        <w:tc>
          <w:tcPr>
            <w:tcW w:w="1319" w:type="dxa"/>
            <w:shd w:val="clear" w:color="auto" w:fill="auto"/>
            <w:vAlign w:val="center"/>
            <w:hideMark/>
          </w:tcPr>
          <w:p w14:paraId="135BA2BD" w14:textId="5197656F" w:rsidR="00E6181D" w:rsidRPr="008A0812" w:rsidRDefault="00E6181D" w:rsidP="007850C5">
            <w:pPr>
              <w:overflowPunct/>
              <w:autoSpaceDE/>
              <w:autoSpaceDN/>
              <w:adjustRightInd/>
              <w:jc w:val="center"/>
              <w:rPr>
                <w:rFonts w:ascii="Segoe UI" w:hAnsi="Segoe UI" w:cs="Segoe UI"/>
                <w:sz w:val="18"/>
                <w:szCs w:val="18"/>
              </w:rPr>
            </w:pPr>
            <w:r w:rsidRPr="008A0812">
              <w:t>1.86</w:t>
            </w:r>
          </w:p>
        </w:tc>
        <w:tc>
          <w:tcPr>
            <w:tcW w:w="1318" w:type="dxa"/>
            <w:shd w:val="clear" w:color="auto" w:fill="auto"/>
            <w:vAlign w:val="center"/>
            <w:hideMark/>
          </w:tcPr>
          <w:p w14:paraId="3D7EDA4B" w14:textId="381B2872" w:rsidR="00E6181D" w:rsidRPr="008A0812" w:rsidRDefault="00E6181D" w:rsidP="007850C5">
            <w:pPr>
              <w:overflowPunct/>
              <w:autoSpaceDE/>
              <w:autoSpaceDN/>
              <w:adjustRightInd/>
              <w:jc w:val="center"/>
              <w:rPr>
                <w:rFonts w:ascii="Segoe UI" w:hAnsi="Segoe UI" w:cs="Segoe UI"/>
                <w:sz w:val="18"/>
                <w:szCs w:val="18"/>
              </w:rPr>
            </w:pPr>
            <w:r w:rsidRPr="008A0812">
              <w:t>104,100</w:t>
            </w:r>
          </w:p>
        </w:tc>
        <w:tc>
          <w:tcPr>
            <w:tcW w:w="1319" w:type="dxa"/>
            <w:shd w:val="clear" w:color="auto" w:fill="auto"/>
            <w:vAlign w:val="center"/>
            <w:hideMark/>
          </w:tcPr>
          <w:p w14:paraId="46893A79" w14:textId="04EB5E15" w:rsidR="00E6181D" w:rsidRPr="008A0812" w:rsidRDefault="00E6181D" w:rsidP="007850C5">
            <w:pPr>
              <w:overflowPunct/>
              <w:autoSpaceDE/>
              <w:autoSpaceDN/>
              <w:adjustRightInd/>
              <w:jc w:val="center"/>
              <w:rPr>
                <w:rFonts w:ascii="Segoe UI" w:hAnsi="Segoe UI" w:cs="Segoe UI"/>
                <w:sz w:val="18"/>
                <w:szCs w:val="18"/>
              </w:rPr>
            </w:pPr>
            <w:r w:rsidRPr="008A0812">
              <w:t>2.36</w:t>
            </w:r>
          </w:p>
        </w:tc>
        <w:tc>
          <w:tcPr>
            <w:tcW w:w="1319" w:type="dxa"/>
            <w:shd w:val="clear" w:color="auto" w:fill="auto"/>
            <w:vAlign w:val="center"/>
            <w:hideMark/>
          </w:tcPr>
          <w:p w14:paraId="19951BE3" w14:textId="5484F5BD" w:rsidR="00E6181D" w:rsidRPr="008A0812" w:rsidRDefault="00E6181D" w:rsidP="007850C5">
            <w:pPr>
              <w:overflowPunct/>
              <w:autoSpaceDE/>
              <w:autoSpaceDN/>
              <w:adjustRightInd/>
              <w:jc w:val="center"/>
              <w:rPr>
                <w:rFonts w:ascii="Segoe UI" w:hAnsi="Segoe UI" w:cs="Segoe UI"/>
                <w:sz w:val="18"/>
                <w:szCs w:val="18"/>
              </w:rPr>
            </w:pPr>
            <w:r w:rsidRPr="008A0812">
              <w:t>9,100</w:t>
            </w:r>
          </w:p>
        </w:tc>
        <w:tc>
          <w:tcPr>
            <w:tcW w:w="1419" w:type="dxa"/>
            <w:shd w:val="clear" w:color="auto" w:fill="auto"/>
            <w:vAlign w:val="center"/>
            <w:hideMark/>
          </w:tcPr>
          <w:p w14:paraId="085B8479" w14:textId="0BD430A6" w:rsidR="00E6181D" w:rsidRPr="008A0812" w:rsidRDefault="00E6181D" w:rsidP="007850C5">
            <w:pPr>
              <w:overflowPunct/>
              <w:autoSpaceDE/>
              <w:autoSpaceDN/>
              <w:adjustRightInd/>
              <w:jc w:val="center"/>
              <w:rPr>
                <w:rFonts w:ascii="Segoe UI" w:hAnsi="Segoe UI" w:cs="Segoe UI"/>
                <w:sz w:val="18"/>
                <w:szCs w:val="18"/>
              </w:rPr>
            </w:pPr>
            <w:r w:rsidRPr="008A0812">
              <w:t>1.60</w:t>
            </w:r>
          </w:p>
        </w:tc>
      </w:tr>
    </w:tbl>
    <w:p w14:paraId="5D352870" w14:textId="77777777" w:rsidR="0083595C" w:rsidRPr="008A0812" w:rsidRDefault="0083595C" w:rsidP="0083595C">
      <w:pPr>
        <w:pStyle w:val="BodyText"/>
        <w:spacing w:after="0"/>
        <w:ind w:left="720"/>
        <w:rPr>
          <w:rFonts w:cs="Segoe UI"/>
          <w:sz w:val="20"/>
          <w:szCs w:val="20"/>
        </w:rPr>
      </w:pPr>
      <w:r w:rsidRPr="008A0812">
        <w:rPr>
          <w:rFonts w:cs="Segoe UI"/>
          <w:sz w:val="20"/>
          <w:szCs w:val="20"/>
        </w:rPr>
        <w:t>Notes:</w:t>
      </w:r>
    </w:p>
    <w:p w14:paraId="5B5D2C19" w14:textId="0FE4E56F" w:rsidR="0083595C" w:rsidRPr="008A0812" w:rsidRDefault="0083595C" w:rsidP="0083595C">
      <w:pPr>
        <w:pStyle w:val="BodyText"/>
        <w:numPr>
          <w:ilvl w:val="0"/>
          <w:numId w:val="55"/>
        </w:numPr>
        <w:spacing w:before="0" w:after="0"/>
        <w:rPr>
          <w:rFonts w:cs="Segoe UI"/>
          <w:sz w:val="20"/>
          <w:szCs w:val="20"/>
        </w:rPr>
      </w:pPr>
      <w:r w:rsidRPr="008A0812">
        <w:rPr>
          <w:rFonts w:cs="Segoe UI"/>
          <w:sz w:val="20"/>
          <w:szCs w:val="20"/>
        </w:rPr>
        <w:t>Data utilized for loading and peaking factors spans 1/1/2015 to 12/31/2018.</w:t>
      </w:r>
    </w:p>
    <w:p w14:paraId="4CD4B171" w14:textId="281388C3" w:rsidR="00D613B7" w:rsidRPr="008A0812" w:rsidRDefault="00703F70" w:rsidP="002902FB">
      <w:pPr>
        <w:pStyle w:val="BodyText"/>
      </w:pPr>
      <w:r w:rsidRPr="008A0812">
        <w:t>BOD, TSS and Ammonia average dry weather loading were compared with maximum month, week and day values to produce their corresponding peaking factors</w:t>
      </w:r>
      <w:r w:rsidR="0002787C" w:rsidRPr="008A0812">
        <w:t xml:space="preserve">, which are presented in </w:t>
      </w:r>
      <w:r w:rsidR="0002787C" w:rsidRPr="008A0812">
        <w:fldChar w:fldCharType="begin"/>
      </w:r>
      <w:r w:rsidR="0002787C" w:rsidRPr="008A0812">
        <w:instrText xml:space="preserve"> REF _Ref36233942 \h </w:instrText>
      </w:r>
      <w:r w:rsidR="008A0812">
        <w:instrText xml:space="preserve"> \* MERGEFORMAT </w:instrText>
      </w:r>
      <w:r w:rsidR="0002787C" w:rsidRPr="008A0812">
        <w:fldChar w:fldCharType="separate"/>
      </w:r>
      <w:r w:rsidR="00AA68F8" w:rsidRPr="008A0812">
        <w:t xml:space="preserve">Table </w:t>
      </w:r>
      <w:r w:rsidR="00AA68F8">
        <w:rPr>
          <w:noProof/>
        </w:rPr>
        <w:t>6</w:t>
      </w:r>
      <w:r w:rsidR="00AA68F8" w:rsidRPr="008A0812">
        <w:rPr>
          <w:noProof/>
        </w:rPr>
        <w:noBreakHyphen/>
      </w:r>
      <w:r w:rsidR="00AA68F8">
        <w:rPr>
          <w:noProof/>
        </w:rPr>
        <w:t>7</w:t>
      </w:r>
      <w:r w:rsidR="0002787C" w:rsidRPr="008A0812">
        <w:fldChar w:fldCharType="end"/>
      </w:r>
      <w:r w:rsidRPr="008A0812">
        <w:t>. These peaking factors will be utilized for future capacity determinations.</w:t>
      </w:r>
    </w:p>
    <w:p w14:paraId="005966FF" w14:textId="4E3F1C42" w:rsidR="0002787C" w:rsidRPr="008A0812" w:rsidRDefault="0002787C" w:rsidP="0002787C">
      <w:pPr>
        <w:pStyle w:val="TableHeading"/>
      </w:pPr>
      <w:bookmarkStart w:id="382" w:name="_Ref36233970"/>
      <w:bookmarkStart w:id="383" w:name="_Toc36414075"/>
      <w:bookmarkStart w:id="384" w:name="_Toc41684764"/>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382"/>
      <w:r w:rsidRPr="008A0812">
        <w:t>: SBWRP Projected Influent Loading</w:t>
      </w:r>
      <w:bookmarkEnd w:id="383"/>
      <w:bookmarkEnd w:id="384"/>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2"/>
        <w:gridCol w:w="2976"/>
        <w:gridCol w:w="1691"/>
        <w:gridCol w:w="1691"/>
        <w:gridCol w:w="1691"/>
      </w:tblGrid>
      <w:tr w:rsidR="00C25AB2" w:rsidRPr="008A0812" w14:paraId="7336DED0" w14:textId="77777777" w:rsidTr="003F3AB0">
        <w:trPr>
          <w:trHeight w:val="495"/>
          <w:jc w:val="center"/>
        </w:trPr>
        <w:tc>
          <w:tcPr>
            <w:tcW w:w="0" w:type="auto"/>
            <w:shd w:val="clear" w:color="auto" w:fill="BFBFBF" w:themeFill="background1" w:themeFillShade="BF"/>
            <w:vAlign w:val="bottom"/>
            <w:hideMark/>
          </w:tcPr>
          <w:p w14:paraId="29F9898E" w14:textId="1643DD1B" w:rsidR="00C25AB2" w:rsidRPr="008A0812" w:rsidRDefault="00C25AB2" w:rsidP="002902FB">
            <w:pPr>
              <w:overflowPunct/>
              <w:autoSpaceDE/>
              <w:autoSpaceDN/>
              <w:adjustRightInd/>
              <w:jc w:val="center"/>
              <w:textAlignment w:val="auto"/>
              <w:rPr>
                <w:rFonts w:ascii="Segoe UI" w:hAnsi="Segoe UI" w:cs="Segoe UI"/>
                <w:sz w:val="18"/>
                <w:szCs w:val="18"/>
              </w:rPr>
            </w:pPr>
            <w:bookmarkStart w:id="385" w:name="_Hlk20815686"/>
            <w:r w:rsidRPr="008A0812">
              <w:rPr>
                <w:rFonts w:cs="Segoe UI"/>
                <w:b/>
                <w:bCs/>
                <w:color w:val="000000"/>
              </w:rPr>
              <w:t>Criteria</w:t>
            </w:r>
          </w:p>
        </w:tc>
        <w:tc>
          <w:tcPr>
            <w:tcW w:w="2976" w:type="dxa"/>
            <w:shd w:val="clear" w:color="auto" w:fill="BFBFBF" w:themeFill="background1" w:themeFillShade="BF"/>
            <w:vAlign w:val="bottom"/>
          </w:tcPr>
          <w:p w14:paraId="28B78ACB" w14:textId="6F1BA9A2" w:rsidR="00C25AB2" w:rsidRPr="008A0812" w:rsidRDefault="00C25AB2" w:rsidP="006F0792">
            <w:pPr>
              <w:overflowPunct/>
              <w:autoSpaceDE/>
              <w:autoSpaceDN/>
              <w:adjustRightInd/>
              <w:jc w:val="center"/>
              <w:rPr>
                <w:rFonts w:cs="Segoe UI"/>
                <w:b/>
                <w:bCs/>
                <w:color w:val="000000"/>
              </w:rPr>
            </w:pPr>
            <w:r w:rsidRPr="008A0812">
              <w:rPr>
                <w:rFonts w:cs="Segoe UI"/>
                <w:b/>
                <w:bCs/>
                <w:color w:val="000000"/>
              </w:rPr>
              <w:t>Service Areas Included</w:t>
            </w:r>
          </w:p>
        </w:tc>
        <w:tc>
          <w:tcPr>
            <w:tcW w:w="1691" w:type="dxa"/>
            <w:shd w:val="clear" w:color="auto" w:fill="BFBFBF" w:themeFill="background1" w:themeFillShade="BF"/>
            <w:vAlign w:val="bottom"/>
            <w:hideMark/>
          </w:tcPr>
          <w:p w14:paraId="21339422" w14:textId="77777777" w:rsidR="00C25AB2" w:rsidRPr="008A0812" w:rsidRDefault="00C25AB2" w:rsidP="00C25AB2">
            <w:pPr>
              <w:overflowPunct/>
              <w:autoSpaceDE/>
              <w:autoSpaceDN/>
              <w:adjustRightInd/>
              <w:jc w:val="center"/>
              <w:rPr>
                <w:rFonts w:cs="Segoe UI"/>
                <w:b/>
                <w:bCs/>
                <w:color w:val="000000"/>
              </w:rPr>
            </w:pPr>
            <w:r w:rsidRPr="008A0812">
              <w:rPr>
                <w:rFonts w:cs="Segoe UI"/>
                <w:b/>
                <w:bCs/>
                <w:color w:val="000000"/>
              </w:rPr>
              <w:t>BOD Load</w:t>
            </w:r>
          </w:p>
          <w:p w14:paraId="651ECA40" w14:textId="415F0A07" w:rsidR="0063269A" w:rsidRPr="008A0812" w:rsidRDefault="0063269A" w:rsidP="006F079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c>
          <w:tcPr>
            <w:tcW w:w="1691" w:type="dxa"/>
            <w:shd w:val="clear" w:color="auto" w:fill="BFBFBF" w:themeFill="background1" w:themeFillShade="BF"/>
            <w:vAlign w:val="bottom"/>
            <w:hideMark/>
          </w:tcPr>
          <w:p w14:paraId="7DE296AB" w14:textId="77777777" w:rsidR="00C25AB2" w:rsidRPr="008A0812" w:rsidRDefault="00C25AB2" w:rsidP="00C25AB2">
            <w:pPr>
              <w:overflowPunct/>
              <w:autoSpaceDE/>
              <w:autoSpaceDN/>
              <w:adjustRightInd/>
              <w:jc w:val="center"/>
              <w:rPr>
                <w:rFonts w:cs="Segoe UI"/>
                <w:b/>
                <w:bCs/>
                <w:color w:val="000000"/>
              </w:rPr>
            </w:pPr>
            <w:r w:rsidRPr="008A0812">
              <w:rPr>
                <w:rFonts w:cs="Segoe UI"/>
                <w:b/>
                <w:bCs/>
                <w:color w:val="000000"/>
              </w:rPr>
              <w:t>TSS Load</w:t>
            </w:r>
          </w:p>
          <w:p w14:paraId="6941E5E5" w14:textId="6E52A828" w:rsidR="0063269A" w:rsidRPr="008A0812" w:rsidRDefault="0063269A" w:rsidP="006F079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c>
          <w:tcPr>
            <w:tcW w:w="1691" w:type="dxa"/>
            <w:shd w:val="clear" w:color="auto" w:fill="BFBFBF" w:themeFill="background1" w:themeFillShade="BF"/>
            <w:vAlign w:val="bottom"/>
            <w:hideMark/>
          </w:tcPr>
          <w:p w14:paraId="271B3F92" w14:textId="77777777" w:rsidR="00C25AB2" w:rsidRPr="008A0812" w:rsidRDefault="00C25AB2" w:rsidP="00C25AB2">
            <w:pPr>
              <w:overflowPunct/>
              <w:autoSpaceDE/>
              <w:autoSpaceDN/>
              <w:adjustRightInd/>
              <w:jc w:val="center"/>
              <w:rPr>
                <w:rFonts w:cs="Segoe UI"/>
                <w:b/>
                <w:bCs/>
                <w:color w:val="000000"/>
              </w:rPr>
            </w:pPr>
            <w:r w:rsidRPr="008A0812">
              <w:rPr>
                <w:rFonts w:cs="Segoe UI"/>
                <w:b/>
                <w:bCs/>
                <w:color w:val="000000"/>
              </w:rPr>
              <w:t>Ammonia Load</w:t>
            </w:r>
          </w:p>
          <w:p w14:paraId="201D6A92" w14:textId="637453DE" w:rsidR="0063269A" w:rsidRPr="008A0812" w:rsidRDefault="0063269A" w:rsidP="006F0792">
            <w:pPr>
              <w:overflowPunct/>
              <w:autoSpaceDE/>
              <w:autoSpaceDN/>
              <w:adjustRightInd/>
              <w:jc w:val="center"/>
              <w:rPr>
                <w:rFonts w:ascii="Segoe UI" w:hAnsi="Segoe UI" w:cs="Segoe UI"/>
                <w:sz w:val="18"/>
                <w:szCs w:val="18"/>
              </w:rPr>
            </w:pPr>
            <w:r w:rsidRPr="008A0812">
              <w:rPr>
                <w:rFonts w:cs="Segoe UI"/>
                <w:b/>
                <w:bCs/>
                <w:color w:val="000000"/>
              </w:rPr>
              <w:t>(lb</w:t>
            </w:r>
            <w:r w:rsidR="003F3AB0" w:rsidRPr="008A0812">
              <w:rPr>
                <w:rFonts w:cs="Segoe UI"/>
                <w:b/>
                <w:bCs/>
                <w:color w:val="000000"/>
              </w:rPr>
              <w:t>.</w:t>
            </w:r>
            <w:r w:rsidRPr="008A0812">
              <w:rPr>
                <w:rFonts w:cs="Segoe UI"/>
                <w:b/>
                <w:bCs/>
                <w:color w:val="000000"/>
              </w:rPr>
              <w:t>/d</w:t>
            </w:r>
            <w:r w:rsidR="003F3AB0" w:rsidRPr="008A0812">
              <w:rPr>
                <w:rFonts w:cs="Segoe UI"/>
                <w:b/>
                <w:bCs/>
                <w:color w:val="000000"/>
              </w:rPr>
              <w:t>ay</w:t>
            </w:r>
            <w:r w:rsidRPr="008A0812">
              <w:rPr>
                <w:rFonts w:cs="Segoe UI"/>
                <w:b/>
                <w:bCs/>
                <w:color w:val="000000"/>
              </w:rPr>
              <w:t>)</w:t>
            </w:r>
            <w:r w:rsidRPr="008A0812">
              <w:rPr>
                <w:rFonts w:cs="Segoe UI"/>
              </w:rPr>
              <w:t> </w:t>
            </w:r>
          </w:p>
        </w:tc>
      </w:tr>
      <w:tr w:rsidR="00C25AB2" w:rsidRPr="008A0812" w14:paraId="445001B4" w14:textId="77777777" w:rsidTr="003F3AB0">
        <w:trPr>
          <w:trHeight w:val="345"/>
          <w:jc w:val="center"/>
        </w:trPr>
        <w:tc>
          <w:tcPr>
            <w:tcW w:w="1282" w:type="dxa"/>
            <w:shd w:val="clear" w:color="auto" w:fill="auto"/>
            <w:vAlign w:val="center"/>
            <w:hideMark/>
          </w:tcPr>
          <w:p w14:paraId="1B0EBC43" w14:textId="64096ED5"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Current</w:t>
            </w:r>
          </w:p>
        </w:tc>
        <w:tc>
          <w:tcPr>
            <w:tcW w:w="2976" w:type="dxa"/>
            <w:vAlign w:val="center"/>
          </w:tcPr>
          <w:p w14:paraId="545BDF92" w14:textId="1C362EC1" w:rsidR="00C25AB2" w:rsidRPr="008A0812" w:rsidRDefault="00C25AB2" w:rsidP="007850C5">
            <w:pPr>
              <w:overflowPunct/>
              <w:autoSpaceDE/>
              <w:autoSpaceDN/>
              <w:adjustRightInd/>
              <w:jc w:val="center"/>
              <w:rPr>
                <w:rFonts w:cs="Segoe UI"/>
                <w:color w:val="000000"/>
              </w:rPr>
            </w:pPr>
            <w:r w:rsidRPr="008A0812">
              <w:rPr>
                <w:rFonts w:cs="Segoe UI"/>
                <w:color w:val="000000"/>
              </w:rPr>
              <w:t>SBMWD, Loma Linda, EVWD</w:t>
            </w:r>
          </w:p>
        </w:tc>
        <w:tc>
          <w:tcPr>
            <w:tcW w:w="1691" w:type="dxa"/>
            <w:shd w:val="clear" w:color="auto" w:fill="auto"/>
            <w:vAlign w:val="center"/>
            <w:hideMark/>
          </w:tcPr>
          <w:p w14:paraId="1F5922FE" w14:textId="54928208"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color w:val="000000"/>
              </w:rPr>
              <w:t>52,700</w:t>
            </w:r>
            <w:r w:rsidRPr="008A0812">
              <w:rPr>
                <w:rFonts w:cs="Segoe UI"/>
              </w:rPr>
              <w:t> </w:t>
            </w:r>
          </w:p>
        </w:tc>
        <w:tc>
          <w:tcPr>
            <w:tcW w:w="1691" w:type="dxa"/>
            <w:shd w:val="clear" w:color="auto" w:fill="auto"/>
            <w:vAlign w:val="center"/>
            <w:hideMark/>
          </w:tcPr>
          <w:p w14:paraId="39A03D25" w14:textId="13935ECD"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color w:val="000000"/>
              </w:rPr>
              <w:t>44,300</w:t>
            </w:r>
            <w:r w:rsidRPr="008A0812">
              <w:rPr>
                <w:rFonts w:cs="Segoe UI"/>
              </w:rPr>
              <w:t> </w:t>
            </w:r>
          </w:p>
        </w:tc>
        <w:tc>
          <w:tcPr>
            <w:tcW w:w="1691" w:type="dxa"/>
            <w:shd w:val="clear" w:color="auto" w:fill="auto"/>
            <w:vAlign w:val="center"/>
            <w:hideMark/>
          </w:tcPr>
          <w:p w14:paraId="53568A3C" w14:textId="17A8958C"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color w:val="000000"/>
              </w:rPr>
              <w:t>5,700</w:t>
            </w:r>
            <w:r w:rsidRPr="008A0812">
              <w:rPr>
                <w:rFonts w:cs="Segoe UI"/>
              </w:rPr>
              <w:t> </w:t>
            </w:r>
          </w:p>
        </w:tc>
      </w:tr>
      <w:tr w:rsidR="00C25AB2" w:rsidRPr="008A0812" w14:paraId="7CC831CB" w14:textId="77777777" w:rsidTr="003F3AB0">
        <w:trPr>
          <w:trHeight w:val="360"/>
          <w:jc w:val="center"/>
        </w:trPr>
        <w:tc>
          <w:tcPr>
            <w:tcW w:w="1282" w:type="dxa"/>
            <w:shd w:val="clear" w:color="auto" w:fill="auto"/>
            <w:vAlign w:val="center"/>
            <w:hideMark/>
          </w:tcPr>
          <w:p w14:paraId="4C5E3074" w14:textId="01C9FE8A"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2020</w:t>
            </w:r>
          </w:p>
        </w:tc>
        <w:tc>
          <w:tcPr>
            <w:tcW w:w="2976" w:type="dxa"/>
            <w:vAlign w:val="center"/>
          </w:tcPr>
          <w:p w14:paraId="0F02145A" w14:textId="74F92CFA" w:rsidR="00C25AB2" w:rsidRPr="008A0812" w:rsidRDefault="00C25AB2" w:rsidP="007850C5">
            <w:pPr>
              <w:overflowPunct/>
              <w:autoSpaceDE/>
              <w:autoSpaceDN/>
              <w:adjustRightInd/>
              <w:jc w:val="center"/>
              <w:rPr>
                <w:rFonts w:cs="Segoe UI"/>
              </w:rPr>
            </w:pPr>
            <w:r w:rsidRPr="008A0812">
              <w:rPr>
                <w:rFonts w:cs="Segoe UI"/>
                <w:color w:val="000000"/>
              </w:rPr>
              <w:t>SBMWD, Loma Linda, EVWD</w:t>
            </w:r>
          </w:p>
        </w:tc>
        <w:tc>
          <w:tcPr>
            <w:tcW w:w="1691" w:type="dxa"/>
            <w:shd w:val="clear" w:color="auto" w:fill="auto"/>
            <w:vAlign w:val="center"/>
            <w:hideMark/>
          </w:tcPr>
          <w:p w14:paraId="5475B8B7" w14:textId="397DE2BE"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52,400 </w:t>
            </w:r>
          </w:p>
        </w:tc>
        <w:tc>
          <w:tcPr>
            <w:tcW w:w="1691" w:type="dxa"/>
            <w:shd w:val="clear" w:color="auto" w:fill="auto"/>
            <w:vAlign w:val="center"/>
            <w:hideMark/>
          </w:tcPr>
          <w:p w14:paraId="433C37DF" w14:textId="2D70666C"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44,400 </w:t>
            </w:r>
          </w:p>
        </w:tc>
        <w:tc>
          <w:tcPr>
            <w:tcW w:w="1691" w:type="dxa"/>
            <w:shd w:val="clear" w:color="auto" w:fill="auto"/>
            <w:vAlign w:val="center"/>
            <w:hideMark/>
          </w:tcPr>
          <w:p w14:paraId="7838355C" w14:textId="4C15F714"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5,600 </w:t>
            </w:r>
          </w:p>
        </w:tc>
      </w:tr>
      <w:tr w:rsidR="00C25AB2" w:rsidRPr="008A0812" w14:paraId="51437D4F" w14:textId="77777777" w:rsidTr="003F3AB0">
        <w:trPr>
          <w:trHeight w:val="360"/>
          <w:jc w:val="center"/>
        </w:trPr>
        <w:tc>
          <w:tcPr>
            <w:tcW w:w="1282" w:type="dxa"/>
            <w:shd w:val="clear" w:color="auto" w:fill="auto"/>
            <w:vAlign w:val="center"/>
            <w:hideMark/>
          </w:tcPr>
          <w:p w14:paraId="272B3355" w14:textId="7517E6D8"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2025</w:t>
            </w:r>
          </w:p>
        </w:tc>
        <w:tc>
          <w:tcPr>
            <w:tcW w:w="2976" w:type="dxa"/>
            <w:vAlign w:val="center"/>
          </w:tcPr>
          <w:p w14:paraId="178F05F5" w14:textId="3476024F" w:rsidR="00C25AB2" w:rsidRPr="008A0812" w:rsidRDefault="00C25AB2" w:rsidP="007850C5">
            <w:pPr>
              <w:overflowPunct/>
              <w:autoSpaceDE/>
              <w:autoSpaceDN/>
              <w:adjustRightInd/>
              <w:jc w:val="center"/>
              <w:rPr>
                <w:rFonts w:cs="Segoe UI"/>
              </w:rPr>
            </w:pPr>
            <w:r w:rsidRPr="008A0812">
              <w:rPr>
                <w:rFonts w:cs="Segoe UI"/>
                <w:color w:val="000000"/>
              </w:rPr>
              <w:t>SBMWD, Loma Linda</w:t>
            </w:r>
          </w:p>
        </w:tc>
        <w:tc>
          <w:tcPr>
            <w:tcW w:w="1691" w:type="dxa"/>
            <w:shd w:val="clear" w:color="auto" w:fill="auto"/>
            <w:vAlign w:val="center"/>
            <w:hideMark/>
          </w:tcPr>
          <w:p w14:paraId="3F5CFDA6" w14:textId="30FFE481"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38,300</w:t>
            </w:r>
          </w:p>
        </w:tc>
        <w:tc>
          <w:tcPr>
            <w:tcW w:w="1691" w:type="dxa"/>
            <w:shd w:val="clear" w:color="auto" w:fill="auto"/>
            <w:vAlign w:val="center"/>
            <w:hideMark/>
          </w:tcPr>
          <w:p w14:paraId="6D7BA4DD" w14:textId="63EE0267"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32,500</w:t>
            </w:r>
          </w:p>
        </w:tc>
        <w:tc>
          <w:tcPr>
            <w:tcW w:w="1691" w:type="dxa"/>
            <w:shd w:val="clear" w:color="auto" w:fill="auto"/>
            <w:vAlign w:val="center"/>
            <w:hideMark/>
          </w:tcPr>
          <w:p w14:paraId="3B70B124" w14:textId="3CDF0595"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4,100</w:t>
            </w:r>
          </w:p>
        </w:tc>
      </w:tr>
      <w:tr w:rsidR="00C25AB2" w:rsidRPr="008A0812" w14:paraId="4AE7A7CB" w14:textId="77777777" w:rsidTr="003F3AB0">
        <w:trPr>
          <w:trHeight w:val="360"/>
          <w:jc w:val="center"/>
        </w:trPr>
        <w:tc>
          <w:tcPr>
            <w:tcW w:w="1282" w:type="dxa"/>
            <w:shd w:val="clear" w:color="auto" w:fill="auto"/>
            <w:vAlign w:val="center"/>
            <w:hideMark/>
          </w:tcPr>
          <w:p w14:paraId="252B21C8" w14:textId="52E5E8A3"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2030</w:t>
            </w:r>
          </w:p>
        </w:tc>
        <w:tc>
          <w:tcPr>
            <w:tcW w:w="2976" w:type="dxa"/>
            <w:vAlign w:val="center"/>
          </w:tcPr>
          <w:p w14:paraId="22D90EB6" w14:textId="6B6F37E6" w:rsidR="00C25AB2" w:rsidRPr="008A0812" w:rsidRDefault="00C25AB2" w:rsidP="007850C5">
            <w:pPr>
              <w:overflowPunct/>
              <w:autoSpaceDE/>
              <w:autoSpaceDN/>
              <w:adjustRightInd/>
              <w:jc w:val="center"/>
              <w:rPr>
                <w:rFonts w:cs="Segoe UI"/>
              </w:rPr>
            </w:pPr>
            <w:r w:rsidRPr="008A0812">
              <w:rPr>
                <w:rFonts w:cs="Segoe UI"/>
                <w:color w:val="000000"/>
              </w:rPr>
              <w:t>SBMWD, Loma Linda</w:t>
            </w:r>
          </w:p>
        </w:tc>
        <w:tc>
          <w:tcPr>
            <w:tcW w:w="1691" w:type="dxa"/>
            <w:shd w:val="clear" w:color="auto" w:fill="auto"/>
            <w:vAlign w:val="center"/>
            <w:hideMark/>
          </w:tcPr>
          <w:p w14:paraId="02BBC695" w14:textId="591AA84E"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39,700</w:t>
            </w:r>
          </w:p>
        </w:tc>
        <w:tc>
          <w:tcPr>
            <w:tcW w:w="1691" w:type="dxa"/>
            <w:shd w:val="clear" w:color="auto" w:fill="auto"/>
            <w:vAlign w:val="center"/>
            <w:hideMark/>
          </w:tcPr>
          <w:p w14:paraId="78BDFC32" w14:textId="6EB7922C"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33,700</w:t>
            </w:r>
          </w:p>
        </w:tc>
        <w:tc>
          <w:tcPr>
            <w:tcW w:w="1691" w:type="dxa"/>
            <w:shd w:val="clear" w:color="auto" w:fill="auto"/>
            <w:vAlign w:val="center"/>
            <w:hideMark/>
          </w:tcPr>
          <w:p w14:paraId="2B81019B" w14:textId="136F9A06"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4,300</w:t>
            </w:r>
          </w:p>
        </w:tc>
      </w:tr>
      <w:tr w:rsidR="00C25AB2" w:rsidRPr="008A0812" w14:paraId="38BD9F69" w14:textId="77777777" w:rsidTr="003F3AB0">
        <w:trPr>
          <w:trHeight w:val="360"/>
          <w:jc w:val="center"/>
        </w:trPr>
        <w:tc>
          <w:tcPr>
            <w:tcW w:w="1282" w:type="dxa"/>
            <w:shd w:val="clear" w:color="auto" w:fill="auto"/>
            <w:vAlign w:val="center"/>
            <w:hideMark/>
          </w:tcPr>
          <w:p w14:paraId="341CFF7F" w14:textId="3B748B5B"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2035</w:t>
            </w:r>
          </w:p>
        </w:tc>
        <w:tc>
          <w:tcPr>
            <w:tcW w:w="2976" w:type="dxa"/>
            <w:vAlign w:val="center"/>
          </w:tcPr>
          <w:p w14:paraId="77F90E03" w14:textId="24C072C2" w:rsidR="00C25AB2" w:rsidRPr="008A0812" w:rsidRDefault="00C25AB2" w:rsidP="007850C5">
            <w:pPr>
              <w:overflowPunct/>
              <w:autoSpaceDE/>
              <w:autoSpaceDN/>
              <w:adjustRightInd/>
              <w:jc w:val="center"/>
              <w:rPr>
                <w:rFonts w:cs="Segoe UI"/>
              </w:rPr>
            </w:pPr>
            <w:r w:rsidRPr="008A0812">
              <w:rPr>
                <w:rFonts w:cs="Segoe UI"/>
                <w:color w:val="000000"/>
              </w:rPr>
              <w:t>SBMWD, Loma Linda</w:t>
            </w:r>
          </w:p>
        </w:tc>
        <w:tc>
          <w:tcPr>
            <w:tcW w:w="1691" w:type="dxa"/>
            <w:shd w:val="clear" w:color="auto" w:fill="auto"/>
            <w:vAlign w:val="center"/>
            <w:hideMark/>
          </w:tcPr>
          <w:p w14:paraId="5782826D" w14:textId="0112FE39"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41,200</w:t>
            </w:r>
          </w:p>
        </w:tc>
        <w:tc>
          <w:tcPr>
            <w:tcW w:w="1691" w:type="dxa"/>
            <w:shd w:val="clear" w:color="auto" w:fill="auto"/>
            <w:vAlign w:val="center"/>
            <w:hideMark/>
          </w:tcPr>
          <w:p w14:paraId="44D280E4" w14:textId="50AF9437"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34,900</w:t>
            </w:r>
          </w:p>
        </w:tc>
        <w:tc>
          <w:tcPr>
            <w:tcW w:w="1691" w:type="dxa"/>
            <w:shd w:val="clear" w:color="auto" w:fill="auto"/>
            <w:vAlign w:val="center"/>
            <w:hideMark/>
          </w:tcPr>
          <w:p w14:paraId="5AA776E1" w14:textId="7AD5F511"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4,400</w:t>
            </w:r>
          </w:p>
        </w:tc>
      </w:tr>
      <w:tr w:rsidR="00C25AB2" w:rsidRPr="008A0812" w14:paraId="735842BB" w14:textId="77777777" w:rsidTr="003F3AB0">
        <w:trPr>
          <w:trHeight w:val="360"/>
          <w:jc w:val="center"/>
        </w:trPr>
        <w:tc>
          <w:tcPr>
            <w:tcW w:w="1282" w:type="dxa"/>
            <w:shd w:val="clear" w:color="auto" w:fill="auto"/>
            <w:vAlign w:val="center"/>
            <w:hideMark/>
          </w:tcPr>
          <w:p w14:paraId="5D99449A" w14:textId="7D2798D7" w:rsidR="00C25AB2" w:rsidRPr="008A0812" w:rsidRDefault="00C25AB2" w:rsidP="006F0792">
            <w:pPr>
              <w:overflowPunct/>
              <w:autoSpaceDE/>
              <w:autoSpaceDN/>
              <w:adjustRightInd/>
              <w:jc w:val="center"/>
              <w:rPr>
                <w:rFonts w:ascii="Segoe UI" w:hAnsi="Segoe UI" w:cs="Segoe UI"/>
                <w:sz w:val="18"/>
                <w:szCs w:val="18"/>
              </w:rPr>
            </w:pPr>
            <w:r w:rsidRPr="008A0812">
              <w:rPr>
                <w:rFonts w:cs="Segoe UI"/>
                <w:color w:val="000000"/>
              </w:rPr>
              <w:t>2040</w:t>
            </w:r>
          </w:p>
        </w:tc>
        <w:tc>
          <w:tcPr>
            <w:tcW w:w="2976" w:type="dxa"/>
            <w:vAlign w:val="center"/>
          </w:tcPr>
          <w:p w14:paraId="72F1885A" w14:textId="05FF4E3A" w:rsidR="00C25AB2" w:rsidRPr="008A0812" w:rsidRDefault="00C25AB2" w:rsidP="007850C5">
            <w:pPr>
              <w:overflowPunct/>
              <w:autoSpaceDE/>
              <w:autoSpaceDN/>
              <w:adjustRightInd/>
              <w:jc w:val="center"/>
              <w:rPr>
                <w:rFonts w:cs="Segoe UI"/>
              </w:rPr>
            </w:pPr>
            <w:r w:rsidRPr="008A0812">
              <w:rPr>
                <w:rFonts w:cs="Segoe UI"/>
                <w:color w:val="000000"/>
              </w:rPr>
              <w:t>SBMWD, Loma Linda</w:t>
            </w:r>
          </w:p>
        </w:tc>
        <w:tc>
          <w:tcPr>
            <w:tcW w:w="1691" w:type="dxa"/>
            <w:shd w:val="clear" w:color="auto" w:fill="auto"/>
            <w:vAlign w:val="center"/>
            <w:hideMark/>
          </w:tcPr>
          <w:p w14:paraId="5BE9B065" w14:textId="731F601F"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42,800</w:t>
            </w:r>
          </w:p>
        </w:tc>
        <w:tc>
          <w:tcPr>
            <w:tcW w:w="1691" w:type="dxa"/>
            <w:shd w:val="clear" w:color="auto" w:fill="auto"/>
            <w:vAlign w:val="center"/>
            <w:hideMark/>
          </w:tcPr>
          <w:p w14:paraId="2F20F479" w14:textId="15B77462"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36,200</w:t>
            </w:r>
          </w:p>
        </w:tc>
        <w:tc>
          <w:tcPr>
            <w:tcW w:w="1691" w:type="dxa"/>
            <w:shd w:val="clear" w:color="auto" w:fill="auto"/>
            <w:vAlign w:val="center"/>
            <w:hideMark/>
          </w:tcPr>
          <w:p w14:paraId="1E4FA15F" w14:textId="39F89577" w:rsidR="00C25AB2" w:rsidRPr="008A0812" w:rsidRDefault="00C25AB2" w:rsidP="007850C5">
            <w:pPr>
              <w:overflowPunct/>
              <w:autoSpaceDE/>
              <w:autoSpaceDN/>
              <w:adjustRightInd/>
              <w:jc w:val="center"/>
              <w:rPr>
                <w:rFonts w:ascii="Segoe UI" w:hAnsi="Segoe UI" w:cs="Segoe UI"/>
                <w:sz w:val="18"/>
                <w:szCs w:val="18"/>
              </w:rPr>
            </w:pPr>
            <w:r w:rsidRPr="008A0812">
              <w:rPr>
                <w:rFonts w:cs="Segoe UI"/>
              </w:rPr>
              <w:t>4,600</w:t>
            </w:r>
          </w:p>
        </w:tc>
      </w:tr>
    </w:tbl>
    <w:bookmarkEnd w:id="385"/>
    <w:p w14:paraId="7E640A40" w14:textId="46D8F20C" w:rsidR="00D613B7" w:rsidRPr="008A0812" w:rsidRDefault="005220D4" w:rsidP="00D613B7">
      <w:pPr>
        <w:pStyle w:val="BodyText"/>
      </w:pPr>
      <w:r w:rsidRPr="008A0812">
        <w:t xml:space="preserve">Final projected loading values are </w:t>
      </w:r>
      <w:r w:rsidR="00E13AFC" w:rsidRPr="008A0812">
        <w:t>provided</w:t>
      </w:r>
      <w:r w:rsidRPr="008A0812">
        <w:t xml:space="preserve"> in </w:t>
      </w:r>
      <w:r w:rsidR="0002787C" w:rsidRPr="008A0812">
        <w:fldChar w:fldCharType="begin"/>
      </w:r>
      <w:r w:rsidR="0002787C" w:rsidRPr="008A0812">
        <w:instrText xml:space="preserve"> REF _Ref36233970 \h </w:instrText>
      </w:r>
      <w:r w:rsidR="008A0812">
        <w:instrText xml:space="preserve"> \* MERGEFORMAT </w:instrText>
      </w:r>
      <w:r w:rsidR="0002787C" w:rsidRPr="008A0812">
        <w:fldChar w:fldCharType="separate"/>
      </w:r>
      <w:r w:rsidR="00AA68F8" w:rsidRPr="008A0812">
        <w:t xml:space="preserve">Table </w:t>
      </w:r>
      <w:r w:rsidR="00AA68F8">
        <w:rPr>
          <w:noProof/>
        </w:rPr>
        <w:t>6</w:t>
      </w:r>
      <w:r w:rsidR="00AA68F8" w:rsidRPr="008A0812">
        <w:rPr>
          <w:noProof/>
        </w:rPr>
        <w:noBreakHyphen/>
      </w:r>
      <w:r w:rsidR="00AA68F8">
        <w:rPr>
          <w:noProof/>
        </w:rPr>
        <w:t>8</w:t>
      </w:r>
      <w:r w:rsidR="0002787C" w:rsidRPr="008A0812">
        <w:fldChar w:fldCharType="end"/>
      </w:r>
      <w:r w:rsidRPr="008A0812">
        <w:t>, which assumes EVWD wastewater flow will cease in between years 2020 and 2025.</w:t>
      </w:r>
    </w:p>
    <w:p w14:paraId="661B4390" w14:textId="339CE210" w:rsidR="00DA18C2" w:rsidRPr="008A0812" w:rsidRDefault="00DA18C2" w:rsidP="00DA18C2">
      <w:pPr>
        <w:pStyle w:val="Heading2"/>
      </w:pPr>
      <w:bookmarkStart w:id="386" w:name="_Toc41680873"/>
      <w:r w:rsidRPr="008A0812">
        <w:t>Summary of Projected Flows and Loads</w:t>
      </w:r>
      <w:bookmarkEnd w:id="386"/>
    </w:p>
    <w:p w14:paraId="441AEB0F" w14:textId="3BDD2E6F" w:rsidR="00EC6AF1" w:rsidRPr="008A0812" w:rsidRDefault="00E6181D" w:rsidP="00DA18C2">
      <w:pPr>
        <w:pStyle w:val="BodyText"/>
      </w:pPr>
      <w:r w:rsidRPr="008A0812">
        <w:t xml:space="preserve">The </w:t>
      </w:r>
      <w:r w:rsidR="0063269A" w:rsidRPr="008A0812">
        <w:t>resulting</w:t>
      </w:r>
      <w:r w:rsidRPr="008A0812">
        <w:t xml:space="preserve"> flow and load projections under average and peak scenarios are provided in</w:t>
      </w:r>
      <w:r w:rsidR="0063269A" w:rsidRPr="008A0812">
        <w:t xml:space="preserve"> </w:t>
      </w:r>
      <w:r w:rsidR="0002787C" w:rsidRPr="008A0812">
        <w:fldChar w:fldCharType="begin"/>
      </w:r>
      <w:r w:rsidR="0002787C" w:rsidRPr="008A0812">
        <w:instrText xml:space="preserve"> REF _Ref36234021 \h </w:instrText>
      </w:r>
      <w:r w:rsidR="008A0812">
        <w:instrText xml:space="preserve"> \* MERGEFORMAT </w:instrText>
      </w:r>
      <w:r w:rsidR="0002787C" w:rsidRPr="008A0812">
        <w:fldChar w:fldCharType="separate"/>
      </w:r>
      <w:r w:rsidR="00AA68F8" w:rsidRPr="008A0812">
        <w:t xml:space="preserve">Table </w:t>
      </w:r>
      <w:r w:rsidR="00AA68F8">
        <w:rPr>
          <w:noProof/>
        </w:rPr>
        <w:t>6</w:t>
      </w:r>
      <w:r w:rsidR="00AA68F8" w:rsidRPr="008A0812">
        <w:rPr>
          <w:noProof/>
        </w:rPr>
        <w:noBreakHyphen/>
      </w:r>
      <w:r w:rsidR="00AA68F8">
        <w:rPr>
          <w:noProof/>
        </w:rPr>
        <w:t>9</w:t>
      </w:r>
      <w:r w:rsidR="0002787C" w:rsidRPr="008A0812">
        <w:fldChar w:fldCharType="end"/>
      </w:r>
      <w:r w:rsidRPr="008A0812">
        <w:t xml:space="preserve"> and</w:t>
      </w:r>
      <w:r w:rsidR="0002787C" w:rsidRPr="008A0812">
        <w:t xml:space="preserve"> </w:t>
      </w:r>
      <w:r w:rsidR="0002787C" w:rsidRPr="008A0812">
        <w:fldChar w:fldCharType="begin"/>
      </w:r>
      <w:r w:rsidR="0002787C" w:rsidRPr="008A0812">
        <w:instrText xml:space="preserve"> REF _Ref36234038 \h </w:instrText>
      </w:r>
      <w:r w:rsidR="008A0812">
        <w:instrText xml:space="preserve"> \* MERGEFORMAT </w:instrText>
      </w:r>
      <w:r w:rsidR="0002787C" w:rsidRPr="008A0812">
        <w:fldChar w:fldCharType="separate"/>
      </w:r>
      <w:r w:rsidR="00AA68F8" w:rsidRPr="008A0812">
        <w:t xml:space="preserve">Table </w:t>
      </w:r>
      <w:r w:rsidR="00AA68F8">
        <w:rPr>
          <w:noProof/>
        </w:rPr>
        <w:t>6</w:t>
      </w:r>
      <w:r w:rsidR="00AA68F8" w:rsidRPr="008A0812">
        <w:rPr>
          <w:noProof/>
        </w:rPr>
        <w:noBreakHyphen/>
      </w:r>
      <w:r w:rsidR="00AA68F8">
        <w:rPr>
          <w:noProof/>
        </w:rPr>
        <w:t>10</w:t>
      </w:r>
      <w:r w:rsidR="0002787C" w:rsidRPr="008A0812">
        <w:fldChar w:fldCharType="end"/>
      </w:r>
      <w:r w:rsidR="00206E1A" w:rsidRPr="008A0812">
        <w:t xml:space="preserve"> </w:t>
      </w:r>
      <w:r w:rsidRPr="008A0812">
        <w:t>for the years 2025 and 2040</w:t>
      </w:r>
      <w:r w:rsidR="000801B7" w:rsidRPr="008A0812">
        <w:t>,</w:t>
      </w:r>
      <w:r w:rsidRPr="008A0812">
        <w:t xml:space="preserve"> respectively. The year</w:t>
      </w:r>
      <w:r w:rsidR="000801B7" w:rsidRPr="008A0812">
        <w:t xml:space="preserve"> 202</w:t>
      </w:r>
      <w:r w:rsidR="00E3758D" w:rsidRPr="008A0812">
        <w:t>2</w:t>
      </w:r>
      <w:r w:rsidR="000801B7" w:rsidRPr="008A0812">
        <w:t xml:space="preserve"> was </w:t>
      </w:r>
      <w:r w:rsidRPr="008A0812">
        <w:t xml:space="preserve">selected to represent the </w:t>
      </w:r>
      <w:r w:rsidR="00E3758D" w:rsidRPr="008A0812">
        <w:t>cessation</w:t>
      </w:r>
      <w:r w:rsidR="0063269A" w:rsidRPr="008A0812">
        <w:t xml:space="preserve"> of EVWD flows and </w:t>
      </w:r>
      <w:r w:rsidR="000801B7" w:rsidRPr="008A0812">
        <w:t>the year 2040 was selected as the planning horizon</w:t>
      </w:r>
      <w:r w:rsidR="0063269A" w:rsidRPr="008A0812">
        <w:t>.</w:t>
      </w:r>
    </w:p>
    <w:p w14:paraId="62F9C1CB" w14:textId="77777777" w:rsidR="00EC6AF1" w:rsidRPr="008A0812" w:rsidRDefault="00EC6AF1">
      <w:pPr>
        <w:overflowPunct/>
        <w:autoSpaceDE/>
        <w:autoSpaceDN/>
        <w:adjustRightInd/>
        <w:textAlignment w:val="auto"/>
      </w:pPr>
      <w:r w:rsidRPr="008A0812">
        <w:br w:type="page"/>
      </w:r>
    </w:p>
    <w:p w14:paraId="69879709" w14:textId="31313BDC" w:rsidR="0002787C" w:rsidRPr="008A0812" w:rsidRDefault="0002787C" w:rsidP="0002787C">
      <w:pPr>
        <w:pStyle w:val="TableHeading"/>
      </w:pPr>
      <w:bookmarkStart w:id="387" w:name="_Ref36234021"/>
      <w:bookmarkStart w:id="388" w:name="_Toc36414076"/>
      <w:bookmarkStart w:id="389" w:name="_Toc41684765"/>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387"/>
      <w:r w:rsidRPr="008A0812">
        <w:t>: 2025 Projected SBWRP Flows and Loads</w:t>
      </w:r>
      <w:bookmarkEnd w:id="388"/>
      <w:bookmarkEnd w:id="389"/>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66"/>
        <w:gridCol w:w="1868"/>
        <w:gridCol w:w="1865"/>
        <w:gridCol w:w="1867"/>
        <w:gridCol w:w="1865"/>
      </w:tblGrid>
      <w:tr w:rsidR="00EC6AF1" w:rsidRPr="008A0812" w14:paraId="3312670F" w14:textId="77777777" w:rsidTr="00EC6AF1">
        <w:trPr>
          <w:trHeight w:val="495"/>
          <w:jc w:val="center"/>
        </w:trPr>
        <w:tc>
          <w:tcPr>
            <w:tcW w:w="1866" w:type="dxa"/>
            <w:shd w:val="clear" w:color="auto" w:fill="BFBFBF" w:themeFill="background1" w:themeFillShade="BF"/>
            <w:vAlign w:val="bottom"/>
            <w:hideMark/>
          </w:tcPr>
          <w:p w14:paraId="1B064A30" w14:textId="6B5698FD" w:rsidR="00EC6AF1" w:rsidRPr="008A0812" w:rsidRDefault="00EC6AF1" w:rsidP="00EC6AF1">
            <w:pPr>
              <w:overflowPunct/>
              <w:autoSpaceDE/>
              <w:autoSpaceDN/>
              <w:adjustRightInd/>
              <w:jc w:val="center"/>
              <w:textAlignment w:val="auto"/>
              <w:rPr>
                <w:rFonts w:ascii="Segoe UI" w:hAnsi="Segoe UI" w:cs="Segoe UI"/>
                <w:sz w:val="18"/>
                <w:szCs w:val="18"/>
              </w:rPr>
            </w:pPr>
            <w:bookmarkStart w:id="390" w:name="_Hlk20816114"/>
          </w:p>
        </w:tc>
        <w:tc>
          <w:tcPr>
            <w:tcW w:w="1868" w:type="dxa"/>
            <w:tcBorders>
              <w:top w:val="single" w:sz="8" w:space="0" w:color="auto"/>
              <w:left w:val="nil"/>
              <w:bottom w:val="single" w:sz="8" w:space="0" w:color="auto"/>
              <w:right w:val="single" w:sz="8" w:space="0" w:color="auto"/>
            </w:tcBorders>
            <w:shd w:val="clear" w:color="auto" w:fill="BFBFBF" w:themeFill="background1" w:themeFillShade="BF"/>
            <w:vAlign w:val="center"/>
          </w:tcPr>
          <w:p w14:paraId="6099FB51" w14:textId="77777777" w:rsidR="00EC6AF1" w:rsidRPr="008A0812" w:rsidRDefault="00EC6AF1" w:rsidP="00EC6AF1">
            <w:pPr>
              <w:pStyle w:val="ListParagraph"/>
              <w:keepNext/>
              <w:ind w:left="0"/>
              <w:jc w:val="center"/>
              <w:rPr>
                <w:rFonts w:cs="Calibri"/>
                <w:b/>
                <w:bCs/>
              </w:rPr>
            </w:pPr>
            <w:r w:rsidRPr="008A0812">
              <w:rPr>
                <w:rFonts w:cs="Calibri"/>
                <w:b/>
                <w:bCs/>
              </w:rPr>
              <w:t>Flow</w:t>
            </w:r>
          </w:p>
          <w:p w14:paraId="5B58DF30" w14:textId="0E4B3449" w:rsidR="00EC6AF1" w:rsidRPr="008A0812" w:rsidRDefault="00EC6AF1" w:rsidP="00EC6AF1">
            <w:pPr>
              <w:overflowPunct/>
              <w:autoSpaceDE/>
              <w:autoSpaceDN/>
              <w:adjustRightInd/>
              <w:jc w:val="center"/>
              <w:rPr>
                <w:rFonts w:cs="Segoe UI"/>
                <w:b/>
                <w:bCs/>
                <w:color w:val="000000"/>
              </w:rPr>
            </w:pPr>
            <w:r w:rsidRPr="008A0812">
              <w:rPr>
                <w:rFonts w:cs="Calibri"/>
                <w:b/>
                <w:bCs/>
              </w:rPr>
              <w:t>(mgd)</w:t>
            </w:r>
          </w:p>
        </w:tc>
        <w:tc>
          <w:tcPr>
            <w:tcW w:w="186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0B2C492" w14:textId="77777777" w:rsidR="00EC6AF1" w:rsidRPr="008A0812" w:rsidRDefault="00EC6AF1" w:rsidP="00EC6AF1">
            <w:pPr>
              <w:pStyle w:val="ListParagraph"/>
              <w:keepNext/>
              <w:ind w:left="0"/>
              <w:jc w:val="center"/>
              <w:rPr>
                <w:rFonts w:cs="Calibri"/>
                <w:b/>
                <w:bCs/>
              </w:rPr>
            </w:pPr>
            <w:r w:rsidRPr="008A0812">
              <w:rPr>
                <w:rFonts w:cs="Calibri"/>
                <w:b/>
                <w:bCs/>
              </w:rPr>
              <w:t>BOD</w:t>
            </w:r>
          </w:p>
          <w:p w14:paraId="2517812D" w14:textId="07B49798"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c>
          <w:tcPr>
            <w:tcW w:w="186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A6BE269" w14:textId="77777777" w:rsidR="00EC6AF1" w:rsidRPr="008A0812" w:rsidRDefault="00EC6AF1" w:rsidP="00EC6AF1">
            <w:pPr>
              <w:pStyle w:val="ListParagraph"/>
              <w:keepNext/>
              <w:ind w:left="0"/>
              <w:jc w:val="center"/>
              <w:rPr>
                <w:rFonts w:cs="Calibri"/>
                <w:b/>
                <w:bCs/>
              </w:rPr>
            </w:pPr>
            <w:r w:rsidRPr="008A0812">
              <w:rPr>
                <w:rFonts w:cs="Calibri"/>
                <w:b/>
                <w:bCs/>
              </w:rPr>
              <w:t>TSS</w:t>
            </w:r>
          </w:p>
          <w:p w14:paraId="11AA4D2A" w14:textId="1E4993B7"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c>
          <w:tcPr>
            <w:tcW w:w="186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FBEF695" w14:textId="77777777" w:rsidR="00EC6AF1" w:rsidRPr="008A0812" w:rsidRDefault="00EC6AF1" w:rsidP="00EC6AF1">
            <w:pPr>
              <w:pStyle w:val="ListParagraph"/>
              <w:keepNext/>
              <w:ind w:left="0"/>
              <w:jc w:val="center"/>
              <w:rPr>
                <w:rFonts w:cs="Calibri"/>
                <w:b/>
                <w:bCs/>
              </w:rPr>
            </w:pPr>
            <w:r w:rsidRPr="008A0812">
              <w:rPr>
                <w:rFonts w:cs="Calibri"/>
                <w:b/>
                <w:bCs/>
              </w:rPr>
              <w:t>TKN</w:t>
            </w:r>
          </w:p>
          <w:p w14:paraId="523E1758" w14:textId="26CCEA69"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r>
      <w:tr w:rsidR="00EC6AF1" w:rsidRPr="008A0812" w14:paraId="5A809518" w14:textId="77777777" w:rsidTr="00EC6AF1">
        <w:trPr>
          <w:trHeight w:val="345"/>
          <w:jc w:val="center"/>
        </w:trPr>
        <w:tc>
          <w:tcPr>
            <w:tcW w:w="1866" w:type="dxa"/>
            <w:shd w:val="clear" w:color="auto" w:fill="auto"/>
            <w:vAlign w:val="center"/>
            <w:hideMark/>
          </w:tcPr>
          <w:p w14:paraId="640866FD" w14:textId="539FF601"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Annual Average</w:t>
            </w:r>
          </w:p>
        </w:tc>
        <w:tc>
          <w:tcPr>
            <w:tcW w:w="1868" w:type="dxa"/>
            <w:tcBorders>
              <w:top w:val="nil"/>
              <w:left w:val="nil"/>
              <w:bottom w:val="single" w:sz="8" w:space="0" w:color="auto"/>
              <w:right w:val="single" w:sz="8" w:space="0" w:color="auto"/>
            </w:tcBorders>
            <w:vAlign w:val="center"/>
          </w:tcPr>
          <w:p w14:paraId="3163EF1F" w14:textId="6F4A9DEC" w:rsidR="00EC6AF1" w:rsidRPr="008A0812" w:rsidRDefault="00EC6AF1" w:rsidP="00EC6AF1">
            <w:pPr>
              <w:overflowPunct/>
              <w:autoSpaceDE/>
              <w:autoSpaceDN/>
              <w:adjustRightInd/>
              <w:jc w:val="center"/>
              <w:rPr>
                <w:rFonts w:cs="Segoe UI"/>
                <w:color w:val="000000"/>
              </w:rPr>
            </w:pPr>
            <w:r w:rsidRPr="008A0812">
              <w:rPr>
                <w:rFonts w:cs="Calibri"/>
                <w:color w:val="000000"/>
              </w:rPr>
              <w:t>16.4</w:t>
            </w:r>
          </w:p>
        </w:tc>
        <w:tc>
          <w:tcPr>
            <w:tcW w:w="1865" w:type="dxa"/>
            <w:tcBorders>
              <w:top w:val="nil"/>
              <w:left w:val="nil"/>
              <w:bottom w:val="single" w:sz="8" w:space="0" w:color="auto"/>
              <w:right w:val="single" w:sz="8" w:space="0" w:color="auto"/>
            </w:tcBorders>
            <w:vAlign w:val="center"/>
            <w:hideMark/>
          </w:tcPr>
          <w:p w14:paraId="61D951B9" w14:textId="44E94D1B"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38,500</w:t>
            </w:r>
          </w:p>
        </w:tc>
        <w:tc>
          <w:tcPr>
            <w:tcW w:w="1867" w:type="dxa"/>
            <w:tcBorders>
              <w:top w:val="nil"/>
              <w:left w:val="nil"/>
              <w:bottom w:val="single" w:sz="8" w:space="0" w:color="auto"/>
              <w:right w:val="single" w:sz="8" w:space="0" w:color="auto"/>
            </w:tcBorders>
            <w:vAlign w:val="center"/>
            <w:hideMark/>
          </w:tcPr>
          <w:p w14:paraId="692121C3" w14:textId="3E55F797"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32,600</w:t>
            </w:r>
          </w:p>
        </w:tc>
        <w:tc>
          <w:tcPr>
            <w:tcW w:w="1865" w:type="dxa"/>
            <w:tcBorders>
              <w:top w:val="nil"/>
              <w:left w:val="nil"/>
              <w:bottom w:val="single" w:sz="8" w:space="0" w:color="auto"/>
              <w:right w:val="single" w:sz="8" w:space="0" w:color="auto"/>
            </w:tcBorders>
            <w:vAlign w:val="center"/>
            <w:hideMark/>
          </w:tcPr>
          <w:p w14:paraId="371923D6" w14:textId="6B153573"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6,500</w:t>
            </w:r>
          </w:p>
        </w:tc>
      </w:tr>
      <w:tr w:rsidR="00EC6AF1" w:rsidRPr="008A0812" w14:paraId="2F4DDCFF" w14:textId="77777777" w:rsidTr="00EC6AF1">
        <w:trPr>
          <w:trHeight w:val="360"/>
          <w:jc w:val="center"/>
        </w:trPr>
        <w:tc>
          <w:tcPr>
            <w:tcW w:w="1866" w:type="dxa"/>
            <w:shd w:val="clear" w:color="auto" w:fill="auto"/>
            <w:vAlign w:val="center"/>
            <w:hideMark/>
          </w:tcPr>
          <w:p w14:paraId="11E49715" w14:textId="116926F8" w:rsidR="00EC6AF1" w:rsidRPr="008A0812" w:rsidRDefault="00EC6AF1" w:rsidP="00EC6AF1">
            <w:pPr>
              <w:overflowPunct/>
              <w:autoSpaceDE/>
              <w:autoSpaceDN/>
              <w:adjustRightInd/>
              <w:rPr>
                <w:rFonts w:cs="Segoe UI"/>
                <w:color w:val="000000"/>
              </w:rPr>
            </w:pPr>
            <w:r w:rsidRPr="008A0812">
              <w:rPr>
                <w:rFonts w:cs="Segoe UI"/>
                <w:color w:val="000000"/>
              </w:rPr>
              <w:t>Max Month</w:t>
            </w:r>
          </w:p>
        </w:tc>
        <w:tc>
          <w:tcPr>
            <w:tcW w:w="1868" w:type="dxa"/>
            <w:tcBorders>
              <w:top w:val="nil"/>
              <w:left w:val="nil"/>
              <w:bottom w:val="single" w:sz="8" w:space="0" w:color="auto"/>
              <w:right w:val="single" w:sz="8" w:space="0" w:color="auto"/>
            </w:tcBorders>
            <w:vAlign w:val="center"/>
          </w:tcPr>
          <w:p w14:paraId="0984C08C" w14:textId="3505DC7C" w:rsidR="00EC6AF1" w:rsidRPr="008A0812" w:rsidRDefault="00EC6AF1" w:rsidP="00EC6AF1">
            <w:pPr>
              <w:overflowPunct/>
              <w:autoSpaceDE/>
              <w:autoSpaceDN/>
              <w:adjustRightInd/>
              <w:jc w:val="center"/>
              <w:rPr>
                <w:rFonts w:cs="Segoe UI"/>
              </w:rPr>
            </w:pPr>
            <w:r w:rsidRPr="008A0812">
              <w:rPr>
                <w:rFonts w:cs="Calibri"/>
                <w:color w:val="000000"/>
              </w:rPr>
              <w:t>17.5</w:t>
            </w:r>
          </w:p>
        </w:tc>
        <w:tc>
          <w:tcPr>
            <w:tcW w:w="1865" w:type="dxa"/>
            <w:tcBorders>
              <w:top w:val="nil"/>
              <w:left w:val="nil"/>
              <w:bottom w:val="single" w:sz="8" w:space="0" w:color="auto"/>
              <w:right w:val="single" w:sz="8" w:space="0" w:color="auto"/>
            </w:tcBorders>
            <w:vAlign w:val="center"/>
            <w:hideMark/>
          </w:tcPr>
          <w:p w14:paraId="44DB6C03" w14:textId="34C9181E"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43,800</w:t>
            </w:r>
          </w:p>
        </w:tc>
        <w:tc>
          <w:tcPr>
            <w:tcW w:w="1867" w:type="dxa"/>
            <w:tcBorders>
              <w:top w:val="nil"/>
              <w:left w:val="nil"/>
              <w:bottom w:val="single" w:sz="8" w:space="0" w:color="auto"/>
              <w:right w:val="single" w:sz="8" w:space="0" w:color="auto"/>
            </w:tcBorders>
            <w:vAlign w:val="center"/>
            <w:hideMark/>
          </w:tcPr>
          <w:p w14:paraId="30CB8EED" w14:textId="53391ECE"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42,200</w:t>
            </w:r>
          </w:p>
        </w:tc>
        <w:tc>
          <w:tcPr>
            <w:tcW w:w="1865" w:type="dxa"/>
            <w:tcBorders>
              <w:top w:val="nil"/>
              <w:left w:val="nil"/>
              <w:bottom w:val="single" w:sz="8" w:space="0" w:color="auto"/>
              <w:right w:val="single" w:sz="8" w:space="0" w:color="auto"/>
            </w:tcBorders>
            <w:vAlign w:val="center"/>
            <w:hideMark/>
          </w:tcPr>
          <w:p w14:paraId="0C36D9CA" w14:textId="604DD6DE"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8,500</w:t>
            </w:r>
          </w:p>
        </w:tc>
      </w:tr>
      <w:tr w:rsidR="00EC6AF1" w:rsidRPr="008A0812" w14:paraId="635A81EE" w14:textId="77777777" w:rsidTr="00EC6AF1">
        <w:trPr>
          <w:trHeight w:val="360"/>
          <w:jc w:val="center"/>
        </w:trPr>
        <w:tc>
          <w:tcPr>
            <w:tcW w:w="1866" w:type="dxa"/>
            <w:shd w:val="clear" w:color="auto" w:fill="auto"/>
            <w:vAlign w:val="center"/>
            <w:hideMark/>
          </w:tcPr>
          <w:p w14:paraId="5923E878" w14:textId="017ABD49"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Max Week</w:t>
            </w:r>
          </w:p>
        </w:tc>
        <w:tc>
          <w:tcPr>
            <w:tcW w:w="1868" w:type="dxa"/>
            <w:tcBorders>
              <w:top w:val="nil"/>
              <w:left w:val="nil"/>
              <w:bottom w:val="single" w:sz="8" w:space="0" w:color="auto"/>
              <w:right w:val="single" w:sz="8" w:space="0" w:color="auto"/>
            </w:tcBorders>
            <w:vAlign w:val="center"/>
          </w:tcPr>
          <w:p w14:paraId="519A2885" w14:textId="11D4148F" w:rsidR="00EC6AF1" w:rsidRPr="008A0812" w:rsidRDefault="00EC6AF1" w:rsidP="00EC6AF1">
            <w:pPr>
              <w:overflowPunct/>
              <w:autoSpaceDE/>
              <w:autoSpaceDN/>
              <w:adjustRightInd/>
              <w:jc w:val="center"/>
              <w:rPr>
                <w:rFonts w:cs="Segoe UI"/>
              </w:rPr>
            </w:pPr>
            <w:r w:rsidRPr="008A0812">
              <w:rPr>
                <w:rFonts w:cs="Calibri"/>
                <w:color w:val="000000"/>
              </w:rPr>
              <w:t>18.4</w:t>
            </w:r>
          </w:p>
        </w:tc>
        <w:tc>
          <w:tcPr>
            <w:tcW w:w="1865" w:type="dxa"/>
            <w:tcBorders>
              <w:top w:val="nil"/>
              <w:left w:val="nil"/>
              <w:bottom w:val="single" w:sz="8" w:space="0" w:color="auto"/>
              <w:right w:val="single" w:sz="8" w:space="0" w:color="auto"/>
            </w:tcBorders>
            <w:vAlign w:val="center"/>
            <w:hideMark/>
          </w:tcPr>
          <w:p w14:paraId="221169DC" w14:textId="07012924"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60,100</w:t>
            </w:r>
          </w:p>
        </w:tc>
        <w:tc>
          <w:tcPr>
            <w:tcW w:w="1867" w:type="dxa"/>
            <w:tcBorders>
              <w:top w:val="nil"/>
              <w:left w:val="nil"/>
              <w:bottom w:val="single" w:sz="8" w:space="0" w:color="auto"/>
              <w:right w:val="single" w:sz="8" w:space="0" w:color="auto"/>
            </w:tcBorders>
            <w:vAlign w:val="center"/>
            <w:hideMark/>
          </w:tcPr>
          <w:p w14:paraId="1116D3D9" w14:textId="14DD0675"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48,200</w:t>
            </w:r>
          </w:p>
        </w:tc>
        <w:tc>
          <w:tcPr>
            <w:tcW w:w="1865" w:type="dxa"/>
            <w:tcBorders>
              <w:top w:val="nil"/>
              <w:left w:val="nil"/>
              <w:bottom w:val="single" w:sz="8" w:space="0" w:color="auto"/>
              <w:right w:val="single" w:sz="8" w:space="0" w:color="auto"/>
            </w:tcBorders>
            <w:vAlign w:val="center"/>
            <w:hideMark/>
          </w:tcPr>
          <w:p w14:paraId="33C9E4C7" w14:textId="7A497AF7"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9,700</w:t>
            </w:r>
          </w:p>
        </w:tc>
      </w:tr>
      <w:tr w:rsidR="00EC6AF1" w:rsidRPr="008A0812" w14:paraId="1B640F25" w14:textId="77777777" w:rsidTr="00EC6AF1">
        <w:trPr>
          <w:trHeight w:val="360"/>
          <w:jc w:val="center"/>
        </w:trPr>
        <w:tc>
          <w:tcPr>
            <w:tcW w:w="1866" w:type="dxa"/>
            <w:shd w:val="clear" w:color="auto" w:fill="auto"/>
            <w:vAlign w:val="center"/>
            <w:hideMark/>
          </w:tcPr>
          <w:p w14:paraId="223766EC" w14:textId="6CEA7AE5"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Max Day</w:t>
            </w:r>
          </w:p>
        </w:tc>
        <w:tc>
          <w:tcPr>
            <w:tcW w:w="1868" w:type="dxa"/>
            <w:tcBorders>
              <w:top w:val="nil"/>
              <w:left w:val="nil"/>
              <w:bottom w:val="single" w:sz="8" w:space="0" w:color="auto"/>
              <w:right w:val="single" w:sz="8" w:space="0" w:color="auto"/>
            </w:tcBorders>
            <w:vAlign w:val="center"/>
          </w:tcPr>
          <w:p w14:paraId="42742EF2" w14:textId="30FB0A4C" w:rsidR="00EC6AF1" w:rsidRPr="008A0812" w:rsidRDefault="00EC6AF1" w:rsidP="00EC6AF1">
            <w:pPr>
              <w:overflowPunct/>
              <w:autoSpaceDE/>
              <w:autoSpaceDN/>
              <w:adjustRightInd/>
              <w:jc w:val="center"/>
              <w:rPr>
                <w:rFonts w:cs="Segoe UI"/>
              </w:rPr>
            </w:pPr>
            <w:r w:rsidRPr="008A0812">
              <w:rPr>
                <w:rFonts w:cs="Calibri"/>
                <w:color w:val="000000"/>
              </w:rPr>
              <w:t>20.5</w:t>
            </w:r>
          </w:p>
        </w:tc>
        <w:tc>
          <w:tcPr>
            <w:tcW w:w="1865" w:type="dxa"/>
            <w:tcBorders>
              <w:top w:val="nil"/>
              <w:left w:val="nil"/>
              <w:bottom w:val="single" w:sz="8" w:space="0" w:color="auto"/>
              <w:right w:val="single" w:sz="8" w:space="0" w:color="auto"/>
            </w:tcBorders>
            <w:vAlign w:val="center"/>
            <w:hideMark/>
          </w:tcPr>
          <w:p w14:paraId="7E39D121" w14:textId="4C12A07C"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71,700</w:t>
            </w:r>
          </w:p>
        </w:tc>
        <w:tc>
          <w:tcPr>
            <w:tcW w:w="1867" w:type="dxa"/>
            <w:tcBorders>
              <w:top w:val="nil"/>
              <w:left w:val="nil"/>
              <w:bottom w:val="single" w:sz="8" w:space="0" w:color="auto"/>
              <w:right w:val="single" w:sz="8" w:space="0" w:color="auto"/>
            </w:tcBorders>
            <w:vAlign w:val="center"/>
            <w:hideMark/>
          </w:tcPr>
          <w:p w14:paraId="0B18C951" w14:textId="7C7397B3"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77,000</w:t>
            </w:r>
          </w:p>
        </w:tc>
        <w:tc>
          <w:tcPr>
            <w:tcW w:w="1865" w:type="dxa"/>
            <w:tcBorders>
              <w:top w:val="nil"/>
              <w:left w:val="nil"/>
              <w:bottom w:val="single" w:sz="8" w:space="0" w:color="auto"/>
              <w:right w:val="single" w:sz="8" w:space="0" w:color="auto"/>
            </w:tcBorders>
            <w:vAlign w:val="center"/>
            <w:hideMark/>
          </w:tcPr>
          <w:p w14:paraId="50EFD24F" w14:textId="1832E9B0"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15,400</w:t>
            </w:r>
          </w:p>
        </w:tc>
      </w:tr>
      <w:tr w:rsidR="00EC6AF1" w:rsidRPr="008A0812" w14:paraId="6D28C9F0" w14:textId="77777777" w:rsidTr="00EC6AF1">
        <w:trPr>
          <w:trHeight w:val="360"/>
          <w:jc w:val="center"/>
        </w:trPr>
        <w:tc>
          <w:tcPr>
            <w:tcW w:w="1866" w:type="dxa"/>
            <w:shd w:val="clear" w:color="auto" w:fill="auto"/>
            <w:vAlign w:val="center"/>
            <w:hideMark/>
          </w:tcPr>
          <w:p w14:paraId="68A5CE3D" w14:textId="34337090"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Peak Hour</w:t>
            </w:r>
          </w:p>
        </w:tc>
        <w:tc>
          <w:tcPr>
            <w:tcW w:w="1868" w:type="dxa"/>
            <w:tcBorders>
              <w:top w:val="nil"/>
              <w:left w:val="nil"/>
              <w:bottom w:val="single" w:sz="8" w:space="0" w:color="auto"/>
              <w:right w:val="single" w:sz="8" w:space="0" w:color="auto"/>
            </w:tcBorders>
            <w:vAlign w:val="center"/>
          </w:tcPr>
          <w:p w14:paraId="3BE5E529" w14:textId="33C2394D" w:rsidR="00EC6AF1" w:rsidRPr="008A0812" w:rsidRDefault="00EC6AF1" w:rsidP="00EC6AF1">
            <w:pPr>
              <w:overflowPunct/>
              <w:autoSpaceDE/>
              <w:autoSpaceDN/>
              <w:adjustRightInd/>
              <w:jc w:val="center"/>
              <w:rPr>
                <w:rFonts w:cs="Segoe UI"/>
              </w:rPr>
            </w:pPr>
            <w:r w:rsidRPr="008A0812">
              <w:rPr>
                <w:rFonts w:cs="Calibri"/>
                <w:color w:val="000000"/>
              </w:rPr>
              <w:t>31.1</w:t>
            </w:r>
          </w:p>
        </w:tc>
        <w:tc>
          <w:tcPr>
            <w:tcW w:w="1865" w:type="dxa"/>
            <w:tcBorders>
              <w:top w:val="nil"/>
              <w:left w:val="nil"/>
              <w:bottom w:val="single" w:sz="8" w:space="0" w:color="auto"/>
              <w:right w:val="single" w:sz="8" w:space="0" w:color="auto"/>
            </w:tcBorders>
            <w:vAlign w:val="center"/>
            <w:hideMark/>
          </w:tcPr>
          <w:p w14:paraId="7D95180E" w14:textId="287BC48B"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c>
          <w:tcPr>
            <w:tcW w:w="1867" w:type="dxa"/>
            <w:tcBorders>
              <w:top w:val="nil"/>
              <w:left w:val="nil"/>
              <w:bottom w:val="single" w:sz="8" w:space="0" w:color="auto"/>
              <w:right w:val="single" w:sz="8" w:space="0" w:color="auto"/>
            </w:tcBorders>
            <w:vAlign w:val="center"/>
            <w:hideMark/>
          </w:tcPr>
          <w:p w14:paraId="5BC8B9D6" w14:textId="6071AF7A"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c>
          <w:tcPr>
            <w:tcW w:w="1865" w:type="dxa"/>
            <w:tcBorders>
              <w:top w:val="nil"/>
              <w:left w:val="nil"/>
              <w:bottom w:val="single" w:sz="8" w:space="0" w:color="auto"/>
              <w:right w:val="single" w:sz="8" w:space="0" w:color="auto"/>
            </w:tcBorders>
            <w:vAlign w:val="center"/>
            <w:hideMark/>
          </w:tcPr>
          <w:p w14:paraId="3E8E1E2F" w14:textId="4EAFA2E0"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r>
    </w:tbl>
    <w:bookmarkEnd w:id="390"/>
    <w:p w14:paraId="1665CCF0" w14:textId="77777777" w:rsidR="00EC6AF1" w:rsidRPr="008A0812" w:rsidRDefault="00EC6AF1" w:rsidP="00EC6AF1">
      <w:pPr>
        <w:pStyle w:val="BodyText"/>
        <w:spacing w:after="0"/>
        <w:ind w:left="720"/>
        <w:rPr>
          <w:rFonts w:cs="Segoe UI"/>
          <w:sz w:val="20"/>
          <w:szCs w:val="20"/>
        </w:rPr>
      </w:pPr>
      <w:r w:rsidRPr="008A0812">
        <w:rPr>
          <w:rFonts w:cs="Segoe UI"/>
          <w:sz w:val="20"/>
          <w:szCs w:val="20"/>
        </w:rPr>
        <w:t>Notes:</w:t>
      </w:r>
    </w:p>
    <w:p w14:paraId="61E736F9" w14:textId="5A73C04B" w:rsidR="00E6181D" w:rsidRPr="008A0812" w:rsidRDefault="00EC6AF1" w:rsidP="00EC6AF1">
      <w:pPr>
        <w:pStyle w:val="BodyText"/>
        <w:spacing w:before="0" w:after="0"/>
        <w:ind w:left="1080"/>
        <w:rPr>
          <w:rFonts w:cs="Segoe UI"/>
          <w:sz w:val="20"/>
          <w:szCs w:val="20"/>
        </w:rPr>
      </w:pPr>
      <w:r w:rsidRPr="008A0812">
        <w:rPr>
          <w:rFonts w:cs="Segoe UI"/>
          <w:sz w:val="20"/>
          <w:szCs w:val="20"/>
        </w:rPr>
        <w:t>1.</w:t>
      </w:r>
      <w:r w:rsidRPr="008A0812">
        <w:rPr>
          <w:rFonts w:cs="Segoe UI"/>
          <w:sz w:val="20"/>
          <w:szCs w:val="20"/>
        </w:rPr>
        <w:tab/>
        <w:t>TKN is derived from the historical ammonia to TKN ratio (0.63) of influent to the SBWRP.</w:t>
      </w:r>
    </w:p>
    <w:p w14:paraId="5CA314CD" w14:textId="775A1616" w:rsidR="0002787C" w:rsidRPr="008A0812" w:rsidRDefault="0002787C" w:rsidP="0002787C">
      <w:pPr>
        <w:pStyle w:val="TableHeading"/>
      </w:pPr>
      <w:bookmarkStart w:id="391" w:name="_Ref36234038"/>
      <w:bookmarkStart w:id="392" w:name="_Toc36414077"/>
      <w:bookmarkStart w:id="393" w:name="_Toc41684766"/>
      <w:r w:rsidRPr="008A0812">
        <w:t xml:space="preserve">Table </w:t>
      </w:r>
      <w:r>
        <w:fldChar w:fldCharType="begin"/>
      </w:r>
      <w:r>
        <w:instrText>STYLEREF 1 \s</w:instrText>
      </w:r>
      <w:r>
        <w:fldChar w:fldCharType="separate"/>
      </w:r>
      <w:r w:rsidR="00AA68F8">
        <w:rPr>
          <w:noProof/>
        </w:rPr>
        <w:t>6</w:t>
      </w:r>
      <w:r>
        <w:fldChar w:fldCharType="end"/>
      </w:r>
      <w:r w:rsidR="00524B10" w:rsidRPr="008A0812">
        <w:noBreakHyphen/>
      </w:r>
      <w:r>
        <w:fldChar w:fldCharType="begin"/>
      </w:r>
      <w:r>
        <w:instrText>SEQ Table \* ARABIC \s 1</w:instrText>
      </w:r>
      <w:r>
        <w:fldChar w:fldCharType="separate"/>
      </w:r>
      <w:r w:rsidR="00AA68F8">
        <w:rPr>
          <w:noProof/>
        </w:rPr>
        <w:t>10</w:t>
      </w:r>
      <w:r>
        <w:fldChar w:fldCharType="end"/>
      </w:r>
      <w:bookmarkEnd w:id="391"/>
      <w:r w:rsidRPr="008A0812">
        <w:t>: 2040 Projected SBWRP Flows and Loads</w:t>
      </w:r>
      <w:bookmarkEnd w:id="392"/>
      <w:bookmarkEnd w:id="393"/>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66"/>
        <w:gridCol w:w="1868"/>
        <w:gridCol w:w="1865"/>
        <w:gridCol w:w="1867"/>
        <w:gridCol w:w="1865"/>
      </w:tblGrid>
      <w:tr w:rsidR="00EC6AF1" w:rsidRPr="008A0812" w14:paraId="33AFF8B3" w14:textId="77777777" w:rsidTr="00EC6AF1">
        <w:trPr>
          <w:trHeight w:val="495"/>
          <w:jc w:val="center"/>
        </w:trPr>
        <w:tc>
          <w:tcPr>
            <w:tcW w:w="1866" w:type="dxa"/>
            <w:shd w:val="clear" w:color="auto" w:fill="BFBFBF" w:themeFill="background1" w:themeFillShade="BF"/>
            <w:vAlign w:val="bottom"/>
            <w:hideMark/>
          </w:tcPr>
          <w:p w14:paraId="7A3D87D1" w14:textId="77777777" w:rsidR="00EC6AF1" w:rsidRPr="008A0812" w:rsidRDefault="00EC6AF1" w:rsidP="00EC6AF1">
            <w:pPr>
              <w:overflowPunct/>
              <w:autoSpaceDE/>
              <w:autoSpaceDN/>
              <w:adjustRightInd/>
              <w:jc w:val="center"/>
              <w:textAlignment w:val="auto"/>
              <w:rPr>
                <w:rFonts w:ascii="Segoe UI" w:hAnsi="Segoe UI" w:cs="Segoe UI"/>
                <w:sz w:val="18"/>
                <w:szCs w:val="18"/>
              </w:rPr>
            </w:pPr>
          </w:p>
        </w:tc>
        <w:tc>
          <w:tcPr>
            <w:tcW w:w="1868" w:type="dxa"/>
            <w:tcBorders>
              <w:top w:val="single" w:sz="8" w:space="0" w:color="auto"/>
              <w:left w:val="nil"/>
              <w:bottom w:val="single" w:sz="8" w:space="0" w:color="auto"/>
              <w:right w:val="single" w:sz="8" w:space="0" w:color="auto"/>
            </w:tcBorders>
            <w:shd w:val="clear" w:color="auto" w:fill="BFBFBF" w:themeFill="background1" w:themeFillShade="BF"/>
            <w:vAlign w:val="center"/>
          </w:tcPr>
          <w:p w14:paraId="2590471A" w14:textId="77777777" w:rsidR="00EC6AF1" w:rsidRPr="008A0812" w:rsidRDefault="00EC6AF1" w:rsidP="00EC6AF1">
            <w:pPr>
              <w:pStyle w:val="ListParagraph"/>
              <w:keepNext/>
              <w:ind w:left="0"/>
              <w:jc w:val="center"/>
              <w:rPr>
                <w:rFonts w:cs="Calibri"/>
                <w:b/>
                <w:bCs/>
              </w:rPr>
            </w:pPr>
            <w:r w:rsidRPr="008A0812">
              <w:rPr>
                <w:rFonts w:cs="Calibri"/>
                <w:b/>
                <w:bCs/>
              </w:rPr>
              <w:t>Flow</w:t>
            </w:r>
          </w:p>
          <w:p w14:paraId="2B047E4C" w14:textId="77777777" w:rsidR="00EC6AF1" w:rsidRPr="008A0812" w:rsidRDefault="00EC6AF1" w:rsidP="00EC6AF1">
            <w:pPr>
              <w:overflowPunct/>
              <w:autoSpaceDE/>
              <w:autoSpaceDN/>
              <w:adjustRightInd/>
              <w:jc w:val="center"/>
              <w:rPr>
                <w:rFonts w:cs="Segoe UI"/>
                <w:b/>
                <w:bCs/>
                <w:color w:val="000000"/>
              </w:rPr>
            </w:pPr>
            <w:r w:rsidRPr="008A0812">
              <w:rPr>
                <w:rFonts w:cs="Calibri"/>
                <w:b/>
                <w:bCs/>
              </w:rPr>
              <w:t>(mgd)</w:t>
            </w:r>
          </w:p>
        </w:tc>
        <w:tc>
          <w:tcPr>
            <w:tcW w:w="186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66DF8E2" w14:textId="77777777" w:rsidR="00EC6AF1" w:rsidRPr="008A0812" w:rsidRDefault="00EC6AF1" w:rsidP="00EC6AF1">
            <w:pPr>
              <w:pStyle w:val="ListParagraph"/>
              <w:keepNext/>
              <w:ind w:left="0"/>
              <w:jc w:val="center"/>
              <w:rPr>
                <w:rFonts w:cs="Calibri"/>
                <w:b/>
                <w:bCs/>
              </w:rPr>
            </w:pPr>
            <w:r w:rsidRPr="008A0812">
              <w:rPr>
                <w:rFonts w:cs="Calibri"/>
                <w:b/>
                <w:bCs/>
              </w:rPr>
              <w:t>BOD</w:t>
            </w:r>
          </w:p>
          <w:p w14:paraId="23F1D6B0" w14:textId="305575C0"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c>
          <w:tcPr>
            <w:tcW w:w="186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FC5D696" w14:textId="77777777" w:rsidR="00EC6AF1" w:rsidRPr="008A0812" w:rsidRDefault="00EC6AF1" w:rsidP="00EC6AF1">
            <w:pPr>
              <w:pStyle w:val="ListParagraph"/>
              <w:keepNext/>
              <w:ind w:left="0"/>
              <w:jc w:val="center"/>
              <w:rPr>
                <w:rFonts w:cs="Calibri"/>
                <w:b/>
                <w:bCs/>
              </w:rPr>
            </w:pPr>
            <w:r w:rsidRPr="008A0812">
              <w:rPr>
                <w:rFonts w:cs="Calibri"/>
                <w:b/>
                <w:bCs/>
              </w:rPr>
              <w:t>TSS</w:t>
            </w:r>
          </w:p>
          <w:p w14:paraId="33C5F842" w14:textId="56D479E7"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c>
          <w:tcPr>
            <w:tcW w:w="186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CD1C58E" w14:textId="77777777" w:rsidR="00EC6AF1" w:rsidRPr="008A0812" w:rsidRDefault="00EC6AF1" w:rsidP="00EC6AF1">
            <w:pPr>
              <w:pStyle w:val="ListParagraph"/>
              <w:keepNext/>
              <w:ind w:left="0"/>
              <w:jc w:val="center"/>
              <w:rPr>
                <w:rFonts w:cs="Calibri"/>
                <w:b/>
                <w:bCs/>
              </w:rPr>
            </w:pPr>
            <w:r w:rsidRPr="008A0812">
              <w:rPr>
                <w:rFonts w:cs="Calibri"/>
                <w:b/>
                <w:bCs/>
              </w:rPr>
              <w:t>TKN</w:t>
            </w:r>
          </w:p>
          <w:p w14:paraId="2694C0AA" w14:textId="5DCE8516" w:rsidR="00EC6AF1" w:rsidRPr="008A0812" w:rsidRDefault="00EC6AF1" w:rsidP="00EC6AF1">
            <w:pPr>
              <w:overflowPunct/>
              <w:autoSpaceDE/>
              <w:autoSpaceDN/>
              <w:adjustRightInd/>
              <w:jc w:val="center"/>
              <w:rPr>
                <w:rFonts w:ascii="Segoe UI" w:hAnsi="Segoe UI" w:cs="Segoe UI"/>
                <w:sz w:val="18"/>
                <w:szCs w:val="18"/>
              </w:rPr>
            </w:pPr>
            <w:r w:rsidRPr="008A0812">
              <w:rPr>
                <w:rFonts w:cs="Segoe UI"/>
                <w:b/>
                <w:bCs/>
                <w:color w:val="000000"/>
              </w:rPr>
              <w:t>(lb./day)</w:t>
            </w:r>
          </w:p>
        </w:tc>
      </w:tr>
      <w:tr w:rsidR="00EC6AF1" w:rsidRPr="008A0812" w14:paraId="306A1402" w14:textId="77777777" w:rsidTr="00EC6AF1">
        <w:trPr>
          <w:trHeight w:val="345"/>
          <w:jc w:val="center"/>
        </w:trPr>
        <w:tc>
          <w:tcPr>
            <w:tcW w:w="1866" w:type="dxa"/>
            <w:shd w:val="clear" w:color="auto" w:fill="auto"/>
            <w:vAlign w:val="center"/>
            <w:hideMark/>
          </w:tcPr>
          <w:p w14:paraId="00E4B4B0" w14:textId="77777777"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Annual Average</w:t>
            </w:r>
          </w:p>
        </w:tc>
        <w:tc>
          <w:tcPr>
            <w:tcW w:w="1868" w:type="dxa"/>
            <w:tcBorders>
              <w:top w:val="nil"/>
              <w:left w:val="nil"/>
              <w:bottom w:val="single" w:sz="8" w:space="0" w:color="auto"/>
              <w:right w:val="single" w:sz="8" w:space="0" w:color="auto"/>
            </w:tcBorders>
            <w:vAlign w:val="center"/>
          </w:tcPr>
          <w:p w14:paraId="60F46641" w14:textId="761B7960" w:rsidR="00EC6AF1" w:rsidRPr="008A0812" w:rsidRDefault="00EC6AF1" w:rsidP="00EC6AF1">
            <w:pPr>
              <w:overflowPunct/>
              <w:autoSpaceDE/>
              <w:autoSpaceDN/>
              <w:adjustRightInd/>
              <w:jc w:val="center"/>
              <w:rPr>
                <w:rFonts w:cs="Segoe UI"/>
                <w:color w:val="000000"/>
              </w:rPr>
            </w:pPr>
            <w:r w:rsidRPr="008A0812">
              <w:rPr>
                <w:rFonts w:cs="Calibri"/>
                <w:color w:val="000000"/>
              </w:rPr>
              <w:t>18.6</w:t>
            </w:r>
          </w:p>
        </w:tc>
        <w:tc>
          <w:tcPr>
            <w:tcW w:w="1865" w:type="dxa"/>
            <w:tcBorders>
              <w:top w:val="nil"/>
              <w:left w:val="nil"/>
              <w:bottom w:val="single" w:sz="8" w:space="0" w:color="auto"/>
              <w:right w:val="single" w:sz="8" w:space="0" w:color="auto"/>
            </w:tcBorders>
            <w:vAlign w:val="center"/>
            <w:hideMark/>
          </w:tcPr>
          <w:p w14:paraId="1B03ACCD" w14:textId="1FC90138"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43,400</w:t>
            </w:r>
          </w:p>
        </w:tc>
        <w:tc>
          <w:tcPr>
            <w:tcW w:w="1867" w:type="dxa"/>
            <w:tcBorders>
              <w:top w:val="nil"/>
              <w:left w:val="nil"/>
              <w:bottom w:val="single" w:sz="8" w:space="0" w:color="auto"/>
              <w:right w:val="single" w:sz="8" w:space="0" w:color="auto"/>
            </w:tcBorders>
            <w:vAlign w:val="center"/>
            <w:hideMark/>
          </w:tcPr>
          <w:p w14:paraId="7708E399" w14:textId="4A02F56E"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36,800</w:t>
            </w:r>
          </w:p>
        </w:tc>
        <w:tc>
          <w:tcPr>
            <w:tcW w:w="1865" w:type="dxa"/>
            <w:tcBorders>
              <w:top w:val="nil"/>
              <w:left w:val="nil"/>
              <w:bottom w:val="single" w:sz="8" w:space="0" w:color="auto"/>
              <w:right w:val="single" w:sz="8" w:space="0" w:color="auto"/>
            </w:tcBorders>
            <w:vAlign w:val="center"/>
            <w:hideMark/>
          </w:tcPr>
          <w:p w14:paraId="2B106E74" w14:textId="52114CDE"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7,500</w:t>
            </w:r>
          </w:p>
        </w:tc>
      </w:tr>
      <w:tr w:rsidR="00EC6AF1" w:rsidRPr="008A0812" w14:paraId="5D14EC2D" w14:textId="77777777" w:rsidTr="00EC6AF1">
        <w:trPr>
          <w:trHeight w:val="360"/>
          <w:jc w:val="center"/>
        </w:trPr>
        <w:tc>
          <w:tcPr>
            <w:tcW w:w="1866" w:type="dxa"/>
            <w:shd w:val="clear" w:color="auto" w:fill="auto"/>
            <w:vAlign w:val="center"/>
            <w:hideMark/>
          </w:tcPr>
          <w:p w14:paraId="708E6F95" w14:textId="77777777" w:rsidR="00EC6AF1" w:rsidRPr="008A0812" w:rsidRDefault="00EC6AF1" w:rsidP="00EC6AF1">
            <w:pPr>
              <w:overflowPunct/>
              <w:autoSpaceDE/>
              <w:autoSpaceDN/>
              <w:adjustRightInd/>
              <w:rPr>
                <w:rFonts w:cs="Segoe UI"/>
                <w:color w:val="000000"/>
              </w:rPr>
            </w:pPr>
            <w:r w:rsidRPr="008A0812">
              <w:rPr>
                <w:rFonts w:cs="Segoe UI"/>
                <w:color w:val="000000"/>
              </w:rPr>
              <w:t>Max Month</w:t>
            </w:r>
          </w:p>
        </w:tc>
        <w:tc>
          <w:tcPr>
            <w:tcW w:w="1868" w:type="dxa"/>
            <w:tcBorders>
              <w:top w:val="nil"/>
              <w:left w:val="nil"/>
              <w:bottom w:val="single" w:sz="8" w:space="0" w:color="auto"/>
              <w:right w:val="single" w:sz="8" w:space="0" w:color="auto"/>
            </w:tcBorders>
            <w:vAlign w:val="center"/>
          </w:tcPr>
          <w:p w14:paraId="235BA5AF" w14:textId="6A771558" w:rsidR="00EC6AF1" w:rsidRPr="008A0812" w:rsidRDefault="00EC6AF1" w:rsidP="00EC6AF1">
            <w:pPr>
              <w:overflowPunct/>
              <w:autoSpaceDE/>
              <w:autoSpaceDN/>
              <w:adjustRightInd/>
              <w:jc w:val="center"/>
              <w:rPr>
                <w:rFonts w:cs="Segoe UI"/>
              </w:rPr>
            </w:pPr>
            <w:r w:rsidRPr="008A0812">
              <w:rPr>
                <w:rFonts w:cs="Calibri"/>
                <w:color w:val="000000"/>
              </w:rPr>
              <w:t>19.8</w:t>
            </w:r>
          </w:p>
        </w:tc>
        <w:tc>
          <w:tcPr>
            <w:tcW w:w="1865" w:type="dxa"/>
            <w:tcBorders>
              <w:top w:val="nil"/>
              <w:left w:val="nil"/>
              <w:bottom w:val="single" w:sz="8" w:space="0" w:color="auto"/>
              <w:right w:val="single" w:sz="8" w:space="0" w:color="auto"/>
            </w:tcBorders>
            <w:vAlign w:val="center"/>
            <w:hideMark/>
          </w:tcPr>
          <w:p w14:paraId="0DEFFC79" w14:textId="488640C1"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49,300</w:t>
            </w:r>
          </w:p>
        </w:tc>
        <w:tc>
          <w:tcPr>
            <w:tcW w:w="1867" w:type="dxa"/>
            <w:tcBorders>
              <w:top w:val="nil"/>
              <w:left w:val="nil"/>
              <w:bottom w:val="single" w:sz="8" w:space="0" w:color="auto"/>
              <w:right w:val="single" w:sz="8" w:space="0" w:color="auto"/>
            </w:tcBorders>
            <w:vAlign w:val="center"/>
            <w:hideMark/>
          </w:tcPr>
          <w:p w14:paraId="4AB575E3" w14:textId="25B05569"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47,600</w:t>
            </w:r>
          </w:p>
        </w:tc>
        <w:tc>
          <w:tcPr>
            <w:tcW w:w="1865" w:type="dxa"/>
            <w:tcBorders>
              <w:top w:val="nil"/>
              <w:left w:val="nil"/>
              <w:bottom w:val="single" w:sz="8" w:space="0" w:color="auto"/>
              <w:right w:val="single" w:sz="8" w:space="0" w:color="auto"/>
            </w:tcBorders>
            <w:vAlign w:val="center"/>
            <w:hideMark/>
          </w:tcPr>
          <w:p w14:paraId="2E786DB1" w14:textId="0C6161C6"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9,700</w:t>
            </w:r>
          </w:p>
        </w:tc>
      </w:tr>
      <w:tr w:rsidR="00EC6AF1" w:rsidRPr="008A0812" w14:paraId="2E412BEF" w14:textId="77777777" w:rsidTr="00EC6AF1">
        <w:trPr>
          <w:trHeight w:val="360"/>
          <w:jc w:val="center"/>
        </w:trPr>
        <w:tc>
          <w:tcPr>
            <w:tcW w:w="1866" w:type="dxa"/>
            <w:shd w:val="clear" w:color="auto" w:fill="auto"/>
            <w:vAlign w:val="center"/>
            <w:hideMark/>
          </w:tcPr>
          <w:p w14:paraId="06B56221" w14:textId="77777777"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Max Week</w:t>
            </w:r>
          </w:p>
        </w:tc>
        <w:tc>
          <w:tcPr>
            <w:tcW w:w="1868" w:type="dxa"/>
            <w:tcBorders>
              <w:top w:val="nil"/>
              <w:left w:val="nil"/>
              <w:bottom w:val="single" w:sz="8" w:space="0" w:color="auto"/>
              <w:right w:val="single" w:sz="8" w:space="0" w:color="auto"/>
            </w:tcBorders>
            <w:vAlign w:val="center"/>
          </w:tcPr>
          <w:p w14:paraId="77822F0D" w14:textId="3C8DC5B4" w:rsidR="00EC6AF1" w:rsidRPr="008A0812" w:rsidRDefault="00EC6AF1" w:rsidP="00EC6AF1">
            <w:pPr>
              <w:overflowPunct/>
              <w:autoSpaceDE/>
              <w:autoSpaceDN/>
              <w:adjustRightInd/>
              <w:jc w:val="center"/>
              <w:rPr>
                <w:rFonts w:cs="Segoe UI"/>
              </w:rPr>
            </w:pPr>
            <w:r w:rsidRPr="008A0812">
              <w:rPr>
                <w:rFonts w:cs="Calibri"/>
                <w:color w:val="000000"/>
              </w:rPr>
              <w:t>20.8</w:t>
            </w:r>
          </w:p>
        </w:tc>
        <w:tc>
          <w:tcPr>
            <w:tcW w:w="1865" w:type="dxa"/>
            <w:tcBorders>
              <w:top w:val="nil"/>
              <w:left w:val="nil"/>
              <w:bottom w:val="single" w:sz="8" w:space="0" w:color="auto"/>
              <w:right w:val="single" w:sz="8" w:space="0" w:color="auto"/>
            </w:tcBorders>
            <w:vAlign w:val="center"/>
            <w:hideMark/>
          </w:tcPr>
          <w:p w14:paraId="58540639" w14:textId="6743D8F4"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67,800</w:t>
            </w:r>
          </w:p>
        </w:tc>
        <w:tc>
          <w:tcPr>
            <w:tcW w:w="1867" w:type="dxa"/>
            <w:tcBorders>
              <w:top w:val="nil"/>
              <w:left w:val="nil"/>
              <w:bottom w:val="single" w:sz="8" w:space="0" w:color="auto"/>
              <w:right w:val="single" w:sz="8" w:space="0" w:color="auto"/>
            </w:tcBorders>
            <w:vAlign w:val="center"/>
            <w:hideMark/>
          </w:tcPr>
          <w:p w14:paraId="2A7FA654" w14:textId="7209D065"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54,400</w:t>
            </w:r>
          </w:p>
        </w:tc>
        <w:tc>
          <w:tcPr>
            <w:tcW w:w="1865" w:type="dxa"/>
            <w:tcBorders>
              <w:top w:val="nil"/>
              <w:left w:val="nil"/>
              <w:bottom w:val="single" w:sz="8" w:space="0" w:color="auto"/>
              <w:right w:val="single" w:sz="8" w:space="0" w:color="auto"/>
            </w:tcBorders>
            <w:vAlign w:val="center"/>
            <w:hideMark/>
          </w:tcPr>
          <w:p w14:paraId="7E1CB463" w14:textId="706138EF"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11,100</w:t>
            </w:r>
          </w:p>
        </w:tc>
      </w:tr>
      <w:tr w:rsidR="00EC6AF1" w:rsidRPr="008A0812" w14:paraId="1ACB4C02" w14:textId="77777777" w:rsidTr="00EC6AF1">
        <w:trPr>
          <w:trHeight w:val="360"/>
          <w:jc w:val="center"/>
        </w:trPr>
        <w:tc>
          <w:tcPr>
            <w:tcW w:w="1866" w:type="dxa"/>
            <w:shd w:val="clear" w:color="auto" w:fill="auto"/>
            <w:vAlign w:val="center"/>
            <w:hideMark/>
          </w:tcPr>
          <w:p w14:paraId="153F2DF1" w14:textId="77777777"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Max Day</w:t>
            </w:r>
          </w:p>
        </w:tc>
        <w:tc>
          <w:tcPr>
            <w:tcW w:w="1868" w:type="dxa"/>
            <w:tcBorders>
              <w:top w:val="nil"/>
              <w:left w:val="nil"/>
              <w:bottom w:val="single" w:sz="8" w:space="0" w:color="auto"/>
              <w:right w:val="single" w:sz="8" w:space="0" w:color="auto"/>
            </w:tcBorders>
            <w:vAlign w:val="center"/>
          </w:tcPr>
          <w:p w14:paraId="33D24048" w14:textId="1F5299D5" w:rsidR="00EC6AF1" w:rsidRPr="008A0812" w:rsidRDefault="00EC6AF1" w:rsidP="00EC6AF1">
            <w:pPr>
              <w:overflowPunct/>
              <w:autoSpaceDE/>
              <w:autoSpaceDN/>
              <w:adjustRightInd/>
              <w:jc w:val="center"/>
              <w:rPr>
                <w:rFonts w:cs="Segoe UI"/>
              </w:rPr>
            </w:pPr>
            <w:r w:rsidRPr="008A0812">
              <w:rPr>
                <w:rFonts w:cs="Calibri"/>
                <w:color w:val="000000"/>
              </w:rPr>
              <w:t>23.2</w:t>
            </w:r>
          </w:p>
        </w:tc>
        <w:tc>
          <w:tcPr>
            <w:tcW w:w="1865" w:type="dxa"/>
            <w:tcBorders>
              <w:top w:val="nil"/>
              <w:left w:val="nil"/>
              <w:bottom w:val="single" w:sz="8" w:space="0" w:color="auto"/>
              <w:right w:val="single" w:sz="8" w:space="0" w:color="auto"/>
            </w:tcBorders>
            <w:vAlign w:val="center"/>
            <w:hideMark/>
          </w:tcPr>
          <w:p w14:paraId="23F8D9CF" w14:textId="07509FD6"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80,900</w:t>
            </w:r>
          </w:p>
        </w:tc>
        <w:tc>
          <w:tcPr>
            <w:tcW w:w="1867" w:type="dxa"/>
            <w:tcBorders>
              <w:top w:val="nil"/>
              <w:left w:val="nil"/>
              <w:bottom w:val="single" w:sz="8" w:space="0" w:color="auto"/>
              <w:right w:val="single" w:sz="8" w:space="0" w:color="auto"/>
            </w:tcBorders>
            <w:vAlign w:val="center"/>
            <w:hideMark/>
          </w:tcPr>
          <w:p w14:paraId="1CC890E6" w14:textId="0CEAFF4D"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86,900</w:t>
            </w:r>
          </w:p>
        </w:tc>
        <w:tc>
          <w:tcPr>
            <w:tcW w:w="1865" w:type="dxa"/>
            <w:tcBorders>
              <w:top w:val="nil"/>
              <w:left w:val="nil"/>
              <w:bottom w:val="single" w:sz="8" w:space="0" w:color="auto"/>
              <w:right w:val="single" w:sz="8" w:space="0" w:color="auto"/>
            </w:tcBorders>
            <w:vAlign w:val="center"/>
            <w:hideMark/>
          </w:tcPr>
          <w:p w14:paraId="556B91F5" w14:textId="3404E873"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17,700</w:t>
            </w:r>
          </w:p>
        </w:tc>
      </w:tr>
      <w:tr w:rsidR="00EC6AF1" w:rsidRPr="008A0812" w14:paraId="0B756F89" w14:textId="77777777" w:rsidTr="00EC6AF1">
        <w:trPr>
          <w:trHeight w:val="360"/>
          <w:jc w:val="center"/>
        </w:trPr>
        <w:tc>
          <w:tcPr>
            <w:tcW w:w="1866" w:type="dxa"/>
            <w:shd w:val="clear" w:color="auto" w:fill="auto"/>
            <w:vAlign w:val="center"/>
            <w:hideMark/>
          </w:tcPr>
          <w:p w14:paraId="042FA0B4" w14:textId="77777777" w:rsidR="00EC6AF1" w:rsidRPr="008A0812" w:rsidRDefault="00EC6AF1" w:rsidP="00EC6AF1">
            <w:pPr>
              <w:overflowPunct/>
              <w:autoSpaceDE/>
              <w:autoSpaceDN/>
              <w:adjustRightInd/>
              <w:rPr>
                <w:rFonts w:ascii="Segoe UI" w:hAnsi="Segoe UI" w:cs="Segoe UI"/>
                <w:sz w:val="18"/>
                <w:szCs w:val="18"/>
              </w:rPr>
            </w:pPr>
            <w:r w:rsidRPr="008A0812">
              <w:rPr>
                <w:rFonts w:cs="Segoe UI"/>
                <w:color w:val="000000"/>
              </w:rPr>
              <w:t>Peak Hour</w:t>
            </w:r>
          </w:p>
        </w:tc>
        <w:tc>
          <w:tcPr>
            <w:tcW w:w="1868" w:type="dxa"/>
            <w:tcBorders>
              <w:top w:val="nil"/>
              <w:left w:val="nil"/>
              <w:bottom w:val="single" w:sz="8" w:space="0" w:color="auto"/>
              <w:right w:val="single" w:sz="8" w:space="0" w:color="auto"/>
            </w:tcBorders>
            <w:vAlign w:val="center"/>
          </w:tcPr>
          <w:p w14:paraId="3234C0CE" w14:textId="6B6A697B" w:rsidR="00EC6AF1" w:rsidRPr="008A0812" w:rsidRDefault="00EC6AF1" w:rsidP="00EC6AF1">
            <w:pPr>
              <w:overflowPunct/>
              <w:autoSpaceDE/>
              <w:autoSpaceDN/>
              <w:adjustRightInd/>
              <w:jc w:val="center"/>
              <w:rPr>
                <w:rFonts w:cs="Segoe UI"/>
              </w:rPr>
            </w:pPr>
            <w:r w:rsidRPr="008A0812">
              <w:rPr>
                <w:rFonts w:cs="Calibri"/>
                <w:color w:val="000000"/>
              </w:rPr>
              <w:t>35.2</w:t>
            </w:r>
          </w:p>
        </w:tc>
        <w:tc>
          <w:tcPr>
            <w:tcW w:w="1865" w:type="dxa"/>
            <w:tcBorders>
              <w:top w:val="nil"/>
              <w:left w:val="nil"/>
              <w:bottom w:val="single" w:sz="8" w:space="0" w:color="auto"/>
              <w:right w:val="single" w:sz="8" w:space="0" w:color="auto"/>
            </w:tcBorders>
            <w:vAlign w:val="center"/>
            <w:hideMark/>
          </w:tcPr>
          <w:p w14:paraId="2CD56725" w14:textId="77777777"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c>
          <w:tcPr>
            <w:tcW w:w="1867" w:type="dxa"/>
            <w:tcBorders>
              <w:top w:val="nil"/>
              <w:left w:val="nil"/>
              <w:bottom w:val="single" w:sz="8" w:space="0" w:color="auto"/>
              <w:right w:val="single" w:sz="8" w:space="0" w:color="auto"/>
            </w:tcBorders>
            <w:vAlign w:val="center"/>
            <w:hideMark/>
          </w:tcPr>
          <w:p w14:paraId="11E2B4C9" w14:textId="77777777"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c>
          <w:tcPr>
            <w:tcW w:w="1865" w:type="dxa"/>
            <w:tcBorders>
              <w:top w:val="nil"/>
              <w:left w:val="nil"/>
              <w:bottom w:val="single" w:sz="8" w:space="0" w:color="auto"/>
              <w:right w:val="single" w:sz="8" w:space="0" w:color="auto"/>
            </w:tcBorders>
            <w:vAlign w:val="center"/>
            <w:hideMark/>
          </w:tcPr>
          <w:p w14:paraId="413E3B4A" w14:textId="77777777" w:rsidR="00EC6AF1" w:rsidRPr="008A0812" w:rsidRDefault="00EC6AF1" w:rsidP="00EC6AF1">
            <w:pPr>
              <w:overflowPunct/>
              <w:autoSpaceDE/>
              <w:autoSpaceDN/>
              <w:adjustRightInd/>
              <w:jc w:val="center"/>
              <w:rPr>
                <w:rFonts w:ascii="Segoe UI" w:hAnsi="Segoe UI" w:cs="Segoe UI"/>
                <w:sz w:val="18"/>
                <w:szCs w:val="18"/>
              </w:rPr>
            </w:pPr>
            <w:r w:rsidRPr="008A0812">
              <w:rPr>
                <w:rFonts w:cs="Calibri"/>
                <w:color w:val="000000"/>
              </w:rPr>
              <w:t>NA</w:t>
            </w:r>
          </w:p>
        </w:tc>
      </w:tr>
    </w:tbl>
    <w:p w14:paraId="70BE0A3C" w14:textId="77777777" w:rsidR="005220D4" w:rsidRPr="008A0812" w:rsidRDefault="005220D4" w:rsidP="005220D4">
      <w:pPr>
        <w:pStyle w:val="BodyText"/>
        <w:spacing w:after="0"/>
        <w:ind w:left="720"/>
        <w:rPr>
          <w:rFonts w:cs="Segoe UI"/>
          <w:sz w:val="20"/>
          <w:szCs w:val="20"/>
        </w:rPr>
      </w:pPr>
      <w:r w:rsidRPr="008A0812">
        <w:rPr>
          <w:rFonts w:cs="Segoe UI"/>
          <w:sz w:val="20"/>
          <w:szCs w:val="20"/>
        </w:rPr>
        <w:t>Notes:</w:t>
      </w:r>
    </w:p>
    <w:p w14:paraId="3C64A787" w14:textId="6897F613" w:rsidR="005220D4" w:rsidRPr="008A0812" w:rsidRDefault="005220D4" w:rsidP="00B40B9B">
      <w:pPr>
        <w:pStyle w:val="BodyText"/>
        <w:numPr>
          <w:ilvl w:val="0"/>
          <w:numId w:val="18"/>
        </w:numPr>
        <w:spacing w:before="0" w:after="0"/>
        <w:rPr>
          <w:rFonts w:cs="Segoe UI"/>
          <w:sz w:val="20"/>
          <w:szCs w:val="20"/>
        </w:rPr>
      </w:pPr>
      <w:r w:rsidRPr="008A0812">
        <w:rPr>
          <w:rFonts w:cs="Segoe UI"/>
          <w:sz w:val="20"/>
          <w:szCs w:val="20"/>
        </w:rPr>
        <w:t xml:space="preserve">TKN is derived from the historical ammonia to TKN ratio (0.63) of </w:t>
      </w:r>
      <w:r w:rsidR="000801B7" w:rsidRPr="008A0812">
        <w:rPr>
          <w:rFonts w:cs="Segoe UI"/>
          <w:sz w:val="20"/>
          <w:szCs w:val="20"/>
        </w:rPr>
        <w:t xml:space="preserve">influent to the </w:t>
      </w:r>
      <w:r w:rsidRPr="008A0812">
        <w:rPr>
          <w:rFonts w:cs="Segoe UI"/>
          <w:sz w:val="20"/>
          <w:szCs w:val="20"/>
        </w:rPr>
        <w:t>SBWRP.</w:t>
      </w:r>
    </w:p>
    <w:p w14:paraId="4321B6DA" w14:textId="6CA92FF0" w:rsidR="0063269A" w:rsidRPr="008A0812" w:rsidRDefault="0063269A" w:rsidP="00DA18C2">
      <w:pPr>
        <w:pStyle w:val="BodyText"/>
        <w:sectPr w:rsidR="0063269A"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r w:rsidRPr="008A0812">
        <w:t xml:space="preserve">Following the departure of EVWD influent flows, SBWRP is not expected to reach current flow and loading </w:t>
      </w:r>
      <w:r w:rsidR="000801B7" w:rsidRPr="008A0812">
        <w:t xml:space="preserve">levels </w:t>
      </w:r>
      <w:r w:rsidRPr="008A0812">
        <w:t xml:space="preserve">through 2040. </w:t>
      </w:r>
      <w:r w:rsidR="00EB69E7" w:rsidRPr="008A0812">
        <w:fldChar w:fldCharType="begin"/>
      </w:r>
      <w:r w:rsidR="00EB69E7" w:rsidRPr="008A0812">
        <w:instrText xml:space="preserve"> REF _Ref36234021 \h </w:instrText>
      </w:r>
      <w:r w:rsidR="008A0812">
        <w:instrText xml:space="preserve"> \* MERGEFORMAT </w:instrText>
      </w:r>
      <w:r w:rsidR="00EB69E7" w:rsidRPr="008A0812">
        <w:fldChar w:fldCharType="separate"/>
      </w:r>
      <w:r w:rsidR="00AA68F8" w:rsidRPr="008A0812">
        <w:t xml:space="preserve">Table </w:t>
      </w:r>
      <w:r w:rsidR="00AA68F8">
        <w:rPr>
          <w:noProof/>
        </w:rPr>
        <w:t>6</w:t>
      </w:r>
      <w:r w:rsidR="00AA68F8" w:rsidRPr="008A0812">
        <w:rPr>
          <w:noProof/>
        </w:rPr>
        <w:noBreakHyphen/>
      </w:r>
      <w:r w:rsidR="00AA68F8">
        <w:rPr>
          <w:noProof/>
        </w:rPr>
        <w:t>9</w:t>
      </w:r>
      <w:r w:rsidR="00EB69E7" w:rsidRPr="008A0812">
        <w:fldChar w:fldCharType="end"/>
      </w:r>
      <w:r w:rsidR="00EB69E7" w:rsidRPr="008A0812">
        <w:t xml:space="preserve"> </w:t>
      </w:r>
      <w:r w:rsidR="001A0F5C" w:rsidRPr="008A0812">
        <w:t xml:space="preserve">and </w:t>
      </w:r>
      <w:r w:rsidR="00EB69E7" w:rsidRPr="008A0812">
        <w:fldChar w:fldCharType="begin"/>
      </w:r>
      <w:r w:rsidR="00EB69E7" w:rsidRPr="008A0812">
        <w:instrText xml:space="preserve"> REF _Ref36234038 \h </w:instrText>
      </w:r>
      <w:r w:rsidR="008A0812">
        <w:instrText xml:space="preserve"> \* MERGEFORMAT </w:instrText>
      </w:r>
      <w:r w:rsidR="00EB69E7" w:rsidRPr="008A0812">
        <w:fldChar w:fldCharType="separate"/>
      </w:r>
      <w:r w:rsidR="00AA68F8" w:rsidRPr="008A0812">
        <w:t xml:space="preserve">Table </w:t>
      </w:r>
      <w:r w:rsidR="00AA68F8">
        <w:rPr>
          <w:noProof/>
        </w:rPr>
        <w:t>6</w:t>
      </w:r>
      <w:r w:rsidR="00AA68F8" w:rsidRPr="008A0812">
        <w:rPr>
          <w:noProof/>
        </w:rPr>
        <w:noBreakHyphen/>
      </w:r>
      <w:r w:rsidR="00AA68F8">
        <w:rPr>
          <w:noProof/>
        </w:rPr>
        <w:t>10</w:t>
      </w:r>
      <w:r w:rsidR="00EB69E7" w:rsidRPr="008A0812">
        <w:fldChar w:fldCharType="end"/>
      </w:r>
      <w:r w:rsidR="001A0F5C" w:rsidRPr="008A0812">
        <w:t xml:space="preserve">  present the flow and load values that will be utilized for capacity evaluation and project feasibility in</w:t>
      </w:r>
      <w:r w:rsidR="000801B7" w:rsidRPr="008A0812">
        <w:t xml:space="preserve"> the</w:t>
      </w:r>
      <w:r w:rsidR="001A0F5C" w:rsidRPr="008A0812">
        <w:t xml:space="preserve"> latter portions of this Master Plan.</w:t>
      </w:r>
    </w:p>
    <w:p w14:paraId="15D699FE" w14:textId="048F4D65" w:rsidR="00DA18C2" w:rsidRPr="008A0812" w:rsidRDefault="000801B7" w:rsidP="00DA18C2">
      <w:pPr>
        <w:pStyle w:val="Heading1"/>
      </w:pPr>
      <w:bookmarkStart w:id="394" w:name="_Toc41680874"/>
      <w:r w:rsidRPr="008A0812">
        <w:t xml:space="preserve">Existing and Future </w:t>
      </w:r>
      <w:r w:rsidR="00DA18C2" w:rsidRPr="008A0812">
        <w:t>Regulatory</w:t>
      </w:r>
      <w:r w:rsidRPr="008A0812">
        <w:t xml:space="preserve"> Considerations</w:t>
      </w:r>
      <w:bookmarkEnd w:id="394"/>
    </w:p>
    <w:p w14:paraId="1BB27B13" w14:textId="7A20F21B" w:rsidR="00DA18C2" w:rsidRPr="008A0812" w:rsidRDefault="00DA18C2" w:rsidP="00DA18C2">
      <w:pPr>
        <w:pStyle w:val="BodyText"/>
      </w:pPr>
      <w:r w:rsidRPr="008A0812">
        <w:t xml:space="preserve">This </w:t>
      </w:r>
      <w:r w:rsidR="00977509" w:rsidRPr="008A0812">
        <w:t>S</w:t>
      </w:r>
      <w:r w:rsidRPr="008A0812">
        <w:t>ection summarizes existing regulations for effluent discharge, biosolids, air quality, and safety that apply to the SBWRP. It also examines regulation</w:t>
      </w:r>
      <w:r w:rsidR="000801B7" w:rsidRPr="008A0812">
        <w:t>s</w:t>
      </w:r>
      <w:r w:rsidRPr="008A0812">
        <w:t xml:space="preserve"> that may potentially apply to the SBWRP or indirectly affect its operation in the future. The anticipated </w:t>
      </w:r>
      <w:r w:rsidR="00822052" w:rsidRPr="008A0812">
        <w:t xml:space="preserve">regulatory </w:t>
      </w:r>
      <w:r w:rsidRPr="008A0812">
        <w:t xml:space="preserve">changes relate to air emissions, </w:t>
      </w:r>
      <w:r w:rsidR="00822052" w:rsidRPr="008A0812">
        <w:t>biosolids disposal</w:t>
      </w:r>
      <w:r w:rsidRPr="008A0812">
        <w:t xml:space="preserve">, habitat </w:t>
      </w:r>
      <w:r w:rsidR="000801B7" w:rsidRPr="008A0812">
        <w:t xml:space="preserve">conservation </w:t>
      </w:r>
      <w:r w:rsidRPr="008A0812">
        <w:t>in the Santa Ana River</w:t>
      </w:r>
      <w:r w:rsidR="00580C4C" w:rsidRPr="008A0812">
        <w:t>, and potential changes in discharge requirements for total dissolved solids (TDS) and total inorganic nitrogen (TIN)</w:t>
      </w:r>
      <w:r w:rsidRPr="008A0812">
        <w:t>.</w:t>
      </w:r>
    </w:p>
    <w:p w14:paraId="5C527D07" w14:textId="13567741" w:rsidR="00DA18C2" w:rsidRPr="008A0812" w:rsidRDefault="00DA18C2" w:rsidP="00DA18C2">
      <w:pPr>
        <w:pStyle w:val="Heading2"/>
      </w:pPr>
      <w:bookmarkStart w:id="395" w:name="_Toc41680875"/>
      <w:r w:rsidRPr="008A0812">
        <w:t>Discharge Requirements</w:t>
      </w:r>
      <w:bookmarkEnd w:id="395"/>
    </w:p>
    <w:p w14:paraId="5F76FA19" w14:textId="2D017364" w:rsidR="00DA18C2" w:rsidRPr="008A0812" w:rsidRDefault="00DA18C2" w:rsidP="00DA18C2">
      <w:pPr>
        <w:pStyle w:val="BodyText"/>
      </w:pPr>
      <w:r w:rsidRPr="008A0812">
        <w:t xml:space="preserve">Discharge from the SBWRP is regulated by several agencies including the Regional Water Quality Control Board (RWQCB), the Upper Santa Ana Habitat Conservation Plan (HCP), the Santa Ana Watershed Project Authority (SAWPA) and the Orange County Sanitation District (OCSD). </w:t>
      </w:r>
      <w:r w:rsidR="00822052" w:rsidRPr="008A0812">
        <w:t xml:space="preserve">The </w:t>
      </w:r>
      <w:r w:rsidR="00C67571" w:rsidRPr="008A0812">
        <w:t>RWQCB</w:t>
      </w:r>
      <w:r w:rsidR="00822052" w:rsidRPr="008A0812">
        <w:t xml:space="preserve"> regulates wastewater discharge from the SBWRP and RIX facility, as described in the following sections.</w:t>
      </w:r>
    </w:p>
    <w:p w14:paraId="347FFC79" w14:textId="6145B7B5" w:rsidR="00DA18C2" w:rsidRPr="008A0812" w:rsidRDefault="00DA18C2" w:rsidP="00DA18C2">
      <w:pPr>
        <w:pStyle w:val="Heading3"/>
      </w:pPr>
      <w:bookmarkStart w:id="396" w:name="_Ref20239107"/>
      <w:bookmarkStart w:id="397" w:name="_Ref20239113"/>
      <w:bookmarkStart w:id="398" w:name="_Toc41680876"/>
      <w:r w:rsidRPr="008A0812">
        <w:t>Rapid Infiltration/Extraction (RIX) Facility</w:t>
      </w:r>
      <w:bookmarkEnd w:id="396"/>
      <w:bookmarkEnd w:id="397"/>
      <w:bookmarkEnd w:id="398"/>
    </w:p>
    <w:p w14:paraId="337257A7" w14:textId="0CB2AEBE" w:rsidR="00614D42" w:rsidRPr="008A0812" w:rsidRDefault="00DA18C2" w:rsidP="00822052">
      <w:pPr>
        <w:pStyle w:val="BodyText"/>
      </w:pPr>
      <w:r w:rsidRPr="008A0812">
        <w:t xml:space="preserve">Secondary effluent from the SBWRP is conveyed to the Rapid Infiltration Extraction (RIX) facility located at 1990 Agua Mansa Road in Colton. RIX is jointly owned by the City of San Bernardino (80%) and the City of Colton (20%) and is operated by the SBMWD. The treatment train includes infiltration of secondary treated wastewater into a series of ponds under conditions of wet and dry cycles. </w:t>
      </w:r>
      <w:r w:rsidR="00CB5135">
        <w:t>I</w:t>
      </w:r>
      <w:r w:rsidRPr="008A0812">
        <w:t xml:space="preserve">nfiltrated wastewater plus native groundwater are </w:t>
      </w:r>
      <w:r w:rsidR="00805B9B" w:rsidRPr="008A0812">
        <w:t>extracted, disinfected</w:t>
      </w:r>
      <w:r w:rsidRPr="008A0812">
        <w:t xml:space="preserve"> with UV</w:t>
      </w:r>
      <w:r w:rsidR="00805B9B" w:rsidRPr="008A0812">
        <w:t>,</w:t>
      </w:r>
      <w:r w:rsidRPr="008A0812">
        <w:t xml:space="preserve"> and discharged to Reach 4 of the Santa Ana River.</w:t>
      </w:r>
      <w:r w:rsidR="00822052" w:rsidRPr="008A0812">
        <w:t xml:space="preserve"> Groundwater </w:t>
      </w:r>
      <w:r w:rsidR="00A04967" w:rsidRPr="008A0812">
        <w:t>over</w:t>
      </w:r>
      <w:r w:rsidR="00977509" w:rsidRPr="008A0812">
        <w:t>-</w:t>
      </w:r>
      <w:r w:rsidR="00822052" w:rsidRPr="008A0812">
        <w:t>extraction is required to lower groundwater level</w:t>
      </w:r>
      <w:r w:rsidR="00A04967" w:rsidRPr="008A0812">
        <w:t>s</w:t>
      </w:r>
      <w:r w:rsidR="00822052" w:rsidRPr="008A0812">
        <w:t xml:space="preserve"> in the vicinity of the ponds to </w:t>
      </w:r>
      <w:r w:rsidR="00A04967" w:rsidRPr="008A0812">
        <w:t>maintain percolation</w:t>
      </w:r>
      <w:r w:rsidR="00822052" w:rsidRPr="008A0812">
        <w:t xml:space="preserve"> rates.</w:t>
      </w:r>
      <w:r w:rsidR="00614D42" w:rsidRPr="008A0812">
        <w:t xml:space="preserve"> </w:t>
      </w:r>
    </w:p>
    <w:p w14:paraId="2A4876AD" w14:textId="0AB514B1" w:rsidR="00DA18C2" w:rsidRPr="008A0812" w:rsidRDefault="00DA18C2" w:rsidP="00DA18C2">
      <w:pPr>
        <w:pStyle w:val="BodyText"/>
      </w:pPr>
      <w:r w:rsidRPr="008A0812">
        <w:t xml:space="preserve">The RIX </w:t>
      </w:r>
      <w:r w:rsidR="00C67571" w:rsidRPr="008A0812">
        <w:t>f</w:t>
      </w:r>
      <w:r w:rsidRPr="008A0812">
        <w:t xml:space="preserve">acility is permitted to treat an influent flow rate of up to 40 mgd and discharge at its UV disinfection’s design capacity of 64 </w:t>
      </w:r>
      <w:r w:rsidR="006C3D4C" w:rsidRPr="008A0812">
        <w:t>mgd</w:t>
      </w:r>
      <w:r w:rsidRPr="008A0812">
        <w:t xml:space="preserve">. Effluent discharge volume is higher than influent volume because the effluent discharge includes over-extracted groundwater. During 2016, average monthly discharges from the RIX </w:t>
      </w:r>
      <w:r w:rsidR="00C67571" w:rsidRPr="008A0812">
        <w:t>f</w:t>
      </w:r>
      <w:r w:rsidRPr="008A0812">
        <w:t xml:space="preserve">acility to the Santa Ana River ranged from 28 to 30 </w:t>
      </w:r>
      <w:r w:rsidR="00C67571" w:rsidRPr="008A0812">
        <w:t>mgd</w:t>
      </w:r>
      <w:r w:rsidRPr="008A0812">
        <w:t xml:space="preserve"> (California Regional Water Quality Control Board, Santa Ana Region, 2016). </w:t>
      </w:r>
    </w:p>
    <w:p w14:paraId="5B2E4234" w14:textId="63CA7E77" w:rsidR="00805B9B" w:rsidRPr="008A0812" w:rsidRDefault="00950404" w:rsidP="00DA18C2">
      <w:pPr>
        <w:pStyle w:val="BodyText"/>
      </w:pPr>
      <w:r w:rsidRPr="008A0812">
        <w:t xml:space="preserve">Due to a decline in percolation rates, the hydraulic capacity of the basins </w:t>
      </w:r>
      <w:r w:rsidR="009F3081" w:rsidRPr="008A0812">
        <w:t>decreased,</w:t>
      </w:r>
      <w:r w:rsidRPr="008A0812">
        <w:t xml:space="preserve"> and tertiary filtration equipment was added to cover the gap in capacity. </w:t>
      </w:r>
      <w:r w:rsidR="00805B9B" w:rsidRPr="008A0812">
        <w:t>Dyna-Sand</w:t>
      </w:r>
      <w:r w:rsidR="00232032" w:rsidRPr="008A0812">
        <w:t xml:space="preserve"> filters were first added and</w:t>
      </w:r>
      <w:r w:rsidR="00805B9B" w:rsidRPr="008A0812">
        <w:t xml:space="preserve"> then eventually the Aqua-Disc Filters. </w:t>
      </w:r>
      <w:r w:rsidRPr="008A0812">
        <w:t xml:space="preserve">When used, the tertiary filters are used in parallel with the basins, not in series. As discussed in Section 5.2.1, RIX influent flow now averages 26.5 mgd, and the basins have enough capacity to treat this flow without using the add-on filter systems. The </w:t>
      </w:r>
      <w:r w:rsidR="00232032" w:rsidRPr="008A0812">
        <w:t xml:space="preserve">tertiary filtration equipment is </w:t>
      </w:r>
      <w:r w:rsidRPr="008A0812">
        <w:t xml:space="preserve">now </w:t>
      </w:r>
      <w:r w:rsidR="00805B9B" w:rsidRPr="008A0812">
        <w:t>use</w:t>
      </w:r>
      <w:r w:rsidR="00232032" w:rsidRPr="008A0812">
        <w:t>d</w:t>
      </w:r>
      <w:r w:rsidR="00805B9B" w:rsidRPr="008A0812">
        <w:t xml:space="preserve"> </w:t>
      </w:r>
      <w:r w:rsidRPr="008A0812">
        <w:t xml:space="preserve">only </w:t>
      </w:r>
      <w:r w:rsidR="00805B9B" w:rsidRPr="008A0812">
        <w:t xml:space="preserve">during very high flow periods </w:t>
      </w:r>
      <w:r w:rsidR="00C62B2E" w:rsidRPr="008A0812">
        <w:t>to</w:t>
      </w:r>
      <w:r w:rsidR="00805B9B" w:rsidRPr="008A0812">
        <w:t xml:space="preserve"> maintain the 3</w:t>
      </w:r>
      <w:r w:rsidRPr="008A0812">
        <w:t>-</w:t>
      </w:r>
      <w:r w:rsidR="00805B9B" w:rsidRPr="008A0812">
        <w:t xml:space="preserve">basin rotation (wet / dry cycles) to minimize algae growth. </w:t>
      </w:r>
    </w:p>
    <w:p w14:paraId="28094BC7" w14:textId="67AF0B22" w:rsidR="0059293F" w:rsidRDefault="00DA18C2" w:rsidP="0059293F">
      <w:pPr>
        <w:pStyle w:val="BodyText"/>
      </w:pPr>
      <w:r w:rsidRPr="008A0812">
        <w:t>Discharge to the Santa Ana River from RIX is regulated under Order No. R8-201</w:t>
      </w:r>
      <w:r w:rsidR="0026353B">
        <w:t>3</w:t>
      </w:r>
      <w:r w:rsidRPr="008A0812">
        <w:t>-00</w:t>
      </w:r>
      <w:r w:rsidR="0026353B">
        <w:t>32</w:t>
      </w:r>
      <w:r w:rsidRPr="008A0812">
        <w:t>, NPDES No. CA8000304 which expired on July 31, 2018</w:t>
      </w:r>
      <w:r w:rsidR="009F3081" w:rsidRPr="008A0812">
        <w:t xml:space="preserve"> and has been administratively extended since the receipt of the application prior to expiration</w:t>
      </w:r>
      <w:r w:rsidRPr="008A0812">
        <w:t xml:space="preserve">. </w:t>
      </w:r>
      <w:r w:rsidR="009F3081" w:rsidRPr="008A0812">
        <w:t>There are two sets of d</w:t>
      </w:r>
      <w:r w:rsidRPr="008A0812">
        <w:t>ischarge requirements</w:t>
      </w:r>
      <w:r w:rsidR="009F3081" w:rsidRPr="008A0812">
        <w:t xml:space="preserve"> </w:t>
      </w:r>
      <w:r w:rsidRPr="008A0812">
        <w:t>when dilution from the river is</w:t>
      </w:r>
      <w:r w:rsidR="0059293F">
        <w:t>:</w:t>
      </w:r>
    </w:p>
    <w:p w14:paraId="68F1177D" w14:textId="77777777" w:rsidR="0059293F" w:rsidRDefault="0059293F" w:rsidP="0059293F">
      <w:pPr>
        <w:pStyle w:val="ListParagraph"/>
        <w:numPr>
          <w:ilvl w:val="1"/>
          <w:numId w:val="18"/>
        </w:numPr>
        <w:spacing w:before="120"/>
        <w:ind w:left="2203"/>
      </w:pPr>
      <w:r>
        <w:t>B</w:t>
      </w:r>
      <w:r w:rsidR="00DA18C2" w:rsidRPr="008A0812">
        <w:t>elow 20:1</w:t>
      </w:r>
      <w:r w:rsidR="009F3081" w:rsidRPr="008A0812">
        <w:t xml:space="preserve">, or </w:t>
      </w:r>
    </w:p>
    <w:p w14:paraId="24AE6476" w14:textId="1B78FCA9" w:rsidR="0059293F" w:rsidRDefault="009F3081" w:rsidP="0059293F">
      <w:pPr>
        <w:pStyle w:val="ListParagraph"/>
        <w:numPr>
          <w:ilvl w:val="1"/>
          <w:numId w:val="18"/>
        </w:numPr>
      </w:pPr>
      <w:r w:rsidRPr="008A0812">
        <w:t>20:1</w:t>
      </w:r>
      <w:r w:rsidR="0059293F">
        <w:t xml:space="preserve"> or more</w:t>
      </w:r>
      <w:r w:rsidRPr="008A0812">
        <w:t xml:space="preserve">. </w:t>
      </w:r>
    </w:p>
    <w:p w14:paraId="391F4E58" w14:textId="5C4E6856" w:rsidR="00C62B2E" w:rsidRDefault="009F3081" w:rsidP="0059293F">
      <w:pPr>
        <w:pStyle w:val="BodyText"/>
      </w:pPr>
      <w:r w:rsidRPr="008A0812">
        <w:t xml:space="preserve">The </w:t>
      </w:r>
      <w:r w:rsidR="00A77ABB" w:rsidRPr="008A0812">
        <w:t xml:space="preserve"> </w:t>
      </w:r>
      <w:r w:rsidRPr="008A0812">
        <w:t>discharge requirements are more stringent when dilution from the river is below 20:1</w:t>
      </w:r>
      <w:r w:rsidR="00C62B2E">
        <w:t xml:space="preserve"> as shown in </w:t>
      </w:r>
      <w:r w:rsidR="00C62B2E">
        <w:fldChar w:fldCharType="begin"/>
      </w:r>
      <w:r w:rsidR="00C62B2E">
        <w:instrText xml:space="preserve"> REF _Ref36399018 \h </w:instrText>
      </w:r>
      <w:r w:rsidR="0059293F">
        <w:instrText xml:space="preserve"> \* MERGEFORMAT </w:instrText>
      </w:r>
      <w:r w:rsidR="00C62B2E">
        <w:fldChar w:fldCharType="separate"/>
      </w:r>
      <w:r w:rsidR="00AA68F8" w:rsidRPr="008A0812">
        <w:t xml:space="preserve">Table </w:t>
      </w:r>
      <w:r w:rsidR="00AA68F8">
        <w:rPr>
          <w:noProof/>
        </w:rPr>
        <w:t>7</w:t>
      </w:r>
      <w:r w:rsidR="00AA68F8" w:rsidRPr="008A0812">
        <w:rPr>
          <w:noProof/>
        </w:rPr>
        <w:noBreakHyphen/>
      </w:r>
      <w:r w:rsidR="00AA68F8">
        <w:rPr>
          <w:noProof/>
        </w:rPr>
        <w:t>1</w:t>
      </w:r>
      <w:r w:rsidR="00C62B2E">
        <w:fldChar w:fldCharType="end"/>
      </w:r>
      <w:r w:rsidR="00C62B2E">
        <w:t xml:space="preserve">. </w:t>
      </w:r>
      <w:r w:rsidR="0059293F" w:rsidRPr="00C62B2E">
        <w:t>For the purposes of this Facilities Master Plan, the target secondary effluent limits will be based on the discharge requirements for the lower dilution requirement (</w:t>
      </w:r>
      <w:r w:rsidR="0059293F">
        <w:fldChar w:fldCharType="begin"/>
      </w:r>
      <w:r w:rsidR="0059293F">
        <w:instrText xml:space="preserve"> REF _Ref36399018 \h </w:instrText>
      </w:r>
      <w:r w:rsidR="0059293F">
        <w:fldChar w:fldCharType="separate"/>
      </w:r>
      <w:r w:rsidR="00AA68F8" w:rsidRPr="008A0812">
        <w:t xml:space="preserve">Table </w:t>
      </w:r>
      <w:r w:rsidR="00AA68F8">
        <w:rPr>
          <w:noProof/>
        </w:rPr>
        <w:t>7</w:t>
      </w:r>
      <w:r w:rsidR="00AA68F8" w:rsidRPr="008A0812">
        <w:noBreakHyphen/>
      </w:r>
      <w:r w:rsidR="00AA68F8">
        <w:rPr>
          <w:noProof/>
        </w:rPr>
        <w:t>1</w:t>
      </w:r>
      <w:r w:rsidR="0059293F">
        <w:fldChar w:fldCharType="end"/>
      </w:r>
      <w:r w:rsidR="0059293F">
        <w:t xml:space="preserve">). </w:t>
      </w:r>
      <w:r w:rsidR="00C62B2E">
        <w:fldChar w:fldCharType="begin"/>
      </w:r>
      <w:r w:rsidR="00C62B2E">
        <w:instrText xml:space="preserve"> REF _Ref41577070 \h </w:instrText>
      </w:r>
      <w:r w:rsidR="0059293F">
        <w:instrText xml:space="preserve"> \* MERGEFORMAT </w:instrText>
      </w:r>
      <w:r w:rsidR="00C62B2E">
        <w:fldChar w:fldCharType="separate"/>
      </w:r>
      <w:r w:rsidR="00AA68F8" w:rsidRPr="008A0812">
        <w:t xml:space="preserve">Table </w:t>
      </w:r>
      <w:r w:rsidR="00AA68F8">
        <w:rPr>
          <w:noProof/>
        </w:rPr>
        <w:t>7</w:t>
      </w:r>
      <w:r w:rsidR="00AA68F8" w:rsidRPr="008A0812">
        <w:rPr>
          <w:noProof/>
        </w:rPr>
        <w:noBreakHyphen/>
      </w:r>
      <w:r w:rsidR="00AA68F8">
        <w:rPr>
          <w:noProof/>
        </w:rPr>
        <w:t>2</w:t>
      </w:r>
      <w:r w:rsidR="00C62B2E">
        <w:fldChar w:fldCharType="end"/>
      </w:r>
      <w:r w:rsidR="00C62B2E">
        <w:t xml:space="preserve"> </w:t>
      </w:r>
      <w:r w:rsidR="00C62B2E" w:rsidRPr="008A0812">
        <w:t>summarize</w:t>
      </w:r>
      <w:r w:rsidR="00C62B2E">
        <w:t>s</w:t>
      </w:r>
      <w:r w:rsidR="00C62B2E" w:rsidRPr="008A0812">
        <w:t xml:space="preserve"> discharge limits when dilution is 20:1 or more.</w:t>
      </w:r>
    </w:p>
    <w:p w14:paraId="22FC8954" w14:textId="5DE8912B" w:rsidR="00C62B2E" w:rsidRPr="008A0812" w:rsidRDefault="00C62B2E" w:rsidP="00C62B2E">
      <w:pPr>
        <w:pStyle w:val="BodyText"/>
      </w:pPr>
      <w:r w:rsidRPr="00C62B2E">
        <w:t xml:space="preserve">While the RIX permit allows for discharge at less than 20:1, there is no infrastructure in place to do this at the RIX. </w:t>
      </w:r>
    </w:p>
    <w:p w14:paraId="5BAA6E02" w14:textId="475EDB6B" w:rsidR="003A5EFD" w:rsidRPr="008A0812" w:rsidRDefault="003A5EFD" w:rsidP="003A5EFD">
      <w:pPr>
        <w:pStyle w:val="TableHeading"/>
      </w:pPr>
      <w:bookmarkStart w:id="399" w:name="_Ref36399018"/>
      <w:bookmarkStart w:id="400" w:name="_Toc36414078"/>
      <w:bookmarkStart w:id="401" w:name="_Ref41576983"/>
      <w:bookmarkStart w:id="402" w:name="_Toc41684767"/>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399"/>
      <w:r w:rsidRPr="008A0812">
        <w:t xml:space="preserve">: Summary of RIX Discharge Requirements </w:t>
      </w:r>
      <w:r w:rsidR="0059293F">
        <w:t>B</w:t>
      </w:r>
      <w:r w:rsidR="00C62B2E">
        <w:t>elow</w:t>
      </w:r>
      <w:r w:rsidRPr="008A0812">
        <w:t xml:space="preserve"> 20:1 Dilution</w:t>
      </w:r>
      <w:bookmarkEnd w:id="400"/>
      <w:bookmarkEnd w:id="401"/>
      <w:bookmarkEnd w:id="402"/>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3"/>
        <w:gridCol w:w="1949"/>
        <w:gridCol w:w="2581"/>
        <w:gridCol w:w="2418"/>
      </w:tblGrid>
      <w:tr w:rsidR="00A77ABB" w:rsidRPr="008A0812" w14:paraId="247BB542" w14:textId="77777777" w:rsidTr="003A5EFD">
        <w:trPr>
          <w:cantSplit/>
          <w:trHeight w:val="288"/>
          <w:tblHeader/>
        </w:trPr>
        <w:tc>
          <w:tcPr>
            <w:tcW w:w="2383"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0BE136E8" w14:textId="77777777"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b/>
                <w:bCs/>
              </w:rPr>
              <w:t>Parameter</w:t>
            </w:r>
            <w:r w:rsidRPr="008A0812">
              <w:rPr>
                <w:rFonts w:cs="Segoe UI"/>
              </w:rPr>
              <w:t> </w:t>
            </w:r>
          </w:p>
        </w:tc>
        <w:tc>
          <w:tcPr>
            <w:tcW w:w="1949" w:type="dxa"/>
            <w:tcBorders>
              <w:top w:val="single" w:sz="6" w:space="0" w:color="auto"/>
              <w:left w:val="nil"/>
              <w:bottom w:val="single" w:sz="6" w:space="0" w:color="auto"/>
              <w:right w:val="single" w:sz="6" w:space="0" w:color="auto"/>
            </w:tcBorders>
            <w:shd w:val="clear" w:color="auto" w:fill="BFBFBF"/>
            <w:vAlign w:val="bottom"/>
            <w:hideMark/>
          </w:tcPr>
          <w:p w14:paraId="5A042065" w14:textId="77777777"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b/>
                <w:bCs/>
                <w:color w:val="000000"/>
              </w:rPr>
              <w:t>Units</w:t>
            </w:r>
            <w:r w:rsidRPr="008A0812">
              <w:rPr>
                <w:rFonts w:cs="Segoe UI"/>
              </w:rPr>
              <w:t> </w:t>
            </w:r>
          </w:p>
        </w:tc>
        <w:tc>
          <w:tcPr>
            <w:tcW w:w="2581" w:type="dxa"/>
            <w:tcBorders>
              <w:top w:val="single" w:sz="6" w:space="0" w:color="auto"/>
              <w:left w:val="nil"/>
              <w:bottom w:val="single" w:sz="6" w:space="0" w:color="auto"/>
              <w:right w:val="single" w:sz="6" w:space="0" w:color="auto"/>
            </w:tcBorders>
            <w:shd w:val="clear" w:color="auto" w:fill="BFBFBF"/>
            <w:vAlign w:val="bottom"/>
            <w:hideMark/>
          </w:tcPr>
          <w:p w14:paraId="6B5BB2C8" w14:textId="3C3C0E65"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b/>
                <w:bCs/>
              </w:rPr>
              <w:t>Average Monthly</w:t>
            </w:r>
            <w:r w:rsidR="000D2D44" w:rsidRPr="008A0812">
              <w:rPr>
                <w:rFonts w:cs="Segoe UI"/>
                <w:b/>
                <w:bCs/>
              </w:rPr>
              <w:t xml:space="preserve"> </w:t>
            </w:r>
          </w:p>
        </w:tc>
        <w:tc>
          <w:tcPr>
            <w:tcW w:w="2418" w:type="dxa"/>
            <w:tcBorders>
              <w:top w:val="single" w:sz="6" w:space="0" w:color="auto"/>
              <w:left w:val="nil"/>
              <w:bottom w:val="single" w:sz="6" w:space="0" w:color="auto"/>
              <w:right w:val="single" w:sz="6" w:space="0" w:color="auto"/>
            </w:tcBorders>
            <w:shd w:val="clear" w:color="auto" w:fill="BFBFBF"/>
            <w:vAlign w:val="bottom"/>
            <w:hideMark/>
          </w:tcPr>
          <w:p w14:paraId="37E698AB" w14:textId="2F5BDB24"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b/>
                <w:bCs/>
              </w:rPr>
              <w:t>Average Weekly</w:t>
            </w:r>
            <w:r w:rsidR="000D2D44" w:rsidRPr="008A0812">
              <w:rPr>
                <w:rFonts w:cs="Segoe UI"/>
                <w:b/>
                <w:bCs/>
              </w:rPr>
              <w:t xml:space="preserve"> </w:t>
            </w:r>
          </w:p>
        </w:tc>
      </w:tr>
      <w:tr w:rsidR="00A77ABB" w:rsidRPr="008A0812" w14:paraId="5757DDB4"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38E57659" w14:textId="3E9F7224"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BOD</w:t>
            </w:r>
            <w:r w:rsidRPr="008A0812">
              <w:rPr>
                <w:rFonts w:cs="Segoe UI"/>
                <w:vertAlign w:val="subscript"/>
              </w:rPr>
              <w:t>5</w:t>
            </w:r>
          </w:p>
        </w:tc>
        <w:tc>
          <w:tcPr>
            <w:tcW w:w="1949" w:type="dxa"/>
            <w:tcBorders>
              <w:top w:val="nil"/>
              <w:left w:val="nil"/>
              <w:bottom w:val="single" w:sz="6" w:space="0" w:color="auto"/>
              <w:right w:val="single" w:sz="6" w:space="0" w:color="auto"/>
            </w:tcBorders>
            <w:shd w:val="clear" w:color="auto" w:fill="auto"/>
            <w:vAlign w:val="center"/>
            <w:hideMark/>
          </w:tcPr>
          <w:p w14:paraId="55FA1836" w14:textId="0CF3EA71"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mg/L</w:t>
            </w:r>
          </w:p>
        </w:tc>
        <w:tc>
          <w:tcPr>
            <w:tcW w:w="2581" w:type="dxa"/>
            <w:tcBorders>
              <w:top w:val="nil"/>
              <w:left w:val="nil"/>
              <w:bottom w:val="single" w:sz="6" w:space="0" w:color="auto"/>
              <w:right w:val="single" w:sz="6" w:space="0" w:color="auto"/>
            </w:tcBorders>
            <w:shd w:val="clear" w:color="auto" w:fill="auto"/>
            <w:vAlign w:val="center"/>
            <w:hideMark/>
          </w:tcPr>
          <w:p w14:paraId="767FAE53" w14:textId="7397703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20</w:t>
            </w:r>
          </w:p>
        </w:tc>
        <w:tc>
          <w:tcPr>
            <w:tcW w:w="2418" w:type="dxa"/>
            <w:tcBorders>
              <w:top w:val="nil"/>
              <w:left w:val="nil"/>
              <w:bottom w:val="single" w:sz="6" w:space="0" w:color="auto"/>
              <w:right w:val="single" w:sz="6" w:space="0" w:color="auto"/>
            </w:tcBorders>
            <w:shd w:val="clear" w:color="auto" w:fill="auto"/>
            <w:vAlign w:val="center"/>
            <w:hideMark/>
          </w:tcPr>
          <w:p w14:paraId="1B4F96C6" w14:textId="2D059A98"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30</w:t>
            </w:r>
          </w:p>
        </w:tc>
      </w:tr>
      <w:tr w:rsidR="00A77ABB" w:rsidRPr="008A0812" w14:paraId="469559E9"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60E12FEF" w14:textId="05EAB61C"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TSS</w:t>
            </w:r>
          </w:p>
        </w:tc>
        <w:tc>
          <w:tcPr>
            <w:tcW w:w="1949" w:type="dxa"/>
            <w:tcBorders>
              <w:top w:val="nil"/>
              <w:left w:val="nil"/>
              <w:bottom w:val="single" w:sz="6" w:space="0" w:color="auto"/>
              <w:right w:val="single" w:sz="6" w:space="0" w:color="auto"/>
            </w:tcBorders>
            <w:shd w:val="clear" w:color="auto" w:fill="auto"/>
            <w:vAlign w:val="center"/>
            <w:hideMark/>
          </w:tcPr>
          <w:p w14:paraId="39F8D318" w14:textId="0475B82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mg/L</w:t>
            </w:r>
          </w:p>
        </w:tc>
        <w:tc>
          <w:tcPr>
            <w:tcW w:w="2581" w:type="dxa"/>
            <w:tcBorders>
              <w:top w:val="nil"/>
              <w:left w:val="nil"/>
              <w:bottom w:val="single" w:sz="6" w:space="0" w:color="auto"/>
              <w:right w:val="single" w:sz="6" w:space="0" w:color="auto"/>
            </w:tcBorders>
            <w:shd w:val="clear" w:color="auto" w:fill="auto"/>
            <w:vAlign w:val="center"/>
            <w:hideMark/>
          </w:tcPr>
          <w:p w14:paraId="19C70F72" w14:textId="13B92482"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20</w:t>
            </w:r>
          </w:p>
        </w:tc>
        <w:tc>
          <w:tcPr>
            <w:tcW w:w="2418" w:type="dxa"/>
            <w:tcBorders>
              <w:top w:val="nil"/>
              <w:left w:val="nil"/>
              <w:bottom w:val="single" w:sz="6" w:space="0" w:color="auto"/>
              <w:right w:val="single" w:sz="6" w:space="0" w:color="auto"/>
            </w:tcBorders>
            <w:shd w:val="clear" w:color="auto" w:fill="auto"/>
            <w:vAlign w:val="center"/>
            <w:hideMark/>
          </w:tcPr>
          <w:p w14:paraId="04A84616" w14:textId="4B0875AF"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30</w:t>
            </w:r>
          </w:p>
        </w:tc>
      </w:tr>
      <w:tr w:rsidR="00A77ABB" w:rsidRPr="008A0812" w14:paraId="016436AC"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6AA72804" w14:textId="1858FA4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Ammonia - Nitrogen</w:t>
            </w:r>
          </w:p>
        </w:tc>
        <w:tc>
          <w:tcPr>
            <w:tcW w:w="1949" w:type="dxa"/>
            <w:tcBorders>
              <w:top w:val="nil"/>
              <w:left w:val="nil"/>
              <w:bottom w:val="single" w:sz="6" w:space="0" w:color="auto"/>
              <w:right w:val="single" w:sz="6" w:space="0" w:color="auto"/>
            </w:tcBorders>
            <w:shd w:val="clear" w:color="auto" w:fill="auto"/>
            <w:vAlign w:val="center"/>
            <w:hideMark/>
          </w:tcPr>
          <w:p w14:paraId="29B722A2" w14:textId="3326BED5"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mg/L</w:t>
            </w:r>
          </w:p>
        </w:tc>
        <w:tc>
          <w:tcPr>
            <w:tcW w:w="2581" w:type="dxa"/>
            <w:tcBorders>
              <w:top w:val="nil"/>
              <w:left w:val="nil"/>
              <w:bottom w:val="single" w:sz="6" w:space="0" w:color="auto"/>
              <w:right w:val="single" w:sz="6" w:space="0" w:color="auto"/>
            </w:tcBorders>
            <w:shd w:val="clear" w:color="auto" w:fill="auto"/>
            <w:vAlign w:val="center"/>
            <w:hideMark/>
          </w:tcPr>
          <w:p w14:paraId="71B85A05" w14:textId="40BA54FC"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4.5</w:t>
            </w:r>
          </w:p>
        </w:tc>
        <w:tc>
          <w:tcPr>
            <w:tcW w:w="2418" w:type="dxa"/>
            <w:tcBorders>
              <w:top w:val="nil"/>
              <w:left w:val="nil"/>
              <w:bottom w:val="single" w:sz="6" w:space="0" w:color="auto"/>
              <w:right w:val="single" w:sz="6" w:space="0" w:color="auto"/>
            </w:tcBorders>
            <w:shd w:val="clear" w:color="auto" w:fill="auto"/>
            <w:vAlign w:val="center"/>
            <w:hideMark/>
          </w:tcPr>
          <w:p w14:paraId="4862625C" w14:textId="1E97AAD2"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w:t>
            </w:r>
          </w:p>
        </w:tc>
      </w:tr>
      <w:tr w:rsidR="00A77ABB" w:rsidRPr="008A0812" w14:paraId="6423CAE1"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7C921064" w14:textId="28867925"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TDS</w:t>
            </w:r>
          </w:p>
        </w:tc>
        <w:tc>
          <w:tcPr>
            <w:tcW w:w="1949" w:type="dxa"/>
            <w:tcBorders>
              <w:top w:val="nil"/>
              <w:left w:val="nil"/>
              <w:bottom w:val="single" w:sz="6" w:space="0" w:color="auto"/>
              <w:right w:val="single" w:sz="6" w:space="0" w:color="auto"/>
            </w:tcBorders>
            <w:shd w:val="clear" w:color="auto" w:fill="auto"/>
            <w:vAlign w:val="center"/>
            <w:hideMark/>
          </w:tcPr>
          <w:p w14:paraId="0A8BB71B" w14:textId="7073C53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mg/L</w:t>
            </w:r>
          </w:p>
        </w:tc>
        <w:tc>
          <w:tcPr>
            <w:tcW w:w="4999" w:type="dxa"/>
            <w:gridSpan w:val="2"/>
            <w:tcBorders>
              <w:top w:val="nil"/>
              <w:left w:val="nil"/>
              <w:bottom w:val="single" w:sz="6" w:space="0" w:color="auto"/>
              <w:right w:val="single" w:sz="6" w:space="0" w:color="auto"/>
            </w:tcBorders>
            <w:shd w:val="clear" w:color="auto" w:fill="auto"/>
            <w:vAlign w:val="center"/>
            <w:hideMark/>
          </w:tcPr>
          <w:p w14:paraId="2CFC3FAE" w14:textId="475B2582"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550 (12-month flow-weighted running average)</w:t>
            </w:r>
          </w:p>
        </w:tc>
      </w:tr>
      <w:tr w:rsidR="00A77ABB" w:rsidRPr="008A0812" w14:paraId="410C57DA"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4C2AFD51" w14:textId="49E243E0"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TIN</w:t>
            </w:r>
          </w:p>
        </w:tc>
        <w:tc>
          <w:tcPr>
            <w:tcW w:w="1949" w:type="dxa"/>
            <w:tcBorders>
              <w:top w:val="nil"/>
              <w:left w:val="nil"/>
              <w:bottom w:val="single" w:sz="6" w:space="0" w:color="auto"/>
              <w:right w:val="single" w:sz="6" w:space="0" w:color="auto"/>
            </w:tcBorders>
            <w:shd w:val="clear" w:color="auto" w:fill="auto"/>
            <w:vAlign w:val="center"/>
            <w:hideMark/>
          </w:tcPr>
          <w:p w14:paraId="2844F5A0" w14:textId="56BED2E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mg/L</w:t>
            </w:r>
          </w:p>
        </w:tc>
        <w:tc>
          <w:tcPr>
            <w:tcW w:w="4999" w:type="dxa"/>
            <w:gridSpan w:val="2"/>
            <w:tcBorders>
              <w:top w:val="nil"/>
              <w:left w:val="nil"/>
              <w:bottom w:val="single" w:sz="6" w:space="0" w:color="auto"/>
              <w:right w:val="single" w:sz="6" w:space="0" w:color="auto"/>
            </w:tcBorders>
            <w:shd w:val="clear" w:color="auto" w:fill="auto"/>
            <w:vAlign w:val="center"/>
            <w:hideMark/>
          </w:tcPr>
          <w:p w14:paraId="788FD5DC" w14:textId="0EBABD87"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10 (12-month flow-weighted running average)</w:t>
            </w:r>
          </w:p>
        </w:tc>
      </w:tr>
      <w:tr w:rsidR="00A77ABB" w:rsidRPr="008A0812" w14:paraId="407D7FA2" w14:textId="77777777" w:rsidTr="00DE2851">
        <w:trPr>
          <w:trHeight w:val="420"/>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119314A6" w14:textId="0852D480"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Turbidity</w:t>
            </w:r>
          </w:p>
        </w:tc>
        <w:tc>
          <w:tcPr>
            <w:tcW w:w="1949" w:type="dxa"/>
            <w:tcBorders>
              <w:top w:val="nil"/>
              <w:left w:val="nil"/>
              <w:bottom w:val="single" w:sz="6" w:space="0" w:color="auto"/>
              <w:right w:val="single" w:sz="6" w:space="0" w:color="auto"/>
            </w:tcBorders>
            <w:shd w:val="clear" w:color="auto" w:fill="auto"/>
            <w:vAlign w:val="center"/>
            <w:hideMark/>
          </w:tcPr>
          <w:p w14:paraId="528BDE99" w14:textId="71AE257C"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NTU</w:t>
            </w:r>
          </w:p>
        </w:tc>
        <w:tc>
          <w:tcPr>
            <w:tcW w:w="4999" w:type="dxa"/>
            <w:gridSpan w:val="2"/>
            <w:tcBorders>
              <w:top w:val="nil"/>
              <w:left w:val="nil"/>
              <w:bottom w:val="single" w:sz="6" w:space="0" w:color="auto"/>
              <w:right w:val="single" w:sz="6" w:space="0" w:color="auto"/>
            </w:tcBorders>
            <w:shd w:val="clear" w:color="auto" w:fill="auto"/>
            <w:vAlign w:val="center"/>
            <w:hideMark/>
          </w:tcPr>
          <w:p w14:paraId="5AE7798F" w14:textId="3B80F183"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2 (within any 24-hour period)</w:t>
            </w:r>
          </w:p>
          <w:p w14:paraId="7D2F44F4" w14:textId="5CBE0368"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5 (more than 5% in any 24-hour period)</w:t>
            </w:r>
          </w:p>
          <w:p w14:paraId="197534F6" w14:textId="00959E4D"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10 (at any time)</w:t>
            </w:r>
          </w:p>
        </w:tc>
      </w:tr>
      <w:tr w:rsidR="00A77ABB" w:rsidRPr="008A0812" w14:paraId="2FA56381"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29964185" w14:textId="6CAEEA18"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Coliform</w:t>
            </w:r>
          </w:p>
        </w:tc>
        <w:tc>
          <w:tcPr>
            <w:tcW w:w="1949" w:type="dxa"/>
            <w:tcBorders>
              <w:top w:val="nil"/>
              <w:left w:val="nil"/>
              <w:bottom w:val="single" w:sz="6" w:space="0" w:color="auto"/>
              <w:right w:val="single" w:sz="6" w:space="0" w:color="auto"/>
            </w:tcBorders>
            <w:shd w:val="clear" w:color="auto" w:fill="auto"/>
            <w:vAlign w:val="center"/>
            <w:hideMark/>
          </w:tcPr>
          <w:p w14:paraId="045C52BA" w14:textId="40E0F504"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MPN</w:t>
            </w:r>
          </w:p>
        </w:tc>
        <w:tc>
          <w:tcPr>
            <w:tcW w:w="2581" w:type="dxa"/>
            <w:tcBorders>
              <w:top w:val="nil"/>
              <w:left w:val="nil"/>
              <w:bottom w:val="single" w:sz="6" w:space="0" w:color="auto"/>
              <w:right w:val="single" w:sz="6" w:space="0" w:color="auto"/>
            </w:tcBorders>
            <w:shd w:val="clear" w:color="auto" w:fill="auto"/>
            <w:vAlign w:val="center"/>
            <w:hideMark/>
          </w:tcPr>
          <w:p w14:paraId="64DE6104" w14:textId="5A2A582A"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w:t>
            </w:r>
          </w:p>
        </w:tc>
        <w:tc>
          <w:tcPr>
            <w:tcW w:w="2418" w:type="dxa"/>
            <w:tcBorders>
              <w:top w:val="nil"/>
              <w:left w:val="nil"/>
              <w:bottom w:val="single" w:sz="6" w:space="0" w:color="auto"/>
              <w:right w:val="single" w:sz="6" w:space="0" w:color="auto"/>
            </w:tcBorders>
            <w:shd w:val="clear" w:color="auto" w:fill="auto"/>
            <w:vAlign w:val="center"/>
            <w:hideMark/>
          </w:tcPr>
          <w:p w14:paraId="423CC02D" w14:textId="06E6AA92"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2.2 per 100 ml</w:t>
            </w:r>
          </w:p>
        </w:tc>
      </w:tr>
      <w:tr w:rsidR="00A77ABB" w:rsidRPr="008A0812" w14:paraId="13ABA69B" w14:textId="77777777" w:rsidTr="00DE2851">
        <w:trPr>
          <w:trHeight w:val="288"/>
        </w:trPr>
        <w:tc>
          <w:tcPr>
            <w:tcW w:w="2383" w:type="dxa"/>
            <w:tcBorders>
              <w:top w:val="nil"/>
              <w:left w:val="single" w:sz="6" w:space="0" w:color="auto"/>
              <w:bottom w:val="single" w:sz="6" w:space="0" w:color="auto"/>
              <w:right w:val="single" w:sz="6" w:space="0" w:color="auto"/>
            </w:tcBorders>
            <w:shd w:val="clear" w:color="auto" w:fill="auto"/>
            <w:vAlign w:val="center"/>
            <w:hideMark/>
          </w:tcPr>
          <w:p w14:paraId="76E70794" w14:textId="0D579262"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pH</w:t>
            </w:r>
          </w:p>
        </w:tc>
        <w:tc>
          <w:tcPr>
            <w:tcW w:w="1949" w:type="dxa"/>
            <w:tcBorders>
              <w:top w:val="nil"/>
              <w:left w:val="nil"/>
              <w:bottom w:val="single" w:sz="6" w:space="0" w:color="auto"/>
              <w:right w:val="single" w:sz="6" w:space="0" w:color="auto"/>
            </w:tcBorders>
            <w:shd w:val="clear" w:color="auto" w:fill="auto"/>
            <w:vAlign w:val="center"/>
            <w:hideMark/>
          </w:tcPr>
          <w:p w14:paraId="181AB00E" w14:textId="112474BF"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w:t>
            </w:r>
          </w:p>
        </w:tc>
        <w:tc>
          <w:tcPr>
            <w:tcW w:w="4999" w:type="dxa"/>
            <w:gridSpan w:val="2"/>
            <w:tcBorders>
              <w:top w:val="nil"/>
              <w:left w:val="nil"/>
              <w:bottom w:val="single" w:sz="6" w:space="0" w:color="auto"/>
              <w:right w:val="single" w:sz="6" w:space="0" w:color="auto"/>
            </w:tcBorders>
            <w:shd w:val="clear" w:color="auto" w:fill="auto"/>
            <w:vAlign w:val="center"/>
            <w:hideMark/>
          </w:tcPr>
          <w:p w14:paraId="52E0C328" w14:textId="25852049" w:rsidR="00A77ABB" w:rsidRPr="008A0812" w:rsidRDefault="00A77ABB" w:rsidP="00A77ABB">
            <w:pPr>
              <w:overflowPunct/>
              <w:autoSpaceDE/>
              <w:autoSpaceDN/>
              <w:adjustRightInd/>
              <w:jc w:val="center"/>
              <w:rPr>
                <w:rFonts w:ascii="Segoe UI" w:hAnsi="Segoe UI" w:cs="Segoe UI"/>
                <w:sz w:val="18"/>
                <w:szCs w:val="18"/>
              </w:rPr>
            </w:pPr>
            <w:r w:rsidRPr="008A0812">
              <w:rPr>
                <w:rFonts w:cs="Segoe UI"/>
              </w:rPr>
              <w:t>6.5 - 8.5</w:t>
            </w:r>
          </w:p>
        </w:tc>
      </w:tr>
    </w:tbl>
    <w:p w14:paraId="480C8A7F" w14:textId="62986542" w:rsidR="003A5EFD" w:rsidRPr="008A0812" w:rsidRDefault="003A5EFD" w:rsidP="003A5EFD">
      <w:pPr>
        <w:pStyle w:val="TableHeading"/>
      </w:pPr>
      <w:bookmarkStart w:id="403" w:name="_Ref36398975"/>
      <w:bookmarkStart w:id="404" w:name="_Ref41577070"/>
      <w:bookmarkStart w:id="405" w:name="_Toc36414079"/>
      <w:bookmarkStart w:id="406" w:name="_Toc41684768"/>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403"/>
      <w:bookmarkEnd w:id="404"/>
      <w:r w:rsidRPr="008A0812">
        <w:t xml:space="preserve">: Summary of RIX Discharge Requirements </w:t>
      </w:r>
      <w:r w:rsidR="00C62B2E">
        <w:t>at</w:t>
      </w:r>
      <w:r w:rsidRPr="008A0812">
        <w:t xml:space="preserve"> 20:1 Dilution</w:t>
      </w:r>
      <w:bookmarkEnd w:id="405"/>
      <w:r w:rsidR="00C62B2E">
        <w:t xml:space="preserve"> or </w:t>
      </w:r>
      <w:r w:rsidR="0059293F">
        <w:t>M</w:t>
      </w:r>
      <w:r w:rsidR="00C62B2E">
        <w:t>ore</w:t>
      </w:r>
      <w:bookmarkEnd w:id="406"/>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7"/>
        <w:gridCol w:w="1935"/>
        <w:gridCol w:w="2604"/>
        <w:gridCol w:w="2405"/>
      </w:tblGrid>
      <w:tr w:rsidR="00DE2851" w:rsidRPr="008A0812" w14:paraId="0EEB1DE1" w14:textId="77777777" w:rsidTr="00DE2851">
        <w:tc>
          <w:tcPr>
            <w:tcW w:w="2387"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1669CA62" w14:textId="1AAE010B"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Parameter</w:t>
            </w:r>
          </w:p>
        </w:tc>
        <w:tc>
          <w:tcPr>
            <w:tcW w:w="1935" w:type="dxa"/>
            <w:tcBorders>
              <w:top w:val="single" w:sz="6" w:space="0" w:color="auto"/>
              <w:left w:val="nil"/>
              <w:bottom w:val="single" w:sz="6" w:space="0" w:color="auto"/>
              <w:right w:val="single" w:sz="6" w:space="0" w:color="auto"/>
            </w:tcBorders>
            <w:shd w:val="clear" w:color="auto" w:fill="BFBFBF"/>
            <w:vAlign w:val="bottom"/>
            <w:hideMark/>
          </w:tcPr>
          <w:p w14:paraId="7385CE4A" w14:textId="061EA120"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color w:val="000000"/>
              </w:rPr>
              <w:t>Units</w:t>
            </w:r>
          </w:p>
        </w:tc>
        <w:tc>
          <w:tcPr>
            <w:tcW w:w="2604" w:type="dxa"/>
            <w:tcBorders>
              <w:top w:val="single" w:sz="6" w:space="0" w:color="auto"/>
              <w:left w:val="nil"/>
              <w:bottom w:val="single" w:sz="6" w:space="0" w:color="auto"/>
              <w:right w:val="single" w:sz="6" w:space="0" w:color="auto"/>
            </w:tcBorders>
            <w:shd w:val="clear" w:color="auto" w:fill="BFBFBF"/>
            <w:vAlign w:val="bottom"/>
            <w:hideMark/>
          </w:tcPr>
          <w:p w14:paraId="6F47F207" w14:textId="1534C2D6"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Average Monthly</w:t>
            </w:r>
          </w:p>
        </w:tc>
        <w:tc>
          <w:tcPr>
            <w:tcW w:w="2405" w:type="dxa"/>
            <w:tcBorders>
              <w:top w:val="single" w:sz="6" w:space="0" w:color="auto"/>
              <w:left w:val="nil"/>
              <w:bottom w:val="single" w:sz="6" w:space="0" w:color="auto"/>
              <w:right w:val="single" w:sz="6" w:space="0" w:color="auto"/>
            </w:tcBorders>
            <w:shd w:val="clear" w:color="auto" w:fill="BFBFBF"/>
            <w:vAlign w:val="bottom"/>
            <w:hideMark/>
          </w:tcPr>
          <w:p w14:paraId="361CEE34" w14:textId="4E37C57A"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Average Weekly</w:t>
            </w:r>
          </w:p>
        </w:tc>
      </w:tr>
      <w:tr w:rsidR="00DE2851" w:rsidRPr="008A0812" w14:paraId="49CC6C16" w14:textId="77777777" w:rsidTr="00DE2851">
        <w:trPr>
          <w:trHeight w:val="288"/>
        </w:trPr>
        <w:tc>
          <w:tcPr>
            <w:tcW w:w="2387" w:type="dxa"/>
            <w:tcBorders>
              <w:top w:val="nil"/>
              <w:left w:val="single" w:sz="6" w:space="0" w:color="auto"/>
              <w:bottom w:val="single" w:sz="6" w:space="0" w:color="auto"/>
              <w:right w:val="single" w:sz="6" w:space="0" w:color="auto"/>
            </w:tcBorders>
            <w:shd w:val="clear" w:color="auto" w:fill="auto"/>
            <w:vAlign w:val="center"/>
            <w:hideMark/>
          </w:tcPr>
          <w:p w14:paraId="6CE6042C" w14:textId="726F8477"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BOD</w:t>
            </w:r>
            <w:r w:rsidRPr="008A0812">
              <w:rPr>
                <w:rFonts w:cs="Segoe UI"/>
                <w:vertAlign w:val="subscript"/>
              </w:rPr>
              <w:t>5</w:t>
            </w:r>
          </w:p>
        </w:tc>
        <w:tc>
          <w:tcPr>
            <w:tcW w:w="1935" w:type="dxa"/>
            <w:tcBorders>
              <w:top w:val="nil"/>
              <w:left w:val="nil"/>
              <w:bottom w:val="single" w:sz="6" w:space="0" w:color="auto"/>
              <w:right w:val="single" w:sz="6" w:space="0" w:color="auto"/>
            </w:tcBorders>
            <w:shd w:val="clear" w:color="auto" w:fill="auto"/>
            <w:vAlign w:val="center"/>
            <w:hideMark/>
          </w:tcPr>
          <w:p w14:paraId="4F3AF81B" w14:textId="164AD00E"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mg/L</w:t>
            </w:r>
          </w:p>
        </w:tc>
        <w:tc>
          <w:tcPr>
            <w:tcW w:w="2604" w:type="dxa"/>
            <w:tcBorders>
              <w:top w:val="nil"/>
              <w:left w:val="nil"/>
              <w:bottom w:val="single" w:sz="6" w:space="0" w:color="auto"/>
              <w:right w:val="single" w:sz="6" w:space="0" w:color="auto"/>
            </w:tcBorders>
            <w:shd w:val="clear" w:color="auto" w:fill="auto"/>
            <w:vAlign w:val="center"/>
            <w:hideMark/>
          </w:tcPr>
          <w:p w14:paraId="244D01D8" w14:textId="24233FE5"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30</w:t>
            </w:r>
          </w:p>
        </w:tc>
        <w:tc>
          <w:tcPr>
            <w:tcW w:w="2405" w:type="dxa"/>
            <w:tcBorders>
              <w:top w:val="nil"/>
              <w:left w:val="nil"/>
              <w:bottom w:val="single" w:sz="6" w:space="0" w:color="auto"/>
              <w:right w:val="single" w:sz="6" w:space="0" w:color="auto"/>
            </w:tcBorders>
            <w:shd w:val="clear" w:color="auto" w:fill="auto"/>
            <w:vAlign w:val="center"/>
            <w:hideMark/>
          </w:tcPr>
          <w:p w14:paraId="394C93BC" w14:textId="4C9FC9F0"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45</w:t>
            </w:r>
          </w:p>
        </w:tc>
      </w:tr>
      <w:tr w:rsidR="00DE2851" w:rsidRPr="008A0812" w14:paraId="6AF509B7" w14:textId="77777777" w:rsidTr="00DE2851">
        <w:trPr>
          <w:trHeight w:val="288"/>
        </w:trPr>
        <w:tc>
          <w:tcPr>
            <w:tcW w:w="2387" w:type="dxa"/>
            <w:tcBorders>
              <w:top w:val="nil"/>
              <w:left w:val="single" w:sz="6" w:space="0" w:color="auto"/>
              <w:bottom w:val="single" w:sz="6" w:space="0" w:color="auto"/>
              <w:right w:val="single" w:sz="6" w:space="0" w:color="auto"/>
            </w:tcBorders>
            <w:shd w:val="clear" w:color="auto" w:fill="auto"/>
            <w:vAlign w:val="center"/>
            <w:hideMark/>
          </w:tcPr>
          <w:p w14:paraId="425B6B33" w14:textId="39DD1B5D"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TSS</w:t>
            </w:r>
          </w:p>
        </w:tc>
        <w:tc>
          <w:tcPr>
            <w:tcW w:w="1935" w:type="dxa"/>
            <w:tcBorders>
              <w:top w:val="nil"/>
              <w:left w:val="nil"/>
              <w:bottom w:val="single" w:sz="6" w:space="0" w:color="auto"/>
              <w:right w:val="single" w:sz="6" w:space="0" w:color="auto"/>
            </w:tcBorders>
            <w:shd w:val="clear" w:color="auto" w:fill="auto"/>
            <w:vAlign w:val="center"/>
            <w:hideMark/>
          </w:tcPr>
          <w:p w14:paraId="482C49E3" w14:textId="4F1C64F4"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mg/L</w:t>
            </w:r>
          </w:p>
        </w:tc>
        <w:tc>
          <w:tcPr>
            <w:tcW w:w="2604" w:type="dxa"/>
            <w:tcBorders>
              <w:top w:val="nil"/>
              <w:left w:val="nil"/>
              <w:bottom w:val="single" w:sz="6" w:space="0" w:color="auto"/>
              <w:right w:val="single" w:sz="6" w:space="0" w:color="auto"/>
            </w:tcBorders>
            <w:shd w:val="clear" w:color="auto" w:fill="auto"/>
            <w:vAlign w:val="center"/>
            <w:hideMark/>
          </w:tcPr>
          <w:p w14:paraId="661B5271" w14:textId="7756F7D9"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30</w:t>
            </w:r>
          </w:p>
        </w:tc>
        <w:tc>
          <w:tcPr>
            <w:tcW w:w="2405" w:type="dxa"/>
            <w:tcBorders>
              <w:top w:val="nil"/>
              <w:left w:val="nil"/>
              <w:bottom w:val="single" w:sz="6" w:space="0" w:color="auto"/>
              <w:right w:val="single" w:sz="6" w:space="0" w:color="auto"/>
            </w:tcBorders>
            <w:shd w:val="clear" w:color="auto" w:fill="auto"/>
            <w:vAlign w:val="center"/>
            <w:hideMark/>
          </w:tcPr>
          <w:p w14:paraId="4136B61B" w14:textId="2912D641"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45</w:t>
            </w:r>
          </w:p>
        </w:tc>
      </w:tr>
      <w:tr w:rsidR="00DE2851" w:rsidRPr="008A0812" w14:paraId="5D59B94F" w14:textId="77777777" w:rsidTr="00DE2851">
        <w:trPr>
          <w:trHeight w:val="288"/>
        </w:trPr>
        <w:tc>
          <w:tcPr>
            <w:tcW w:w="2387" w:type="dxa"/>
            <w:tcBorders>
              <w:top w:val="nil"/>
              <w:left w:val="single" w:sz="6" w:space="0" w:color="auto"/>
              <w:bottom w:val="single" w:sz="6" w:space="0" w:color="auto"/>
              <w:right w:val="single" w:sz="6" w:space="0" w:color="auto"/>
            </w:tcBorders>
            <w:shd w:val="clear" w:color="auto" w:fill="auto"/>
            <w:vAlign w:val="center"/>
            <w:hideMark/>
          </w:tcPr>
          <w:p w14:paraId="55829E80" w14:textId="3B39C696"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Coliform</w:t>
            </w:r>
          </w:p>
        </w:tc>
        <w:tc>
          <w:tcPr>
            <w:tcW w:w="1935" w:type="dxa"/>
            <w:tcBorders>
              <w:top w:val="nil"/>
              <w:left w:val="nil"/>
              <w:bottom w:val="single" w:sz="6" w:space="0" w:color="auto"/>
              <w:right w:val="single" w:sz="6" w:space="0" w:color="auto"/>
            </w:tcBorders>
            <w:shd w:val="clear" w:color="auto" w:fill="auto"/>
            <w:vAlign w:val="center"/>
            <w:hideMark/>
          </w:tcPr>
          <w:p w14:paraId="0F07796F" w14:textId="0F59C381"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MPN</w:t>
            </w:r>
          </w:p>
        </w:tc>
        <w:tc>
          <w:tcPr>
            <w:tcW w:w="2604" w:type="dxa"/>
            <w:tcBorders>
              <w:top w:val="nil"/>
              <w:left w:val="nil"/>
              <w:bottom w:val="single" w:sz="6" w:space="0" w:color="auto"/>
              <w:right w:val="single" w:sz="6" w:space="0" w:color="auto"/>
            </w:tcBorders>
            <w:shd w:val="clear" w:color="auto" w:fill="auto"/>
            <w:vAlign w:val="center"/>
            <w:hideMark/>
          </w:tcPr>
          <w:p w14:paraId="2CCA3E23" w14:textId="5E6F40DB"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w:t>
            </w:r>
          </w:p>
        </w:tc>
        <w:tc>
          <w:tcPr>
            <w:tcW w:w="2405" w:type="dxa"/>
            <w:tcBorders>
              <w:top w:val="nil"/>
              <w:left w:val="nil"/>
              <w:bottom w:val="single" w:sz="6" w:space="0" w:color="auto"/>
              <w:right w:val="single" w:sz="6" w:space="0" w:color="auto"/>
            </w:tcBorders>
            <w:shd w:val="clear" w:color="auto" w:fill="auto"/>
            <w:vAlign w:val="center"/>
            <w:hideMark/>
          </w:tcPr>
          <w:p w14:paraId="65BEA200" w14:textId="52B23BD3"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23 per 100 ml</w:t>
            </w:r>
          </w:p>
        </w:tc>
      </w:tr>
      <w:tr w:rsidR="00DE2851" w:rsidRPr="008A0812" w14:paraId="60290C29" w14:textId="77777777" w:rsidTr="00DE2851">
        <w:trPr>
          <w:trHeight w:val="288"/>
        </w:trPr>
        <w:tc>
          <w:tcPr>
            <w:tcW w:w="2387" w:type="dxa"/>
            <w:tcBorders>
              <w:top w:val="nil"/>
              <w:left w:val="single" w:sz="6" w:space="0" w:color="auto"/>
              <w:bottom w:val="single" w:sz="6" w:space="0" w:color="auto"/>
              <w:right w:val="single" w:sz="6" w:space="0" w:color="auto"/>
            </w:tcBorders>
            <w:shd w:val="clear" w:color="auto" w:fill="auto"/>
            <w:vAlign w:val="center"/>
            <w:hideMark/>
          </w:tcPr>
          <w:p w14:paraId="5626E756" w14:textId="32843DFD"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pH</w:t>
            </w:r>
          </w:p>
        </w:tc>
        <w:tc>
          <w:tcPr>
            <w:tcW w:w="1935" w:type="dxa"/>
            <w:tcBorders>
              <w:top w:val="nil"/>
              <w:left w:val="nil"/>
              <w:bottom w:val="single" w:sz="6" w:space="0" w:color="auto"/>
              <w:right w:val="single" w:sz="6" w:space="0" w:color="auto"/>
            </w:tcBorders>
            <w:shd w:val="clear" w:color="auto" w:fill="auto"/>
            <w:vAlign w:val="center"/>
            <w:hideMark/>
          </w:tcPr>
          <w:p w14:paraId="2D85ADB4" w14:textId="01ADDDB2"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w:t>
            </w:r>
          </w:p>
        </w:tc>
        <w:tc>
          <w:tcPr>
            <w:tcW w:w="5009" w:type="dxa"/>
            <w:gridSpan w:val="2"/>
            <w:tcBorders>
              <w:top w:val="nil"/>
              <w:left w:val="nil"/>
              <w:bottom w:val="single" w:sz="6" w:space="0" w:color="auto"/>
              <w:right w:val="single" w:sz="6" w:space="0" w:color="auto"/>
            </w:tcBorders>
            <w:shd w:val="clear" w:color="auto" w:fill="auto"/>
            <w:vAlign w:val="center"/>
            <w:hideMark/>
          </w:tcPr>
          <w:p w14:paraId="7C659599" w14:textId="77777777"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6.5 - 8.5 </w:t>
            </w:r>
          </w:p>
        </w:tc>
      </w:tr>
    </w:tbl>
    <w:p w14:paraId="308ABF0C" w14:textId="46B6E5A6" w:rsidR="00DE2851" w:rsidRPr="008A0812" w:rsidRDefault="00CB5135" w:rsidP="00DE2851">
      <w:pPr>
        <w:pStyle w:val="Heading3"/>
      </w:pPr>
      <w:bookmarkStart w:id="407" w:name="_Toc41680877"/>
      <w:r w:rsidRPr="008A0812">
        <w:t xml:space="preserve">SBWRP </w:t>
      </w:r>
      <w:r w:rsidR="00DE2851" w:rsidRPr="008A0812">
        <w:t>Direct Discharge to the Santa Ana River</w:t>
      </w:r>
      <w:bookmarkEnd w:id="407"/>
    </w:p>
    <w:p w14:paraId="577A6986" w14:textId="789442D3" w:rsidR="00DE2851" w:rsidRPr="008A0812" w:rsidRDefault="00822052" w:rsidP="00DE2851">
      <w:pPr>
        <w:pStyle w:val="BodyText"/>
      </w:pPr>
      <w:r w:rsidRPr="008A0812">
        <w:t xml:space="preserve">During hydrological periods when </w:t>
      </w:r>
      <w:r w:rsidR="00DE2851" w:rsidRPr="008A0812">
        <w:t xml:space="preserve">20:1 dilution can be achieved, the SBWRP </w:t>
      </w:r>
      <w:r w:rsidRPr="008A0812">
        <w:t>may</w:t>
      </w:r>
      <w:r w:rsidR="00DE2851" w:rsidRPr="008A0812">
        <w:t xml:space="preserve"> discharge directly to the Santa Ana River at its confluence with Twin Creek adjacent to the </w:t>
      </w:r>
      <w:r w:rsidRPr="008A0812">
        <w:t xml:space="preserve">site of the </w:t>
      </w:r>
      <w:r w:rsidR="00A30EA6" w:rsidRPr="008A0812">
        <w:t>SB</w:t>
      </w:r>
      <w:r w:rsidR="00DE2851" w:rsidRPr="008A0812">
        <w:t>WRP</w:t>
      </w:r>
      <w:r w:rsidR="00D27FFB" w:rsidRPr="008A0812">
        <w:t xml:space="preserve"> without going to the RIX. This discharge is regulated under Order No. R8-2017-0049, NPDES No. CA0105392 which went into effect on January 1, 2018 and will expire on December 31, 2022. This method of discharge was used in the past during heavy rainfall, but the revised discharge permit is too restrictive for compliance testing and this method of discharge is no longer used. Although not used, the infrastructure still exists at the SBWRP to accommodate </w:t>
      </w:r>
      <w:r w:rsidRPr="008A0812">
        <w:t xml:space="preserve">discharge </w:t>
      </w:r>
      <w:r w:rsidR="00D27FFB" w:rsidRPr="008A0812">
        <w:t xml:space="preserve">directly to the SAR. Discharge limits are summarized in </w:t>
      </w:r>
      <w:r w:rsidR="00D27FFB" w:rsidRPr="008A0812">
        <w:fldChar w:fldCharType="begin"/>
      </w:r>
      <w:r w:rsidR="00D27FFB" w:rsidRPr="008A0812">
        <w:instrText xml:space="preserve"> REF _Ref36399058 \h </w:instrText>
      </w:r>
      <w:r w:rsidR="008A0812">
        <w:instrText xml:space="preserve"> \* MERGEFORMAT </w:instrText>
      </w:r>
      <w:r w:rsidR="00D27FFB" w:rsidRPr="008A0812">
        <w:fldChar w:fldCharType="separate"/>
      </w:r>
      <w:r w:rsidR="00AA68F8" w:rsidRPr="008A0812">
        <w:t xml:space="preserve">Table </w:t>
      </w:r>
      <w:r w:rsidR="00AA68F8">
        <w:rPr>
          <w:noProof/>
        </w:rPr>
        <w:t>7</w:t>
      </w:r>
      <w:r w:rsidR="00AA68F8" w:rsidRPr="008A0812">
        <w:rPr>
          <w:noProof/>
        </w:rPr>
        <w:noBreakHyphen/>
      </w:r>
      <w:r w:rsidR="00AA68F8">
        <w:rPr>
          <w:noProof/>
        </w:rPr>
        <w:t>3</w:t>
      </w:r>
      <w:r w:rsidR="00D27FFB" w:rsidRPr="008A0812">
        <w:fldChar w:fldCharType="end"/>
      </w:r>
      <w:r w:rsidR="00D27FFB" w:rsidRPr="008A0812">
        <w:t>.</w:t>
      </w:r>
      <w:r w:rsidR="00CB5135" w:rsidRPr="00CB5135">
        <w:t xml:space="preserve"> </w:t>
      </w:r>
      <w:r w:rsidR="00CB5135" w:rsidRPr="008A0812">
        <w:t>For permit renewal, the SBMWD is required to file a Report of Waste Discharge and application for renewal of its Waste Discharge Requirements and NPDES permit no later than July 5, 2022. Future renewals will likely include a requirement for a Climate Change Action Plan.</w:t>
      </w:r>
    </w:p>
    <w:p w14:paraId="7AF6252E" w14:textId="14625E36" w:rsidR="003A5EFD" w:rsidRPr="008A0812" w:rsidRDefault="003A5EFD" w:rsidP="003A5EFD">
      <w:pPr>
        <w:pStyle w:val="TableHeading"/>
      </w:pPr>
      <w:bookmarkStart w:id="408" w:name="_Ref36399058"/>
      <w:bookmarkStart w:id="409" w:name="_Toc36414080"/>
      <w:bookmarkStart w:id="410" w:name="_Toc41684769"/>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408"/>
      <w:r w:rsidRPr="008A0812">
        <w:t xml:space="preserve">: Summary of </w:t>
      </w:r>
      <w:r w:rsidR="00CB5135">
        <w:t>SB</w:t>
      </w:r>
      <w:r w:rsidRPr="008A0812">
        <w:t>WRP Discharge Requirements with 20:1 Dilution</w:t>
      </w:r>
      <w:bookmarkEnd w:id="409"/>
      <w:bookmarkEnd w:id="410"/>
    </w:p>
    <w:tbl>
      <w:tblPr>
        <w:tblW w:w="93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60"/>
        <w:gridCol w:w="1860"/>
        <w:gridCol w:w="1860"/>
        <w:gridCol w:w="1875"/>
      </w:tblGrid>
      <w:tr w:rsidR="00DE2851" w:rsidRPr="008A0812" w14:paraId="5A4943F4" w14:textId="77777777" w:rsidTr="00DE2851">
        <w:tc>
          <w:tcPr>
            <w:tcW w:w="1860"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6C88B62D" w14:textId="38A1C4A7"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Parameter</w:t>
            </w:r>
          </w:p>
        </w:tc>
        <w:tc>
          <w:tcPr>
            <w:tcW w:w="1860" w:type="dxa"/>
            <w:tcBorders>
              <w:top w:val="single" w:sz="6" w:space="0" w:color="auto"/>
              <w:left w:val="nil"/>
              <w:bottom w:val="single" w:sz="6" w:space="0" w:color="auto"/>
              <w:right w:val="single" w:sz="6" w:space="0" w:color="auto"/>
            </w:tcBorders>
            <w:shd w:val="clear" w:color="auto" w:fill="BFBFBF"/>
            <w:vAlign w:val="center"/>
            <w:hideMark/>
          </w:tcPr>
          <w:p w14:paraId="53C1D1C2" w14:textId="64A5D467"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color w:val="000000"/>
              </w:rPr>
              <w:t>Units</w:t>
            </w:r>
          </w:p>
        </w:tc>
        <w:tc>
          <w:tcPr>
            <w:tcW w:w="1860" w:type="dxa"/>
            <w:tcBorders>
              <w:top w:val="single" w:sz="6" w:space="0" w:color="auto"/>
              <w:left w:val="nil"/>
              <w:bottom w:val="single" w:sz="6" w:space="0" w:color="auto"/>
              <w:right w:val="single" w:sz="6" w:space="0" w:color="auto"/>
            </w:tcBorders>
            <w:shd w:val="clear" w:color="auto" w:fill="BFBFBF"/>
            <w:vAlign w:val="center"/>
            <w:hideMark/>
          </w:tcPr>
          <w:p w14:paraId="4D98F198" w14:textId="26E558CB"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Average Monthly</w:t>
            </w:r>
          </w:p>
        </w:tc>
        <w:tc>
          <w:tcPr>
            <w:tcW w:w="1860" w:type="dxa"/>
            <w:tcBorders>
              <w:top w:val="single" w:sz="6" w:space="0" w:color="auto"/>
              <w:left w:val="nil"/>
              <w:bottom w:val="single" w:sz="6" w:space="0" w:color="auto"/>
              <w:right w:val="single" w:sz="6" w:space="0" w:color="auto"/>
            </w:tcBorders>
            <w:shd w:val="clear" w:color="auto" w:fill="BFBFBF"/>
            <w:vAlign w:val="center"/>
            <w:hideMark/>
          </w:tcPr>
          <w:p w14:paraId="7F792031" w14:textId="5DE875CF"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Average Weekly</w:t>
            </w:r>
          </w:p>
        </w:tc>
        <w:tc>
          <w:tcPr>
            <w:tcW w:w="1875" w:type="dxa"/>
            <w:tcBorders>
              <w:top w:val="single" w:sz="6" w:space="0" w:color="auto"/>
              <w:left w:val="nil"/>
              <w:bottom w:val="single" w:sz="6" w:space="0" w:color="auto"/>
              <w:right w:val="single" w:sz="6" w:space="0" w:color="auto"/>
            </w:tcBorders>
            <w:shd w:val="clear" w:color="auto" w:fill="BFBFBF"/>
            <w:vAlign w:val="center"/>
            <w:hideMark/>
          </w:tcPr>
          <w:p w14:paraId="64D4FF0B" w14:textId="03A28E64"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b/>
                <w:bCs/>
              </w:rPr>
              <w:t>Daily Max</w:t>
            </w:r>
          </w:p>
        </w:tc>
      </w:tr>
      <w:tr w:rsidR="00DE2851" w:rsidRPr="008A0812" w14:paraId="0C47136B" w14:textId="77777777" w:rsidTr="00DE2851">
        <w:tc>
          <w:tcPr>
            <w:tcW w:w="1860" w:type="dxa"/>
            <w:tcBorders>
              <w:top w:val="nil"/>
              <w:left w:val="single" w:sz="6" w:space="0" w:color="auto"/>
              <w:bottom w:val="single" w:sz="6" w:space="0" w:color="auto"/>
              <w:right w:val="single" w:sz="6" w:space="0" w:color="auto"/>
            </w:tcBorders>
            <w:shd w:val="clear" w:color="auto" w:fill="auto"/>
            <w:vAlign w:val="center"/>
            <w:hideMark/>
          </w:tcPr>
          <w:p w14:paraId="47C0C440" w14:textId="3102011A"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BOD</w:t>
            </w:r>
            <w:r w:rsidRPr="008A0812">
              <w:rPr>
                <w:rFonts w:cs="Segoe UI"/>
                <w:vertAlign w:val="subscript"/>
              </w:rPr>
              <w:t>5</w:t>
            </w:r>
          </w:p>
        </w:tc>
        <w:tc>
          <w:tcPr>
            <w:tcW w:w="1860" w:type="dxa"/>
            <w:tcBorders>
              <w:top w:val="nil"/>
              <w:left w:val="nil"/>
              <w:bottom w:val="single" w:sz="6" w:space="0" w:color="auto"/>
              <w:right w:val="single" w:sz="6" w:space="0" w:color="auto"/>
            </w:tcBorders>
            <w:shd w:val="clear" w:color="auto" w:fill="auto"/>
            <w:vAlign w:val="center"/>
            <w:hideMark/>
          </w:tcPr>
          <w:p w14:paraId="4935B892" w14:textId="763EB896"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mg/L</w:t>
            </w:r>
          </w:p>
        </w:tc>
        <w:tc>
          <w:tcPr>
            <w:tcW w:w="1860" w:type="dxa"/>
            <w:tcBorders>
              <w:top w:val="nil"/>
              <w:left w:val="nil"/>
              <w:bottom w:val="single" w:sz="6" w:space="0" w:color="auto"/>
              <w:right w:val="single" w:sz="6" w:space="0" w:color="auto"/>
            </w:tcBorders>
            <w:shd w:val="clear" w:color="auto" w:fill="auto"/>
            <w:vAlign w:val="center"/>
            <w:hideMark/>
          </w:tcPr>
          <w:p w14:paraId="2CF69367" w14:textId="393606E6"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30</w:t>
            </w:r>
          </w:p>
        </w:tc>
        <w:tc>
          <w:tcPr>
            <w:tcW w:w="1860" w:type="dxa"/>
            <w:tcBorders>
              <w:top w:val="nil"/>
              <w:left w:val="nil"/>
              <w:bottom w:val="single" w:sz="6" w:space="0" w:color="auto"/>
              <w:right w:val="single" w:sz="6" w:space="0" w:color="auto"/>
            </w:tcBorders>
            <w:shd w:val="clear" w:color="auto" w:fill="auto"/>
            <w:vAlign w:val="center"/>
            <w:hideMark/>
          </w:tcPr>
          <w:p w14:paraId="0A81B282" w14:textId="5C6FD3EE"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45</w:t>
            </w:r>
          </w:p>
        </w:tc>
        <w:tc>
          <w:tcPr>
            <w:tcW w:w="1875" w:type="dxa"/>
            <w:tcBorders>
              <w:top w:val="nil"/>
              <w:left w:val="nil"/>
              <w:bottom w:val="single" w:sz="6" w:space="0" w:color="auto"/>
              <w:right w:val="single" w:sz="6" w:space="0" w:color="auto"/>
            </w:tcBorders>
            <w:shd w:val="clear" w:color="auto" w:fill="auto"/>
            <w:vAlign w:val="center"/>
            <w:hideMark/>
          </w:tcPr>
          <w:p w14:paraId="2CA9E1C5" w14:textId="3B342A5F"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w:t>
            </w:r>
          </w:p>
        </w:tc>
      </w:tr>
      <w:tr w:rsidR="00DE2851" w:rsidRPr="008A0812" w14:paraId="1999B42B" w14:textId="77777777" w:rsidTr="00DE2851">
        <w:tc>
          <w:tcPr>
            <w:tcW w:w="1860" w:type="dxa"/>
            <w:tcBorders>
              <w:top w:val="nil"/>
              <w:left w:val="single" w:sz="6" w:space="0" w:color="auto"/>
              <w:bottom w:val="single" w:sz="6" w:space="0" w:color="auto"/>
              <w:right w:val="single" w:sz="6" w:space="0" w:color="auto"/>
            </w:tcBorders>
            <w:shd w:val="clear" w:color="auto" w:fill="auto"/>
            <w:vAlign w:val="center"/>
            <w:hideMark/>
          </w:tcPr>
          <w:p w14:paraId="1DC0A2F9" w14:textId="34F11265"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TSS</w:t>
            </w:r>
          </w:p>
        </w:tc>
        <w:tc>
          <w:tcPr>
            <w:tcW w:w="1860" w:type="dxa"/>
            <w:tcBorders>
              <w:top w:val="nil"/>
              <w:left w:val="nil"/>
              <w:bottom w:val="single" w:sz="6" w:space="0" w:color="auto"/>
              <w:right w:val="single" w:sz="6" w:space="0" w:color="auto"/>
            </w:tcBorders>
            <w:shd w:val="clear" w:color="auto" w:fill="auto"/>
            <w:vAlign w:val="center"/>
            <w:hideMark/>
          </w:tcPr>
          <w:p w14:paraId="0238FFA8" w14:textId="5F3C40EF"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mg/L</w:t>
            </w:r>
          </w:p>
        </w:tc>
        <w:tc>
          <w:tcPr>
            <w:tcW w:w="1860" w:type="dxa"/>
            <w:tcBorders>
              <w:top w:val="nil"/>
              <w:left w:val="nil"/>
              <w:bottom w:val="single" w:sz="6" w:space="0" w:color="auto"/>
              <w:right w:val="single" w:sz="6" w:space="0" w:color="auto"/>
            </w:tcBorders>
            <w:shd w:val="clear" w:color="auto" w:fill="auto"/>
            <w:vAlign w:val="center"/>
            <w:hideMark/>
          </w:tcPr>
          <w:p w14:paraId="5FB4714C" w14:textId="68B3707B"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30</w:t>
            </w:r>
          </w:p>
        </w:tc>
        <w:tc>
          <w:tcPr>
            <w:tcW w:w="1860" w:type="dxa"/>
            <w:tcBorders>
              <w:top w:val="nil"/>
              <w:left w:val="nil"/>
              <w:bottom w:val="single" w:sz="6" w:space="0" w:color="auto"/>
              <w:right w:val="single" w:sz="6" w:space="0" w:color="auto"/>
            </w:tcBorders>
            <w:shd w:val="clear" w:color="auto" w:fill="auto"/>
            <w:vAlign w:val="center"/>
            <w:hideMark/>
          </w:tcPr>
          <w:p w14:paraId="286B6354" w14:textId="49224839"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45</w:t>
            </w:r>
          </w:p>
        </w:tc>
        <w:tc>
          <w:tcPr>
            <w:tcW w:w="1875" w:type="dxa"/>
            <w:tcBorders>
              <w:top w:val="nil"/>
              <w:left w:val="nil"/>
              <w:bottom w:val="single" w:sz="6" w:space="0" w:color="auto"/>
              <w:right w:val="single" w:sz="6" w:space="0" w:color="auto"/>
            </w:tcBorders>
            <w:shd w:val="clear" w:color="auto" w:fill="auto"/>
            <w:vAlign w:val="center"/>
            <w:hideMark/>
          </w:tcPr>
          <w:p w14:paraId="3ACE5B84" w14:textId="5B4A5FFE" w:rsidR="00DE2851" w:rsidRPr="008A0812" w:rsidRDefault="00DE2851" w:rsidP="00DE2851">
            <w:pPr>
              <w:overflowPunct/>
              <w:autoSpaceDE/>
              <w:autoSpaceDN/>
              <w:adjustRightInd/>
              <w:jc w:val="center"/>
              <w:rPr>
                <w:rFonts w:ascii="Segoe UI" w:hAnsi="Segoe UI" w:cs="Segoe UI"/>
                <w:sz w:val="18"/>
                <w:szCs w:val="18"/>
              </w:rPr>
            </w:pPr>
          </w:p>
        </w:tc>
      </w:tr>
      <w:tr w:rsidR="00DE2851" w:rsidRPr="008A0812" w14:paraId="4B970305" w14:textId="77777777" w:rsidTr="00DE2851">
        <w:tc>
          <w:tcPr>
            <w:tcW w:w="1860" w:type="dxa"/>
            <w:tcBorders>
              <w:top w:val="nil"/>
              <w:left w:val="single" w:sz="6" w:space="0" w:color="auto"/>
              <w:bottom w:val="single" w:sz="6" w:space="0" w:color="auto"/>
              <w:right w:val="single" w:sz="6" w:space="0" w:color="auto"/>
            </w:tcBorders>
            <w:shd w:val="clear" w:color="auto" w:fill="auto"/>
            <w:vAlign w:val="center"/>
            <w:hideMark/>
          </w:tcPr>
          <w:p w14:paraId="38A18799" w14:textId="1F5B7F44"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Aldrin</w:t>
            </w:r>
          </w:p>
        </w:tc>
        <w:tc>
          <w:tcPr>
            <w:tcW w:w="1860" w:type="dxa"/>
            <w:tcBorders>
              <w:top w:val="nil"/>
              <w:left w:val="nil"/>
              <w:bottom w:val="single" w:sz="6" w:space="0" w:color="auto"/>
              <w:right w:val="single" w:sz="6" w:space="0" w:color="auto"/>
            </w:tcBorders>
            <w:shd w:val="clear" w:color="auto" w:fill="auto"/>
            <w:vAlign w:val="center"/>
            <w:hideMark/>
          </w:tcPr>
          <w:p w14:paraId="27DBD858" w14:textId="4280F9B5" w:rsidR="00DE2851" w:rsidRPr="008A0812" w:rsidRDefault="00DE2851" w:rsidP="00DE2851">
            <w:pPr>
              <w:overflowPunct/>
              <w:autoSpaceDE/>
              <w:autoSpaceDN/>
              <w:adjustRightInd/>
              <w:jc w:val="center"/>
              <w:rPr>
                <w:rFonts w:ascii="Segoe UI" w:hAnsi="Segoe UI" w:cs="Segoe UI"/>
                <w:sz w:val="18"/>
                <w:szCs w:val="18"/>
              </w:rPr>
            </w:pPr>
            <w:r w:rsidRPr="008A0812">
              <w:rPr>
                <w:rFonts w:ascii="Calibri" w:hAnsi="Calibri" w:cs="Calibri"/>
              </w:rPr>
              <w:t>µg/</w:t>
            </w:r>
            <w:r w:rsidRPr="008A0812">
              <w:rPr>
                <w:rFonts w:asciiTheme="minorHAnsi" w:hAnsiTheme="minorHAnsi" w:cs="Calibri"/>
              </w:rPr>
              <w:t>L</w:t>
            </w:r>
          </w:p>
        </w:tc>
        <w:tc>
          <w:tcPr>
            <w:tcW w:w="1860" w:type="dxa"/>
            <w:tcBorders>
              <w:top w:val="nil"/>
              <w:left w:val="nil"/>
              <w:bottom w:val="single" w:sz="6" w:space="0" w:color="auto"/>
              <w:right w:val="single" w:sz="6" w:space="0" w:color="auto"/>
            </w:tcBorders>
            <w:shd w:val="clear" w:color="auto" w:fill="auto"/>
            <w:vAlign w:val="center"/>
            <w:hideMark/>
          </w:tcPr>
          <w:p w14:paraId="380760B1" w14:textId="46EF1119"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0.00014</w:t>
            </w:r>
          </w:p>
        </w:tc>
        <w:tc>
          <w:tcPr>
            <w:tcW w:w="1860" w:type="dxa"/>
            <w:tcBorders>
              <w:top w:val="nil"/>
              <w:left w:val="nil"/>
              <w:bottom w:val="single" w:sz="6" w:space="0" w:color="auto"/>
              <w:right w:val="single" w:sz="6" w:space="0" w:color="auto"/>
            </w:tcBorders>
            <w:shd w:val="clear" w:color="auto" w:fill="auto"/>
            <w:vAlign w:val="center"/>
            <w:hideMark/>
          </w:tcPr>
          <w:p w14:paraId="0E152D09" w14:textId="433988BA" w:rsidR="00DE2851" w:rsidRPr="008A0812" w:rsidRDefault="00DE2851" w:rsidP="00DE2851">
            <w:pPr>
              <w:overflowPunct/>
              <w:autoSpaceDE/>
              <w:autoSpaceDN/>
              <w:adjustRightInd/>
              <w:jc w:val="center"/>
              <w:rPr>
                <w:rFonts w:ascii="Segoe UI" w:hAnsi="Segoe UI" w:cs="Segoe UI"/>
                <w:sz w:val="18"/>
                <w:szCs w:val="18"/>
              </w:rPr>
            </w:pPr>
          </w:p>
        </w:tc>
        <w:tc>
          <w:tcPr>
            <w:tcW w:w="1875" w:type="dxa"/>
            <w:tcBorders>
              <w:top w:val="nil"/>
              <w:left w:val="nil"/>
              <w:bottom w:val="single" w:sz="6" w:space="0" w:color="auto"/>
              <w:right w:val="single" w:sz="6" w:space="0" w:color="auto"/>
            </w:tcBorders>
            <w:shd w:val="clear" w:color="auto" w:fill="auto"/>
            <w:vAlign w:val="center"/>
            <w:hideMark/>
          </w:tcPr>
          <w:p w14:paraId="5D6D77BA" w14:textId="4F51792D"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0.00028</w:t>
            </w:r>
          </w:p>
        </w:tc>
      </w:tr>
      <w:tr w:rsidR="00DE2851" w:rsidRPr="008A0812" w14:paraId="390C2460" w14:textId="77777777" w:rsidTr="00EE70BB">
        <w:tc>
          <w:tcPr>
            <w:tcW w:w="1860" w:type="dxa"/>
            <w:tcBorders>
              <w:top w:val="nil"/>
              <w:left w:val="single" w:sz="6" w:space="0" w:color="auto"/>
              <w:bottom w:val="single" w:sz="4" w:space="0" w:color="auto"/>
              <w:right w:val="single" w:sz="6" w:space="0" w:color="auto"/>
            </w:tcBorders>
            <w:shd w:val="clear" w:color="auto" w:fill="auto"/>
            <w:vAlign w:val="center"/>
            <w:hideMark/>
          </w:tcPr>
          <w:p w14:paraId="7B5BB898" w14:textId="142E0DA0"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pH</w:t>
            </w:r>
          </w:p>
        </w:tc>
        <w:tc>
          <w:tcPr>
            <w:tcW w:w="1860" w:type="dxa"/>
            <w:tcBorders>
              <w:top w:val="nil"/>
              <w:left w:val="nil"/>
              <w:bottom w:val="single" w:sz="4" w:space="0" w:color="auto"/>
              <w:right w:val="single" w:sz="6" w:space="0" w:color="auto"/>
            </w:tcBorders>
            <w:shd w:val="clear" w:color="auto" w:fill="auto"/>
            <w:vAlign w:val="center"/>
            <w:hideMark/>
          </w:tcPr>
          <w:p w14:paraId="08C5A100" w14:textId="03BE5E58"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w:t>
            </w:r>
          </w:p>
        </w:tc>
        <w:tc>
          <w:tcPr>
            <w:tcW w:w="5595" w:type="dxa"/>
            <w:gridSpan w:val="3"/>
            <w:tcBorders>
              <w:top w:val="nil"/>
              <w:left w:val="nil"/>
              <w:bottom w:val="single" w:sz="4" w:space="0" w:color="auto"/>
              <w:right w:val="single" w:sz="6" w:space="0" w:color="auto"/>
            </w:tcBorders>
            <w:shd w:val="clear" w:color="auto" w:fill="auto"/>
            <w:vAlign w:val="center"/>
            <w:hideMark/>
          </w:tcPr>
          <w:p w14:paraId="20BE2131" w14:textId="113F0F21" w:rsidR="00DE2851" w:rsidRPr="008A0812" w:rsidRDefault="00DE2851" w:rsidP="00DE2851">
            <w:pPr>
              <w:overflowPunct/>
              <w:autoSpaceDE/>
              <w:autoSpaceDN/>
              <w:adjustRightInd/>
              <w:jc w:val="center"/>
              <w:rPr>
                <w:rFonts w:ascii="Segoe UI" w:hAnsi="Segoe UI" w:cs="Segoe UI"/>
                <w:sz w:val="18"/>
                <w:szCs w:val="18"/>
              </w:rPr>
            </w:pPr>
            <w:r w:rsidRPr="008A0812">
              <w:rPr>
                <w:rFonts w:cs="Segoe UI"/>
              </w:rPr>
              <w:t>6.5 - 8.5</w:t>
            </w:r>
          </w:p>
        </w:tc>
      </w:tr>
      <w:tr w:rsidR="00EE70BB" w:rsidRPr="008A0812" w14:paraId="4C14B229" w14:textId="77777777" w:rsidTr="00EE70BB">
        <w:tc>
          <w:tcPr>
            <w:tcW w:w="1860" w:type="dxa"/>
            <w:tcBorders>
              <w:top w:val="single" w:sz="4" w:space="0" w:color="auto"/>
              <w:left w:val="single" w:sz="6" w:space="0" w:color="auto"/>
              <w:bottom w:val="single" w:sz="6" w:space="0" w:color="auto"/>
              <w:right w:val="single" w:sz="6" w:space="0" w:color="auto"/>
            </w:tcBorders>
            <w:shd w:val="clear" w:color="auto" w:fill="auto"/>
            <w:vAlign w:val="center"/>
          </w:tcPr>
          <w:p w14:paraId="363302C9" w14:textId="3BDCCC0C" w:rsidR="00EE70BB" w:rsidRPr="008A0812" w:rsidRDefault="00EE70BB" w:rsidP="00DE2851">
            <w:pPr>
              <w:overflowPunct/>
              <w:autoSpaceDE/>
              <w:autoSpaceDN/>
              <w:adjustRightInd/>
              <w:jc w:val="center"/>
              <w:rPr>
                <w:rFonts w:cs="Segoe UI"/>
              </w:rPr>
            </w:pPr>
            <w:r w:rsidRPr="008A0812">
              <w:rPr>
                <w:rFonts w:cs="Segoe UI"/>
              </w:rPr>
              <w:t>Facility Design Flow</w:t>
            </w:r>
          </w:p>
        </w:tc>
        <w:tc>
          <w:tcPr>
            <w:tcW w:w="1860" w:type="dxa"/>
            <w:tcBorders>
              <w:top w:val="single" w:sz="4" w:space="0" w:color="auto"/>
              <w:left w:val="nil"/>
              <w:bottom w:val="single" w:sz="6" w:space="0" w:color="auto"/>
              <w:right w:val="single" w:sz="6" w:space="0" w:color="auto"/>
            </w:tcBorders>
            <w:shd w:val="clear" w:color="auto" w:fill="auto"/>
            <w:vAlign w:val="center"/>
          </w:tcPr>
          <w:p w14:paraId="5DFE9B2E" w14:textId="22BEFEC4" w:rsidR="00EE70BB" w:rsidRPr="008A0812" w:rsidRDefault="0061619E" w:rsidP="00DE2851">
            <w:pPr>
              <w:overflowPunct/>
              <w:autoSpaceDE/>
              <w:autoSpaceDN/>
              <w:adjustRightInd/>
              <w:jc w:val="center"/>
              <w:rPr>
                <w:rFonts w:cs="Segoe UI"/>
              </w:rPr>
            </w:pPr>
            <w:r w:rsidRPr="008A0812">
              <w:rPr>
                <w:rFonts w:cs="Segoe UI"/>
              </w:rPr>
              <w:t>mgd</w:t>
            </w:r>
          </w:p>
        </w:tc>
        <w:tc>
          <w:tcPr>
            <w:tcW w:w="5595" w:type="dxa"/>
            <w:gridSpan w:val="3"/>
            <w:tcBorders>
              <w:top w:val="single" w:sz="4" w:space="0" w:color="auto"/>
              <w:left w:val="nil"/>
              <w:bottom w:val="single" w:sz="6" w:space="0" w:color="auto"/>
              <w:right w:val="single" w:sz="6" w:space="0" w:color="auto"/>
            </w:tcBorders>
            <w:shd w:val="clear" w:color="auto" w:fill="auto"/>
            <w:vAlign w:val="center"/>
          </w:tcPr>
          <w:p w14:paraId="0B941C77" w14:textId="1ED4679B" w:rsidR="00EE70BB" w:rsidRPr="008A0812" w:rsidRDefault="0061619E" w:rsidP="00DE2851">
            <w:pPr>
              <w:overflowPunct/>
              <w:autoSpaceDE/>
              <w:autoSpaceDN/>
              <w:adjustRightInd/>
              <w:jc w:val="center"/>
              <w:rPr>
                <w:rFonts w:cs="Segoe UI"/>
              </w:rPr>
            </w:pPr>
            <w:r w:rsidRPr="008A0812">
              <w:rPr>
                <w:rFonts w:cs="Segoe UI"/>
              </w:rPr>
              <w:t>33</w:t>
            </w:r>
          </w:p>
        </w:tc>
      </w:tr>
    </w:tbl>
    <w:p w14:paraId="44CDC037" w14:textId="6E1EE5FB" w:rsidR="00DE2851" w:rsidRPr="008A0812" w:rsidRDefault="00DE2851" w:rsidP="00DE2851">
      <w:pPr>
        <w:pStyle w:val="Heading3"/>
      </w:pPr>
      <w:bookmarkStart w:id="411" w:name="_Ref20223826"/>
      <w:bookmarkStart w:id="412" w:name="_Toc41680878"/>
      <w:r w:rsidRPr="008A0812">
        <w:t>Capacity Trigger in NPDES Permit</w:t>
      </w:r>
      <w:bookmarkEnd w:id="411"/>
      <w:bookmarkEnd w:id="412"/>
    </w:p>
    <w:p w14:paraId="28527DCD" w14:textId="3DEE9680" w:rsidR="00DE2851" w:rsidRPr="008A0812" w:rsidRDefault="00DE2851" w:rsidP="00DE2851">
      <w:pPr>
        <w:pStyle w:val="BodyText"/>
      </w:pPr>
      <w:r w:rsidRPr="008A0812">
        <w:t xml:space="preserve">Per the SBWRP NPDES Permit No. CA0105392 Order No. R8-2017-0049, certain actions are triggered if the average dry weather discharge for any month equals or exceeds 75% of the treatment design or discharge capacity of the </w:t>
      </w:r>
      <w:r w:rsidR="00A04967" w:rsidRPr="008A0812">
        <w:t>SB</w:t>
      </w:r>
      <w:r w:rsidRPr="008A0812">
        <w:t>WRP</w:t>
      </w:r>
      <w:r w:rsidR="0061619E" w:rsidRPr="008A0812">
        <w:t xml:space="preserve"> (75% of 33 mgd = 24.75 mgd)</w:t>
      </w:r>
      <w:r w:rsidRPr="008A0812">
        <w:t xml:space="preserve">. </w:t>
      </w:r>
      <w:r w:rsidR="00A04967" w:rsidRPr="008A0812">
        <w:t xml:space="preserve">If </w:t>
      </w:r>
      <w:r w:rsidR="00580C4C" w:rsidRPr="008A0812">
        <w:t xml:space="preserve">the treatment or discharge </w:t>
      </w:r>
      <w:r w:rsidR="00A04967" w:rsidRPr="008A0812">
        <w:t xml:space="preserve">capacity </w:t>
      </w:r>
      <w:r w:rsidR="00580C4C" w:rsidRPr="008A0812">
        <w:t>trigger is exceeded, th</w:t>
      </w:r>
      <w:r w:rsidRPr="008A0812">
        <w:t>e SB</w:t>
      </w:r>
      <w:r w:rsidR="00A04967" w:rsidRPr="008A0812">
        <w:t>MWD</w:t>
      </w:r>
      <w:r w:rsidRPr="008A0812">
        <w:t xml:space="preserve"> would have to adequately inform the RWQCB of the </w:t>
      </w:r>
      <w:r w:rsidR="00580C4C" w:rsidRPr="008A0812">
        <w:t xml:space="preserve">plant’s </w:t>
      </w:r>
      <w:r w:rsidRPr="008A0812">
        <w:t xml:space="preserve">capacity status by submitting a report containing the following information: </w:t>
      </w:r>
    </w:p>
    <w:p w14:paraId="3EA6D749" w14:textId="2769431E" w:rsidR="00DE2851" w:rsidRPr="008A0812" w:rsidRDefault="00DE2851" w:rsidP="00DE2851">
      <w:pPr>
        <w:pStyle w:val="Bullet"/>
      </w:pPr>
      <w:r w:rsidRPr="008A0812">
        <w:t>Average daily flow for the month, the dat</w:t>
      </w:r>
      <w:r w:rsidR="009F3081" w:rsidRPr="008A0812">
        <w:t>e</w:t>
      </w:r>
      <w:r w:rsidRPr="008A0812">
        <w:t xml:space="preserve"> on which the instantaneous peak flow occurred, the rate of that peak flow, and the total flow for the day</w:t>
      </w:r>
      <w:r w:rsidR="00A30EA6" w:rsidRPr="008A0812">
        <w:t>.</w:t>
      </w:r>
      <w:r w:rsidRPr="008A0812">
        <w:t xml:space="preserve"> </w:t>
      </w:r>
    </w:p>
    <w:p w14:paraId="404419CD" w14:textId="5325FA01" w:rsidR="00DE2851" w:rsidRPr="008A0812" w:rsidRDefault="00DE2851" w:rsidP="00DE2851">
      <w:pPr>
        <w:pStyle w:val="Bullet"/>
      </w:pPr>
      <w:r w:rsidRPr="008A0812">
        <w:t>Best estimate of when the average daily dry-weather flow rate will equal or exceed the design capacity of the treatment facilities</w:t>
      </w:r>
      <w:r w:rsidR="00A30EA6" w:rsidRPr="008A0812">
        <w:t>.</w:t>
      </w:r>
      <w:r w:rsidRPr="008A0812">
        <w:t xml:space="preserve"> </w:t>
      </w:r>
    </w:p>
    <w:p w14:paraId="57D124E7" w14:textId="19A69B07" w:rsidR="00DE2851" w:rsidRPr="008A0812" w:rsidRDefault="00DE2851" w:rsidP="00DE2851">
      <w:pPr>
        <w:pStyle w:val="Bullet"/>
      </w:pPr>
      <w:r w:rsidRPr="008A0812">
        <w:t>An intended schedule for studies, design, and other steps needed to provide additional capacity for the waste treatment and/or disposal facilities before the waste flow rate equals the capacity of present units.</w:t>
      </w:r>
    </w:p>
    <w:p w14:paraId="279618FC" w14:textId="0ED54A63" w:rsidR="00580C4C" w:rsidRPr="008A0812" w:rsidRDefault="00EE70BB" w:rsidP="00580C4C">
      <w:pPr>
        <w:pStyle w:val="BodyText"/>
      </w:pPr>
      <w:r w:rsidRPr="008A0812">
        <w:t xml:space="preserve">Under the current permit, the projected flow of 19 mgd </w:t>
      </w:r>
      <w:r w:rsidR="0061619E" w:rsidRPr="008A0812">
        <w:t xml:space="preserve">in the year 2040 </w:t>
      </w:r>
      <w:r w:rsidRPr="008A0812">
        <w:t xml:space="preserve">would not </w:t>
      </w:r>
      <w:r w:rsidR="0061619E" w:rsidRPr="008A0812">
        <w:t xml:space="preserve">exceed the capacity reporting trigger; however, this capacity trigger should be </w:t>
      </w:r>
      <w:r w:rsidR="00580C4C" w:rsidRPr="008A0812">
        <w:t>co</w:t>
      </w:r>
      <w:r w:rsidR="0061619E" w:rsidRPr="008A0812">
        <w:t xml:space="preserve">nsidered if de-rating SBWRP’s treatment capacity is contemplated due to the future decrease in flow. </w:t>
      </w:r>
    </w:p>
    <w:p w14:paraId="0F78E1FF" w14:textId="677D927E" w:rsidR="00DE2851" w:rsidRPr="008A0812" w:rsidRDefault="00DE2851" w:rsidP="00DE2851">
      <w:pPr>
        <w:pStyle w:val="Heading3"/>
      </w:pPr>
      <w:bookmarkStart w:id="413" w:name="_Toc41680879"/>
      <w:r w:rsidRPr="008A0812">
        <w:t>Potential Future Changes to Discharge Requirements</w:t>
      </w:r>
      <w:bookmarkEnd w:id="413"/>
    </w:p>
    <w:p w14:paraId="4F88FB10" w14:textId="75ADC8C1" w:rsidR="00DE2851" w:rsidRPr="008A0812" w:rsidRDefault="00DE2851" w:rsidP="00DE2851">
      <w:pPr>
        <w:pStyle w:val="BodyText"/>
      </w:pPr>
      <w:r w:rsidRPr="008A0812">
        <w:t>The Santa Ana Watershed Project Authority (SAWPA) is a Joint Powers Authority (JPA) of five member agencies: Eastern Municipal Water District, Inland Empire Utilities Agency, Orange County Water District, San Bernardino Valley Municipal Water District, and Western Municipal Water District. The Santa Ana River is a significant source of recharge to groundwater management zones underlying the River and to the Orange County groundwater basin downstream. The quality of the River</w:t>
      </w:r>
      <w:r w:rsidR="009F3081" w:rsidRPr="008A0812">
        <w:t xml:space="preserve"> influences </w:t>
      </w:r>
      <w:r w:rsidRPr="008A0812">
        <w:t xml:space="preserve">the region’s groundwater, which is used by more than 5 million people. </w:t>
      </w:r>
    </w:p>
    <w:p w14:paraId="0EDCAC33" w14:textId="0F1175A0" w:rsidR="00DE2851" w:rsidRPr="008A0812" w:rsidRDefault="00DE2851" w:rsidP="00DE2851">
      <w:pPr>
        <w:pStyle w:val="BodyText"/>
      </w:pPr>
      <w:r w:rsidRPr="008A0812">
        <w:t xml:space="preserve">SAWPA serves as an administrator for several </w:t>
      </w:r>
      <w:r w:rsidR="00A30EA6" w:rsidRPr="008A0812">
        <w:t>t</w:t>
      </w:r>
      <w:r w:rsidRPr="008A0812">
        <w:t xml:space="preserve">ask </w:t>
      </w:r>
      <w:r w:rsidR="00A30EA6" w:rsidRPr="008A0812">
        <w:t>f</w:t>
      </w:r>
      <w:r w:rsidRPr="008A0812">
        <w:t>orces within the watershed. In 1995, a task force comprising approximately 20 water, wastewater, and groundwater agencies was formed to evaluate the impact of total inorganic nitrogen (TIN) and total dissolved solids (TDS) on water resources in the Santa Ana River Watershed.</w:t>
      </w:r>
      <w:r w:rsidR="000D2D44" w:rsidRPr="008A0812">
        <w:t xml:space="preserve"> </w:t>
      </w:r>
    </w:p>
    <w:p w14:paraId="5EFBAE4E" w14:textId="6E5E89DA" w:rsidR="00580C4C" w:rsidRPr="008A0812" w:rsidRDefault="00DE2851" w:rsidP="00580C4C">
      <w:pPr>
        <w:pStyle w:val="BodyText"/>
      </w:pPr>
      <w:r w:rsidRPr="008A0812">
        <w:t xml:space="preserve">Wasteload allocations for regulating discharges of TDS and TIN to the Santa Ana River are implemented primarily through TDS and nitrogen limits in waste discharge requirements issued to municipal wastewater treatment facilities that directly or indirectly discharge to the River. SAWPA’s task force is using the Wasteload Allocation Model </w:t>
      </w:r>
      <w:r w:rsidR="00A30EA6" w:rsidRPr="008A0812">
        <w:t xml:space="preserve">(WLAM) </w:t>
      </w:r>
      <w:r w:rsidRPr="008A0812">
        <w:t xml:space="preserve">to simulate the future groundwater quality to determine whether any changes are necessary in TDS and TIN regulation (Wildermuth Environmental, Inc., 2015). The TIN/TDS task force </w:t>
      </w:r>
      <w:r w:rsidR="00A30EA6" w:rsidRPr="008A0812">
        <w:t>w</w:t>
      </w:r>
      <w:r w:rsidRPr="008A0812">
        <w:t xml:space="preserve">ork was divided into a series of phases and </w:t>
      </w:r>
      <w:r w:rsidR="00A30EA6" w:rsidRPr="008A0812">
        <w:t>w</w:t>
      </w:r>
      <w:r w:rsidRPr="008A0812">
        <w:t>ork on the TIN/TDS Task Force Study is nearing completion (Santa Ana Watershed Project Authority, n.d.).</w:t>
      </w:r>
      <w:r w:rsidR="00580C4C" w:rsidRPr="008A0812">
        <w:t xml:space="preserve"> </w:t>
      </w:r>
    </w:p>
    <w:p w14:paraId="06BBD0A2" w14:textId="6A50BD4A" w:rsidR="00DE2851" w:rsidRPr="008A0812" w:rsidRDefault="00580C4C" w:rsidP="00580C4C">
      <w:pPr>
        <w:pStyle w:val="BodyText"/>
      </w:pPr>
      <w:r w:rsidRPr="008A0812">
        <w:t>Preliminary WLAM results indicate the potential for degradation/exceedance of water quality objectives for TDS and TIN in the groundwater management zone where RIX is located. Future regulations may come out of the WLAM that could impact the RIX discharge to the Santa Ana River.</w:t>
      </w:r>
    </w:p>
    <w:p w14:paraId="3B19EA0A" w14:textId="47E641D3" w:rsidR="00DE2851" w:rsidRPr="008A0812" w:rsidRDefault="00DE2851" w:rsidP="00DE2851">
      <w:pPr>
        <w:pStyle w:val="Heading3"/>
      </w:pPr>
      <w:bookmarkStart w:id="414" w:name="_Toc41680880"/>
      <w:r w:rsidRPr="008A0812">
        <w:t>Inland Empire Brine Line Collection Station</w:t>
      </w:r>
      <w:bookmarkEnd w:id="414"/>
    </w:p>
    <w:p w14:paraId="15AD8FC4" w14:textId="6E5EDF67" w:rsidR="00DE2851" w:rsidRPr="008A0812" w:rsidRDefault="00DE2851" w:rsidP="00DE2851">
      <w:pPr>
        <w:pStyle w:val="BodyText"/>
      </w:pPr>
      <w:r w:rsidRPr="008A0812">
        <w:t>The SBMWD has an agreement with</w:t>
      </w:r>
      <w:r w:rsidR="007A1CDA" w:rsidRPr="008A0812">
        <w:t xml:space="preserve"> Valley District, who in turn has an agreement with</w:t>
      </w:r>
      <w:r w:rsidRPr="008A0812">
        <w:t xml:space="preserve"> the Santa Ana Watershed Project Authority (SAWPA) for 2.5 mgd capacity in the Inland Empire Brine Line (</w:t>
      </w:r>
      <w:r w:rsidR="007D4E55" w:rsidRPr="008A0812">
        <w:t>IEBL</w:t>
      </w:r>
      <w:r w:rsidR="00774FF7" w:rsidRPr="008A0812">
        <w:t>)</w:t>
      </w:r>
      <w:r w:rsidR="007D4E55" w:rsidRPr="008A0812">
        <w:t xml:space="preserve"> </w:t>
      </w:r>
      <w:r w:rsidRPr="008A0812">
        <w:t xml:space="preserve">formerly known as the Santa Ana Regional Interceptor (SARI). SAWPA was created to help resolve interagency conflicts and address regional water issues in the Santa Ana River </w:t>
      </w:r>
      <w:r w:rsidR="00A30EA6" w:rsidRPr="008A0812">
        <w:t>W</w:t>
      </w:r>
      <w:r w:rsidRPr="008A0812">
        <w:t>atershed. The I</w:t>
      </w:r>
      <w:r w:rsidR="008E5481" w:rsidRPr="008A0812">
        <w:t>EBL</w:t>
      </w:r>
      <w:r w:rsidRPr="008A0812">
        <w:t xml:space="preserve"> was developed by SAWPA for the purpose of transporting high strength brine wastewater from the Inland Empire to the Orange County Sanitation District (OCSD) for treatment and disposal to the Pacific Ocean. The SBWRP has an authorized collection station onsite for the </w:t>
      </w:r>
      <w:r w:rsidR="007D4E55" w:rsidRPr="008A0812">
        <w:t xml:space="preserve">direct </w:t>
      </w:r>
      <w:r w:rsidRPr="008A0812">
        <w:t>discharge of hauled brine waste to the IEBL (</w:t>
      </w:r>
      <w:r w:rsidR="001565BE" w:rsidRPr="008A0812">
        <w:fldChar w:fldCharType="begin"/>
      </w:r>
      <w:r w:rsidR="001565BE" w:rsidRPr="008A0812">
        <w:instrText xml:space="preserve"> REF _Ref36399418 \h </w:instrText>
      </w:r>
      <w:r w:rsidR="008A0812">
        <w:instrText xml:space="preserve"> \* MERGEFORMAT </w:instrText>
      </w:r>
      <w:r w:rsidR="001565BE" w:rsidRPr="008A0812">
        <w:fldChar w:fldCharType="separate"/>
      </w:r>
      <w:r w:rsidR="00AA68F8" w:rsidRPr="008A0812">
        <w:t xml:space="preserve">Figure </w:t>
      </w:r>
      <w:r w:rsidR="00AA68F8">
        <w:rPr>
          <w:noProof/>
        </w:rPr>
        <w:t>7</w:t>
      </w:r>
      <w:r w:rsidR="00AA68F8">
        <w:rPr>
          <w:noProof/>
        </w:rPr>
        <w:noBreakHyphen/>
        <w:t>1</w:t>
      </w:r>
      <w:r w:rsidR="001565BE" w:rsidRPr="008A0812">
        <w:fldChar w:fldCharType="end"/>
      </w:r>
      <w:r w:rsidRPr="008A0812">
        <w:t xml:space="preserve">). </w:t>
      </w:r>
      <w:r w:rsidR="007A1CDA" w:rsidRPr="008A0812">
        <w:t xml:space="preserve">Permits are issued </w:t>
      </w:r>
      <w:r w:rsidR="008E5481" w:rsidRPr="008A0812">
        <w:t xml:space="preserve">by the Department </w:t>
      </w:r>
      <w:r w:rsidR="007A1CDA" w:rsidRPr="008A0812">
        <w:t xml:space="preserve">to indirect dischargers to dispose at the Brine Receiving Station. </w:t>
      </w:r>
    </w:p>
    <w:p w14:paraId="5ACEB66F" w14:textId="251CF867" w:rsidR="001565BE" w:rsidRPr="008A0812" w:rsidRDefault="001565BE" w:rsidP="00AF40CB">
      <w:pPr>
        <w:pStyle w:val="FigureHeading"/>
      </w:pPr>
      <w:bookmarkStart w:id="415" w:name="_Ref36399418"/>
      <w:bookmarkStart w:id="416" w:name="_Toc36414081"/>
      <w:bookmarkStart w:id="417" w:name="_Toc41684709"/>
      <w:r w:rsidRPr="008A0812">
        <w:t xml:space="preserve">Figure </w:t>
      </w:r>
      <w:fldSimple w:instr=" STYLEREF 1 \s ">
        <w:r w:rsidR="00AA68F8">
          <w:rPr>
            <w:noProof/>
          </w:rPr>
          <w:t>7</w:t>
        </w:r>
      </w:fldSimple>
      <w:r w:rsidR="00B233D1">
        <w:noBreakHyphen/>
      </w:r>
      <w:fldSimple w:instr=" SEQ Figure \* ARABIC \s 1 ">
        <w:r w:rsidR="00AA68F8">
          <w:rPr>
            <w:noProof/>
          </w:rPr>
          <w:t>1</w:t>
        </w:r>
      </w:fldSimple>
      <w:bookmarkEnd w:id="415"/>
      <w:r w:rsidRPr="008A0812">
        <w:t>: Inland Empire Brine Line Collection Stations</w:t>
      </w:r>
      <w:bookmarkEnd w:id="416"/>
      <w:bookmarkEnd w:id="417"/>
    </w:p>
    <w:p w14:paraId="0FD28EF4" w14:textId="77777777" w:rsidR="00DE2851" w:rsidRPr="008A0812" w:rsidRDefault="00DE2851" w:rsidP="00DE2851">
      <w:pPr>
        <w:jc w:val="center"/>
      </w:pPr>
      <w:r>
        <w:rPr>
          <w:noProof/>
        </w:rPr>
        <w:drawing>
          <wp:inline distT="0" distB="0" distL="0" distR="0" wp14:anchorId="367D3564" wp14:editId="0655813E">
            <wp:extent cx="5924548" cy="4095750"/>
            <wp:effectExtent l="0" t="0" r="0" b="0"/>
            <wp:docPr id="1036945174" name="Picture 42" descr="C:\Users\jhodgens\AppData\Local\Microsoft\Windows\INetCache\Content.MSO\F1531C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92">
                      <a:extLst>
                        <a:ext uri="{28A0092B-C50C-407E-A947-70E740481C1C}">
                          <a14:useLocalDpi xmlns:a14="http://schemas.microsoft.com/office/drawing/2010/main" val="0"/>
                        </a:ext>
                      </a:extLst>
                    </a:blip>
                    <a:stretch>
                      <a:fillRect/>
                    </a:stretch>
                  </pic:blipFill>
                  <pic:spPr>
                    <a:xfrm>
                      <a:off x="0" y="0"/>
                      <a:ext cx="5924548" cy="4095750"/>
                    </a:xfrm>
                    <a:prstGeom prst="rect">
                      <a:avLst/>
                    </a:prstGeom>
                  </pic:spPr>
                </pic:pic>
              </a:graphicData>
            </a:graphic>
          </wp:inline>
        </w:drawing>
      </w:r>
    </w:p>
    <w:p w14:paraId="492DF21B" w14:textId="53A2D6D3" w:rsidR="00DE2851" w:rsidRPr="008A0812" w:rsidRDefault="00D97C1A" w:rsidP="00D97C1A">
      <w:pPr>
        <w:overflowPunct/>
        <w:autoSpaceDE/>
        <w:autoSpaceDN/>
        <w:adjustRightInd/>
        <w:ind w:left="360"/>
        <w:jc w:val="center"/>
        <w:rPr>
          <w:rFonts w:cs="Segoe UI"/>
          <w:i/>
          <w:iCs/>
          <w:sz w:val="20"/>
          <w:szCs w:val="20"/>
        </w:rPr>
      </w:pPr>
      <w:r w:rsidRPr="008A0812">
        <w:rPr>
          <w:rFonts w:cs="Segoe UI"/>
          <w:i/>
          <w:iCs/>
          <w:sz w:val="20"/>
          <w:szCs w:val="20"/>
        </w:rPr>
        <w:t>Source: </w:t>
      </w:r>
      <w:hyperlink r:id="rId93" w:tgtFrame="_blank" w:history="1">
        <w:r w:rsidRPr="008A0812">
          <w:rPr>
            <w:i/>
            <w:iCs/>
            <w:sz w:val="20"/>
            <w:szCs w:val="20"/>
          </w:rPr>
          <w:t>https://sawpa.org/inland-empire-brine-line/</w:t>
        </w:r>
      </w:hyperlink>
      <w:r w:rsidRPr="008A0812">
        <w:rPr>
          <w:rFonts w:cs="Segoe UI"/>
          <w:i/>
          <w:iCs/>
          <w:sz w:val="20"/>
          <w:szCs w:val="20"/>
        </w:rPr>
        <w:t xml:space="preserve"> </w:t>
      </w:r>
    </w:p>
    <w:p w14:paraId="3B13F774" w14:textId="19883B58" w:rsidR="00EE70BB" w:rsidRPr="008A0812" w:rsidRDefault="00EE70BB" w:rsidP="00EE70BB">
      <w:pPr>
        <w:pStyle w:val="BodyText"/>
        <w:rPr>
          <w:rStyle w:val="eop"/>
          <w:color w:val="000000"/>
          <w:shd w:val="clear" w:color="auto" w:fill="FFFFFF"/>
        </w:rPr>
      </w:pPr>
      <w:r w:rsidRPr="008A0812">
        <w:t>Use of the SBWRP Inland Empire Brine Line collection station is regulated by Ordinance No. 73-SARI, which includes general prohibitions and limitations on discharges, wastewater discharge permits, and monitoring, reporting, inspection, and facilities requirements (San Bernardino Valley Municipal Water District, 2011).</w:t>
      </w:r>
    </w:p>
    <w:p w14:paraId="7474E828" w14:textId="6803D083" w:rsidR="00D97C1A" w:rsidRPr="008A0812" w:rsidRDefault="00D97C1A" w:rsidP="00D97C1A">
      <w:pPr>
        <w:pStyle w:val="Heading4"/>
      </w:pPr>
      <w:bookmarkStart w:id="418" w:name="_Toc41680881"/>
      <w:r w:rsidRPr="008A0812">
        <w:t>Hydrolysate of Human Remains</w:t>
      </w:r>
      <w:bookmarkEnd w:id="418"/>
    </w:p>
    <w:p w14:paraId="231FED26" w14:textId="579D405F" w:rsidR="00580C4C" w:rsidRPr="008A0812" w:rsidRDefault="007A1CDA" w:rsidP="00D97C1A">
      <w:pPr>
        <w:pStyle w:val="BodyText"/>
      </w:pPr>
      <w:r w:rsidRPr="008A0812">
        <w:t>Valley District</w:t>
      </w:r>
      <w:r w:rsidR="00D97C1A" w:rsidRPr="008A0812">
        <w:t xml:space="preserve"> does not currently regulate the discharge of hydrolysate of human remains to the Inland Empire Brine Line </w:t>
      </w:r>
      <w:r w:rsidR="00EE70BB" w:rsidRPr="008A0812">
        <w:t>c</w:t>
      </w:r>
      <w:r w:rsidR="00D97C1A" w:rsidRPr="008A0812">
        <w:t xml:space="preserve">ollection </w:t>
      </w:r>
      <w:r w:rsidR="00EE70BB" w:rsidRPr="008A0812">
        <w:t>s</w:t>
      </w:r>
      <w:r w:rsidR="00D97C1A" w:rsidRPr="008A0812">
        <w:t>tation; however,</w:t>
      </w:r>
      <w:r w:rsidR="00580C4C" w:rsidRPr="008A0812">
        <w:t xml:space="preserve"> it could potential</w:t>
      </w:r>
      <w:r w:rsidR="00EE70BB" w:rsidRPr="008A0812">
        <w:t xml:space="preserve">ly be a source of </w:t>
      </w:r>
      <w:r w:rsidR="00580C4C" w:rsidRPr="008A0812">
        <w:t>future revenue for the</w:t>
      </w:r>
      <w:r w:rsidR="00EE70BB" w:rsidRPr="008A0812">
        <w:t xml:space="preserve"> SBMWD if hydrolysate businesses develop within the service area.</w:t>
      </w:r>
    </w:p>
    <w:p w14:paraId="12114D01" w14:textId="63163328" w:rsidR="00D97C1A" w:rsidRPr="008A0812" w:rsidRDefault="005C7648" w:rsidP="00D97C1A">
      <w:pPr>
        <w:pStyle w:val="BodyText"/>
      </w:pPr>
      <w:r w:rsidRPr="008A0812">
        <w:t xml:space="preserve">Effective July 1, 2019, </w:t>
      </w:r>
      <w:r w:rsidR="00D97C1A" w:rsidRPr="008A0812">
        <w:t>OCSD</w:t>
      </w:r>
      <w:r w:rsidRPr="008A0812">
        <w:t xml:space="preserve"> Ordinance No. OCSD-53</w:t>
      </w:r>
      <w:r w:rsidR="00D97C1A" w:rsidRPr="008A0812">
        <w:t xml:space="preserve"> </w:t>
      </w:r>
      <w:r w:rsidRPr="008A0812">
        <w:t xml:space="preserve">prohibits the </w:t>
      </w:r>
      <w:r w:rsidR="00D97C1A" w:rsidRPr="008A0812">
        <w:t>discharge</w:t>
      </w:r>
      <w:r w:rsidR="00580C4C" w:rsidRPr="008A0812">
        <w:t xml:space="preserve"> of hydrolysate </w:t>
      </w:r>
      <w:r w:rsidRPr="008A0812">
        <w:t xml:space="preserve">wastes and wastewater resulting from hydrolysis to the Orange County Sanitation District. </w:t>
      </w:r>
      <w:r w:rsidR="00D97C1A" w:rsidRPr="008A0812">
        <w:t>Per Assembly Bill No. 967 (2017-2018), the SBMWD and the OCSD would both have to authorize the disposal of hydrolysate into the SBMWD’s Inland Empire Brine Line collection station</w:t>
      </w:r>
      <w:r w:rsidR="003D3D18" w:rsidRPr="008A0812">
        <w:t xml:space="preserve"> for it to be allowed</w:t>
      </w:r>
      <w:r w:rsidR="00D97C1A" w:rsidRPr="008A0812">
        <w:t>.</w:t>
      </w:r>
    </w:p>
    <w:p w14:paraId="3E1503F2" w14:textId="53A553BB" w:rsidR="00D97C1A" w:rsidRPr="008A0812" w:rsidRDefault="00D97C1A" w:rsidP="00D97C1A">
      <w:pPr>
        <w:pStyle w:val="BodyText"/>
      </w:pPr>
      <w:r w:rsidRPr="008A0812">
        <w:t>Per Assembly Bill No. 967 (2017-2018) Section 7639.10 (a), a licensed hydrolysis facility may dispose of hydrolysate using a sewer collection system only if all the following conditions are met:</w:t>
      </w:r>
    </w:p>
    <w:p w14:paraId="41AA2874" w14:textId="4ED30FF2" w:rsidR="00D97C1A" w:rsidRPr="008A0812" w:rsidRDefault="00D97C1A" w:rsidP="00D97C1A">
      <w:pPr>
        <w:pStyle w:val="Numbering"/>
      </w:pPr>
      <w:r w:rsidRPr="008A0812">
        <w:t xml:space="preserve">The city, county, special district, joint powers authority, or other public agency that provides wastewater treatment and disposal services to the licensed hydrolysis facility expressly authorizes the disposal of hydrolysate into the sewer collection system. If issuance of a permit is required by another city, county, special district, joint powers authority, or other public agency that provides sewer collection services where the licensee is located, authorization from both agencies must be obtained. </w:t>
      </w:r>
    </w:p>
    <w:p w14:paraId="78AF5EBD" w14:textId="0BB20BA1" w:rsidR="00D97C1A" w:rsidRPr="008A0812" w:rsidRDefault="00D97C1A" w:rsidP="00D97C1A">
      <w:pPr>
        <w:pStyle w:val="Numbering"/>
      </w:pPr>
      <w:r w:rsidRPr="008A0812">
        <w:t xml:space="preserve">If the licensee receives the appropriate permissions required by subparagraph (A), the licensee shall comply with all local ordinances, pretreatment requirements, permitting requirements, waste discharge requirements, and all other applicable federal, state, and local laws, ordinances, and regulations governing the protection of water quality and public health, promotion of water recycling, and discharge into the sewer system. </w:t>
      </w:r>
    </w:p>
    <w:p w14:paraId="77E962A7" w14:textId="47F6F6E7" w:rsidR="00D97C1A" w:rsidRPr="008A0812" w:rsidRDefault="00D97C1A" w:rsidP="00D97C1A">
      <w:pPr>
        <w:pStyle w:val="Numbering"/>
      </w:pPr>
      <w:r w:rsidRPr="008A0812">
        <w:t xml:space="preserve">The licensee shall demonstrate compliance as deemed appropriate by the public agency or agencies authorizing the disposal of hydrolysate into the sewer collection system. At a minimum this should include annual water quality testing as prescribed by the public agency or agencies authorizing the disposal of hydrolysate into the sewer collection system. </w:t>
      </w:r>
    </w:p>
    <w:p w14:paraId="6AC37D15" w14:textId="6F098358" w:rsidR="00D97C1A" w:rsidRPr="008A0812" w:rsidRDefault="00D97C1A" w:rsidP="00D97C1A">
      <w:pPr>
        <w:pStyle w:val="Numbering"/>
      </w:pPr>
      <w:r w:rsidRPr="008A0812">
        <w:t>Authorization for disposal of hydrolysate using a sewer collection system shall be voluntary and at the discretion of each public agency described in subparagraph (A). Each public agency described in subparagraph (A) has the discretion to authorize or to prohibit the discharge of hydrolysate into a sewer collection system for any reason, including for purposes of promoting advanced water recycling systems (California Legislative Information, 2017-2018).</w:t>
      </w:r>
    </w:p>
    <w:p w14:paraId="5B00AB4C" w14:textId="0DDDE6B7" w:rsidR="00D97C1A" w:rsidRPr="008A0812" w:rsidRDefault="00D97C1A" w:rsidP="00D97C1A">
      <w:pPr>
        <w:pStyle w:val="Heading2"/>
      </w:pPr>
      <w:bookmarkStart w:id="419" w:name="_Ref20733686"/>
      <w:bookmarkStart w:id="420" w:name="_Toc41680882"/>
      <w:r w:rsidRPr="008A0812">
        <w:t>Biosolids Disposal</w:t>
      </w:r>
      <w:bookmarkEnd w:id="419"/>
      <w:bookmarkEnd w:id="420"/>
    </w:p>
    <w:p w14:paraId="7FB064F9" w14:textId="164FA65F" w:rsidR="00D97C1A" w:rsidRPr="008A0812" w:rsidRDefault="00D97C1A" w:rsidP="00D97C1A">
      <w:pPr>
        <w:pStyle w:val="BodyText"/>
      </w:pPr>
      <w:r w:rsidRPr="008A0812">
        <w:t>The regulation of biosolids involves multiple agencies at the federal, state, and local levels. The United States Environmental Protection Agency (US EPA) Region IX regulates biosolids disposal in California by the Part 503 Rule, which sets national minimum requirements for biosolids quality. The following sections describe the federal rules governing biosolids.</w:t>
      </w:r>
    </w:p>
    <w:p w14:paraId="2A6C09EC" w14:textId="291794E3" w:rsidR="00D97C1A" w:rsidRPr="008A0812" w:rsidRDefault="00D97C1A" w:rsidP="00D97C1A">
      <w:pPr>
        <w:pStyle w:val="Heading3"/>
      </w:pPr>
      <w:bookmarkStart w:id="421" w:name="_Toc41680883"/>
      <w:r w:rsidRPr="008A0812">
        <w:t>US EPA Part 503 Rule</w:t>
      </w:r>
      <w:bookmarkEnd w:id="421"/>
    </w:p>
    <w:p w14:paraId="1044A6D4" w14:textId="77777777" w:rsidR="00D97C1A" w:rsidRPr="008A0812" w:rsidRDefault="00D97C1A" w:rsidP="00D97C1A">
      <w:pPr>
        <w:pStyle w:val="BodyText"/>
      </w:pPr>
      <w:r w:rsidRPr="008A0812">
        <w:t xml:space="preserve">The Part 503 Rule has four groups of requirements to protect the environment and public health: </w:t>
      </w:r>
    </w:p>
    <w:p w14:paraId="664D262F" w14:textId="190ECFE4" w:rsidR="00D97C1A" w:rsidRPr="008A0812" w:rsidRDefault="00D97C1A" w:rsidP="00D97C1A">
      <w:pPr>
        <w:pStyle w:val="Bullet"/>
      </w:pPr>
      <w:r w:rsidRPr="008A0812">
        <w:t xml:space="preserve">Management </w:t>
      </w:r>
      <w:r w:rsidR="007B3B40" w:rsidRPr="008A0812">
        <w:t>P</w:t>
      </w:r>
      <w:r w:rsidRPr="008A0812">
        <w:t xml:space="preserve">ractices </w:t>
      </w:r>
    </w:p>
    <w:p w14:paraId="0A1457DA" w14:textId="7F668DE6" w:rsidR="00D97C1A" w:rsidRPr="008A0812" w:rsidRDefault="00D97C1A" w:rsidP="00D97C1A">
      <w:pPr>
        <w:pStyle w:val="Bullet"/>
      </w:pPr>
      <w:r w:rsidRPr="008A0812">
        <w:t xml:space="preserve">Pollutant </w:t>
      </w:r>
      <w:r w:rsidR="007B3B40" w:rsidRPr="008A0812">
        <w:t>L</w:t>
      </w:r>
      <w:r w:rsidRPr="008A0812">
        <w:t xml:space="preserve">imits </w:t>
      </w:r>
    </w:p>
    <w:p w14:paraId="0FB776EA" w14:textId="34309428" w:rsidR="00D97C1A" w:rsidRPr="008A0812" w:rsidRDefault="00D97C1A" w:rsidP="00D97C1A">
      <w:pPr>
        <w:pStyle w:val="Bullet"/>
      </w:pPr>
      <w:r w:rsidRPr="008A0812">
        <w:t xml:space="preserve">Pathogen </w:t>
      </w:r>
      <w:r w:rsidR="007B3B40" w:rsidRPr="008A0812">
        <w:t>R</w:t>
      </w:r>
      <w:r w:rsidRPr="008A0812">
        <w:t xml:space="preserve">eduction </w:t>
      </w:r>
      <w:r w:rsidR="007B3B40" w:rsidRPr="008A0812">
        <w:t>R</w:t>
      </w:r>
      <w:r w:rsidRPr="008A0812">
        <w:t xml:space="preserve">equirements </w:t>
      </w:r>
    </w:p>
    <w:p w14:paraId="4E072F8D" w14:textId="07C0BC48" w:rsidR="00D97C1A" w:rsidRPr="008A0812" w:rsidRDefault="00D97C1A" w:rsidP="00D97C1A">
      <w:pPr>
        <w:pStyle w:val="Bullet"/>
      </w:pPr>
      <w:r w:rsidRPr="008A0812">
        <w:t xml:space="preserve">Vector </w:t>
      </w:r>
      <w:r w:rsidR="007B3B40" w:rsidRPr="008A0812">
        <w:t>A</w:t>
      </w:r>
      <w:r w:rsidRPr="008A0812">
        <w:t xml:space="preserve">ttraction </w:t>
      </w:r>
      <w:r w:rsidR="007B3B40" w:rsidRPr="008A0812">
        <w:t>R</w:t>
      </w:r>
      <w:r w:rsidRPr="008A0812">
        <w:t xml:space="preserve">eduction </w:t>
      </w:r>
      <w:r w:rsidR="007B3B40" w:rsidRPr="008A0812">
        <w:t>R</w:t>
      </w:r>
      <w:r w:rsidRPr="008A0812">
        <w:t>equirements</w:t>
      </w:r>
    </w:p>
    <w:p w14:paraId="6D769A14" w14:textId="2530651E" w:rsidR="00D97C1A" w:rsidRPr="008A0812" w:rsidRDefault="00D97C1A" w:rsidP="00D97C1A">
      <w:pPr>
        <w:pStyle w:val="Heading4"/>
      </w:pPr>
      <w:bookmarkStart w:id="422" w:name="_Toc41680884"/>
      <w:r w:rsidRPr="008A0812">
        <w:t>Management Practices</w:t>
      </w:r>
      <w:bookmarkEnd w:id="422"/>
    </w:p>
    <w:p w14:paraId="1B291088" w14:textId="77777777" w:rsidR="00D97C1A" w:rsidRPr="008A0812" w:rsidRDefault="00D97C1A" w:rsidP="00D97C1A">
      <w:pPr>
        <w:pStyle w:val="BodyText"/>
      </w:pPr>
      <w:r w:rsidRPr="008A0812">
        <w:t xml:space="preserve">Bulk biosolids shall: </w:t>
      </w:r>
    </w:p>
    <w:p w14:paraId="747A7549" w14:textId="128C6957" w:rsidR="00D97C1A" w:rsidRPr="008A0812" w:rsidRDefault="00D97C1A" w:rsidP="00D97C1A">
      <w:pPr>
        <w:pStyle w:val="Bullet"/>
      </w:pPr>
      <w:r w:rsidRPr="008A0812">
        <w:t>Not be applied to land when it is likely to adversely affect a threatened or endangered species</w:t>
      </w:r>
      <w:r w:rsidR="007B3B40" w:rsidRPr="008A0812">
        <w:t>.</w:t>
      </w:r>
    </w:p>
    <w:p w14:paraId="27C25ACD" w14:textId="2FB1FAFD" w:rsidR="00D97C1A" w:rsidRPr="008A0812" w:rsidRDefault="00D97C1A" w:rsidP="00D97C1A">
      <w:pPr>
        <w:pStyle w:val="Bullet"/>
      </w:pPr>
      <w:r w:rsidRPr="008A0812">
        <w:t>Not be applied to a site that is flooded, frozen, or snow-covered so that the biosolids enters a wetland or other waters of the United States</w:t>
      </w:r>
      <w:r w:rsidR="007B3B40" w:rsidRPr="008A0812">
        <w:t>.</w:t>
      </w:r>
      <w:r w:rsidRPr="008A0812">
        <w:t xml:space="preserve"> </w:t>
      </w:r>
    </w:p>
    <w:p w14:paraId="48F481A5" w14:textId="59F67A53" w:rsidR="00D97C1A" w:rsidRPr="008A0812" w:rsidRDefault="00D97C1A" w:rsidP="00D97C1A">
      <w:pPr>
        <w:pStyle w:val="Bullet"/>
      </w:pPr>
      <w:r w:rsidRPr="008A0812">
        <w:t>Not be applied to a site that is 10 meters or less from waters of the United States</w:t>
      </w:r>
      <w:r w:rsidR="007B3B40" w:rsidRPr="008A0812">
        <w:t>.</w:t>
      </w:r>
      <w:r w:rsidRPr="008A0812">
        <w:t xml:space="preserve"> </w:t>
      </w:r>
    </w:p>
    <w:p w14:paraId="13E830B4" w14:textId="41352F57" w:rsidR="00D97C1A" w:rsidRPr="008A0812" w:rsidRDefault="00D97C1A" w:rsidP="00D97C1A">
      <w:pPr>
        <w:pStyle w:val="Bullet"/>
      </w:pPr>
      <w:r w:rsidRPr="008A0812">
        <w:t>Be applied to a site at an application rate that is equal to or less than the agronomic rate</w:t>
      </w:r>
      <w:r w:rsidR="00FE6ECE" w:rsidRPr="008A0812">
        <w:t xml:space="preserve"> for nutrient uptake</w:t>
      </w:r>
      <w:r w:rsidR="007B3B40" w:rsidRPr="008A0812">
        <w:t>.</w:t>
      </w:r>
      <w:r w:rsidR="000D2D44" w:rsidRPr="008A0812">
        <w:t xml:space="preserve"> </w:t>
      </w:r>
    </w:p>
    <w:p w14:paraId="3C277C6E" w14:textId="77777777" w:rsidR="00D97C1A" w:rsidRPr="008A0812" w:rsidRDefault="00D97C1A" w:rsidP="00D97C1A">
      <w:pPr>
        <w:pStyle w:val="Bullet"/>
      </w:pPr>
      <w:r w:rsidRPr="008A0812">
        <w:t xml:space="preserve">Be provided with a label or information sheet with the following information: </w:t>
      </w:r>
    </w:p>
    <w:p w14:paraId="32320759" w14:textId="56937CA4" w:rsidR="00D97C1A" w:rsidRPr="008A0812" w:rsidRDefault="00D97C1A" w:rsidP="00D97C1A">
      <w:pPr>
        <w:pStyle w:val="BulletIndent"/>
      </w:pPr>
      <w:r w:rsidRPr="008A0812">
        <w:t>Name and address of the person who prepared the biosolids</w:t>
      </w:r>
      <w:r w:rsidR="007B3B40" w:rsidRPr="008A0812">
        <w:t>.</w:t>
      </w:r>
      <w:r w:rsidR="000D2D44" w:rsidRPr="008A0812">
        <w:t xml:space="preserve"> </w:t>
      </w:r>
    </w:p>
    <w:p w14:paraId="66A54A1D" w14:textId="77777777" w:rsidR="00D97C1A" w:rsidRPr="008A0812" w:rsidRDefault="00D97C1A" w:rsidP="00D97C1A">
      <w:pPr>
        <w:pStyle w:val="BulletIndent"/>
      </w:pPr>
      <w:r w:rsidRPr="008A0812">
        <w:t xml:space="preserve">Statement that application of the biosolids to the land is prohibited except in accordance with the instructions on the label or information sheet. </w:t>
      </w:r>
    </w:p>
    <w:p w14:paraId="56AE01C9" w14:textId="7E3A3EE0" w:rsidR="00D97C1A" w:rsidRPr="008A0812" w:rsidRDefault="00D97C1A" w:rsidP="00D97C1A">
      <w:pPr>
        <w:pStyle w:val="BulletIndent"/>
      </w:pPr>
      <w:r w:rsidRPr="008A0812">
        <w:t>Statement of the annual whole sludge application rate for the biosolids that does not cause annual pollutant loading rates to be exceeded.</w:t>
      </w:r>
    </w:p>
    <w:p w14:paraId="1B8B243E" w14:textId="434AE007" w:rsidR="00D97C1A" w:rsidRPr="008A0812" w:rsidRDefault="00D97C1A" w:rsidP="00B06B95">
      <w:pPr>
        <w:pStyle w:val="Heading4"/>
      </w:pPr>
      <w:bookmarkStart w:id="423" w:name="_Toc41680885"/>
      <w:r w:rsidRPr="008A0812">
        <w:t>Pollutant Limits</w:t>
      </w:r>
      <w:bookmarkEnd w:id="423"/>
    </w:p>
    <w:p w14:paraId="708AAB69" w14:textId="00609D09" w:rsidR="00D97C1A" w:rsidRPr="008A0812" w:rsidRDefault="003A5EFD" w:rsidP="00D97C1A">
      <w:pPr>
        <w:pStyle w:val="BodyText"/>
      </w:pPr>
      <w:r w:rsidRPr="008A0812">
        <w:fldChar w:fldCharType="begin"/>
      </w:r>
      <w:r w:rsidRPr="008A0812">
        <w:instrText xml:space="preserve"> REF _Ref36399101 \h </w:instrText>
      </w:r>
      <w:r w:rsidR="008A0812">
        <w:instrText xml:space="preserve"> \* MERGEFORMAT </w:instrText>
      </w:r>
      <w:r w:rsidRPr="008A0812">
        <w:fldChar w:fldCharType="separate"/>
      </w:r>
      <w:r w:rsidR="00AA68F8" w:rsidRPr="008A0812">
        <w:t xml:space="preserve">Table </w:t>
      </w:r>
      <w:r w:rsidR="00AA68F8">
        <w:rPr>
          <w:noProof/>
        </w:rPr>
        <w:t>7</w:t>
      </w:r>
      <w:r w:rsidR="00AA68F8" w:rsidRPr="008A0812">
        <w:rPr>
          <w:noProof/>
        </w:rPr>
        <w:noBreakHyphen/>
      </w:r>
      <w:r w:rsidR="00AA68F8">
        <w:rPr>
          <w:noProof/>
        </w:rPr>
        <w:t>4</w:t>
      </w:r>
      <w:r w:rsidRPr="008A0812">
        <w:fldChar w:fldCharType="end"/>
      </w:r>
      <w:r w:rsidR="00D97C1A" w:rsidRPr="008A0812">
        <w:t xml:space="preserve"> summarizes the </w:t>
      </w:r>
      <w:r w:rsidR="003D3D18" w:rsidRPr="008A0812">
        <w:t xml:space="preserve">Part 503 </w:t>
      </w:r>
      <w:r w:rsidR="00D97C1A" w:rsidRPr="008A0812">
        <w:t xml:space="preserve">pollutant limits for biosolids applied to land. For biosolids meeting the pollutant concentration limits in </w:t>
      </w:r>
      <w:r w:rsidRPr="008A0812">
        <w:fldChar w:fldCharType="begin"/>
      </w:r>
      <w:r w:rsidRPr="008A0812">
        <w:instrText xml:space="preserve"> REF _Ref36399101 \h </w:instrText>
      </w:r>
      <w:r w:rsidR="008A0812">
        <w:instrText xml:space="preserve"> \* MERGEFORMAT </w:instrText>
      </w:r>
      <w:r w:rsidRPr="008A0812">
        <w:fldChar w:fldCharType="separate"/>
      </w:r>
      <w:r w:rsidR="00AA68F8" w:rsidRPr="008A0812">
        <w:t xml:space="preserve">Table </w:t>
      </w:r>
      <w:r w:rsidR="00AA68F8">
        <w:rPr>
          <w:noProof/>
        </w:rPr>
        <w:t>7</w:t>
      </w:r>
      <w:r w:rsidR="00AA68F8" w:rsidRPr="008A0812">
        <w:rPr>
          <w:noProof/>
        </w:rPr>
        <w:noBreakHyphen/>
      </w:r>
      <w:r w:rsidR="00AA68F8">
        <w:rPr>
          <w:noProof/>
        </w:rPr>
        <w:t>4</w:t>
      </w:r>
      <w:r w:rsidRPr="008A0812">
        <w:fldChar w:fldCharType="end"/>
      </w:r>
      <w:r w:rsidR="00D97C1A" w:rsidRPr="008A0812">
        <w:t>, land application is limited to the agronomic rate.</w:t>
      </w:r>
    </w:p>
    <w:p w14:paraId="1B9BCA6B" w14:textId="2FC8F0C8" w:rsidR="003A5EFD" w:rsidRPr="008A0812" w:rsidRDefault="003A5EFD" w:rsidP="003A5EFD">
      <w:pPr>
        <w:pStyle w:val="TableHeading"/>
      </w:pPr>
      <w:bookmarkStart w:id="424" w:name="_Ref36399101"/>
      <w:bookmarkStart w:id="425" w:name="_Toc36414082"/>
      <w:bookmarkStart w:id="426" w:name="_Toc41684770"/>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424"/>
      <w:r w:rsidRPr="008A0812">
        <w:t>: Part 503 Pollutant Limits for Biosolids Applied to Land</w:t>
      </w:r>
      <w:bookmarkEnd w:id="425"/>
      <w:bookmarkEnd w:id="426"/>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80"/>
        <w:gridCol w:w="1181"/>
        <w:gridCol w:w="1419"/>
        <w:gridCol w:w="2775"/>
        <w:gridCol w:w="2776"/>
      </w:tblGrid>
      <w:tr w:rsidR="00D97C1A" w:rsidRPr="008A0812" w14:paraId="0FF5A5BC" w14:textId="77777777" w:rsidTr="007B3B40">
        <w:tc>
          <w:tcPr>
            <w:tcW w:w="1180"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694E1E78" w14:textId="55AC1D98"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Pollutant</w:t>
            </w:r>
          </w:p>
        </w:tc>
        <w:tc>
          <w:tcPr>
            <w:tcW w:w="1181" w:type="dxa"/>
            <w:tcBorders>
              <w:top w:val="single" w:sz="6" w:space="0" w:color="auto"/>
              <w:left w:val="nil"/>
              <w:bottom w:val="single" w:sz="6" w:space="0" w:color="auto"/>
              <w:right w:val="single" w:sz="6" w:space="0" w:color="auto"/>
            </w:tcBorders>
            <w:shd w:val="clear" w:color="auto" w:fill="BFBFBF"/>
            <w:vAlign w:val="bottom"/>
            <w:hideMark/>
          </w:tcPr>
          <w:p w14:paraId="74F3CBB0" w14:textId="39D12ED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Ceiling Limits</w:t>
            </w:r>
          </w:p>
          <w:p w14:paraId="47DA26EF" w14:textId="28FF4C0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(mg/kg)</w:t>
            </w:r>
          </w:p>
        </w:tc>
        <w:tc>
          <w:tcPr>
            <w:tcW w:w="1419" w:type="dxa"/>
            <w:tcBorders>
              <w:top w:val="single" w:sz="6" w:space="0" w:color="auto"/>
              <w:left w:val="nil"/>
              <w:bottom w:val="single" w:sz="6" w:space="0" w:color="auto"/>
              <w:right w:val="single" w:sz="6" w:space="0" w:color="auto"/>
            </w:tcBorders>
            <w:shd w:val="clear" w:color="auto" w:fill="BFBFBF"/>
            <w:vAlign w:val="bottom"/>
            <w:hideMark/>
          </w:tcPr>
          <w:p w14:paraId="17146C61" w14:textId="1872464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Cumulative Pollutant Loading Rate</w:t>
            </w:r>
          </w:p>
          <w:p w14:paraId="058E78A5" w14:textId="72FE4E9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(kg/hectare)</w:t>
            </w:r>
          </w:p>
        </w:tc>
        <w:tc>
          <w:tcPr>
            <w:tcW w:w="2775" w:type="dxa"/>
            <w:tcBorders>
              <w:top w:val="single" w:sz="6" w:space="0" w:color="auto"/>
              <w:left w:val="nil"/>
              <w:bottom w:val="single" w:sz="6" w:space="0" w:color="auto"/>
              <w:right w:val="single" w:sz="6" w:space="0" w:color="auto"/>
            </w:tcBorders>
            <w:shd w:val="clear" w:color="auto" w:fill="BFBFBF"/>
            <w:vAlign w:val="bottom"/>
            <w:hideMark/>
          </w:tcPr>
          <w:p w14:paraId="45B6F648" w14:textId="49B83E69"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Pollutant Concentration Limits (mg/kg)</w:t>
            </w:r>
          </w:p>
        </w:tc>
        <w:tc>
          <w:tcPr>
            <w:tcW w:w="2776" w:type="dxa"/>
            <w:tcBorders>
              <w:top w:val="single" w:sz="6" w:space="0" w:color="auto"/>
              <w:left w:val="nil"/>
              <w:bottom w:val="single" w:sz="6" w:space="0" w:color="auto"/>
              <w:right w:val="single" w:sz="6" w:space="0" w:color="auto"/>
            </w:tcBorders>
            <w:shd w:val="clear" w:color="auto" w:fill="BFBFBF"/>
            <w:vAlign w:val="bottom"/>
            <w:hideMark/>
          </w:tcPr>
          <w:p w14:paraId="171305AB" w14:textId="5EB96658"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Annual Pollutant Loading Rate</w:t>
            </w:r>
          </w:p>
          <w:p w14:paraId="4FCD3EF9" w14:textId="09981E7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b/>
                <w:bCs/>
              </w:rPr>
              <w:t>(kg/ha-year)</w:t>
            </w:r>
          </w:p>
        </w:tc>
      </w:tr>
      <w:tr w:rsidR="00D97C1A" w:rsidRPr="008A0812" w14:paraId="371D29E4"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5DE3D784" w14:textId="75F6711E"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Arsenic</w:t>
            </w:r>
          </w:p>
        </w:tc>
        <w:tc>
          <w:tcPr>
            <w:tcW w:w="1181" w:type="dxa"/>
            <w:tcBorders>
              <w:top w:val="nil"/>
              <w:left w:val="nil"/>
              <w:bottom w:val="single" w:sz="6" w:space="0" w:color="auto"/>
              <w:right w:val="single" w:sz="6" w:space="0" w:color="auto"/>
            </w:tcBorders>
            <w:shd w:val="clear" w:color="auto" w:fill="auto"/>
            <w:vAlign w:val="center"/>
            <w:hideMark/>
          </w:tcPr>
          <w:p w14:paraId="08CFC1F7" w14:textId="5C235195"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75</w:t>
            </w:r>
          </w:p>
        </w:tc>
        <w:tc>
          <w:tcPr>
            <w:tcW w:w="1419" w:type="dxa"/>
            <w:tcBorders>
              <w:top w:val="nil"/>
              <w:left w:val="nil"/>
              <w:bottom w:val="single" w:sz="6" w:space="0" w:color="auto"/>
              <w:right w:val="single" w:sz="6" w:space="0" w:color="auto"/>
            </w:tcBorders>
            <w:shd w:val="clear" w:color="auto" w:fill="auto"/>
            <w:vAlign w:val="center"/>
            <w:hideMark/>
          </w:tcPr>
          <w:p w14:paraId="2550E07F" w14:textId="7BEE310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41</w:t>
            </w:r>
          </w:p>
        </w:tc>
        <w:tc>
          <w:tcPr>
            <w:tcW w:w="2775" w:type="dxa"/>
            <w:tcBorders>
              <w:top w:val="nil"/>
              <w:left w:val="nil"/>
              <w:bottom w:val="single" w:sz="6" w:space="0" w:color="auto"/>
              <w:right w:val="single" w:sz="6" w:space="0" w:color="auto"/>
            </w:tcBorders>
            <w:shd w:val="clear" w:color="auto" w:fill="auto"/>
            <w:hideMark/>
          </w:tcPr>
          <w:p w14:paraId="2AC131B8" w14:textId="3EF9D21F"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41</w:t>
            </w:r>
          </w:p>
        </w:tc>
        <w:tc>
          <w:tcPr>
            <w:tcW w:w="2776" w:type="dxa"/>
            <w:tcBorders>
              <w:top w:val="nil"/>
              <w:left w:val="nil"/>
              <w:bottom w:val="single" w:sz="6" w:space="0" w:color="auto"/>
              <w:right w:val="single" w:sz="6" w:space="0" w:color="auto"/>
            </w:tcBorders>
            <w:shd w:val="clear" w:color="auto" w:fill="auto"/>
            <w:vAlign w:val="center"/>
            <w:hideMark/>
          </w:tcPr>
          <w:p w14:paraId="509D218E" w14:textId="2BD6065D"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2.0</w:t>
            </w:r>
          </w:p>
        </w:tc>
      </w:tr>
      <w:tr w:rsidR="00D97C1A" w:rsidRPr="008A0812" w14:paraId="770408ED"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74DCD97B" w14:textId="67B318E1"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Cadmium</w:t>
            </w:r>
          </w:p>
        </w:tc>
        <w:tc>
          <w:tcPr>
            <w:tcW w:w="1181" w:type="dxa"/>
            <w:tcBorders>
              <w:top w:val="nil"/>
              <w:left w:val="nil"/>
              <w:bottom w:val="single" w:sz="6" w:space="0" w:color="auto"/>
              <w:right w:val="single" w:sz="6" w:space="0" w:color="auto"/>
            </w:tcBorders>
            <w:shd w:val="clear" w:color="auto" w:fill="auto"/>
            <w:vAlign w:val="center"/>
            <w:hideMark/>
          </w:tcPr>
          <w:p w14:paraId="579032BA" w14:textId="51FD9978"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85</w:t>
            </w:r>
          </w:p>
        </w:tc>
        <w:tc>
          <w:tcPr>
            <w:tcW w:w="1419" w:type="dxa"/>
            <w:tcBorders>
              <w:top w:val="nil"/>
              <w:left w:val="nil"/>
              <w:bottom w:val="single" w:sz="6" w:space="0" w:color="auto"/>
              <w:right w:val="single" w:sz="6" w:space="0" w:color="auto"/>
            </w:tcBorders>
            <w:shd w:val="clear" w:color="auto" w:fill="auto"/>
            <w:vAlign w:val="center"/>
            <w:hideMark/>
          </w:tcPr>
          <w:p w14:paraId="51F6EAE7" w14:textId="7BDB63B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39</w:t>
            </w:r>
          </w:p>
        </w:tc>
        <w:tc>
          <w:tcPr>
            <w:tcW w:w="2775" w:type="dxa"/>
            <w:tcBorders>
              <w:top w:val="nil"/>
              <w:left w:val="nil"/>
              <w:bottom w:val="single" w:sz="6" w:space="0" w:color="auto"/>
              <w:right w:val="single" w:sz="6" w:space="0" w:color="auto"/>
            </w:tcBorders>
            <w:shd w:val="clear" w:color="auto" w:fill="auto"/>
            <w:hideMark/>
          </w:tcPr>
          <w:p w14:paraId="089E77E3" w14:textId="10FEBB18"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39</w:t>
            </w:r>
          </w:p>
        </w:tc>
        <w:tc>
          <w:tcPr>
            <w:tcW w:w="2776" w:type="dxa"/>
            <w:tcBorders>
              <w:top w:val="nil"/>
              <w:left w:val="nil"/>
              <w:bottom w:val="single" w:sz="6" w:space="0" w:color="auto"/>
              <w:right w:val="single" w:sz="6" w:space="0" w:color="auto"/>
            </w:tcBorders>
            <w:shd w:val="clear" w:color="auto" w:fill="auto"/>
            <w:vAlign w:val="center"/>
            <w:hideMark/>
          </w:tcPr>
          <w:p w14:paraId="4269FC62" w14:textId="4CBEE1A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1.9</w:t>
            </w:r>
          </w:p>
        </w:tc>
      </w:tr>
      <w:tr w:rsidR="00D97C1A" w:rsidRPr="008A0812" w14:paraId="0BBDBE10"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70D75751" w14:textId="7610E913"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Copper</w:t>
            </w:r>
          </w:p>
        </w:tc>
        <w:tc>
          <w:tcPr>
            <w:tcW w:w="1181" w:type="dxa"/>
            <w:tcBorders>
              <w:top w:val="nil"/>
              <w:left w:val="nil"/>
              <w:bottom w:val="single" w:sz="6" w:space="0" w:color="auto"/>
              <w:right w:val="single" w:sz="6" w:space="0" w:color="auto"/>
            </w:tcBorders>
            <w:shd w:val="clear" w:color="auto" w:fill="auto"/>
            <w:vAlign w:val="center"/>
            <w:hideMark/>
          </w:tcPr>
          <w:p w14:paraId="103DBBEF" w14:textId="08F5705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4,300</w:t>
            </w:r>
          </w:p>
        </w:tc>
        <w:tc>
          <w:tcPr>
            <w:tcW w:w="1419" w:type="dxa"/>
            <w:tcBorders>
              <w:top w:val="nil"/>
              <w:left w:val="nil"/>
              <w:bottom w:val="single" w:sz="6" w:space="0" w:color="auto"/>
              <w:right w:val="single" w:sz="6" w:space="0" w:color="auto"/>
            </w:tcBorders>
            <w:shd w:val="clear" w:color="auto" w:fill="auto"/>
            <w:vAlign w:val="center"/>
            <w:hideMark/>
          </w:tcPr>
          <w:p w14:paraId="2B5F7CE4" w14:textId="2A8DF1C0"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1,500</w:t>
            </w:r>
          </w:p>
        </w:tc>
        <w:tc>
          <w:tcPr>
            <w:tcW w:w="2775" w:type="dxa"/>
            <w:tcBorders>
              <w:top w:val="nil"/>
              <w:left w:val="nil"/>
              <w:bottom w:val="single" w:sz="6" w:space="0" w:color="auto"/>
              <w:right w:val="single" w:sz="6" w:space="0" w:color="auto"/>
            </w:tcBorders>
            <w:shd w:val="clear" w:color="auto" w:fill="auto"/>
            <w:hideMark/>
          </w:tcPr>
          <w:p w14:paraId="09471218" w14:textId="175C344E"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1,500</w:t>
            </w:r>
          </w:p>
        </w:tc>
        <w:tc>
          <w:tcPr>
            <w:tcW w:w="2776" w:type="dxa"/>
            <w:tcBorders>
              <w:top w:val="nil"/>
              <w:left w:val="nil"/>
              <w:bottom w:val="single" w:sz="6" w:space="0" w:color="auto"/>
              <w:right w:val="single" w:sz="6" w:space="0" w:color="auto"/>
            </w:tcBorders>
            <w:shd w:val="clear" w:color="auto" w:fill="auto"/>
            <w:vAlign w:val="center"/>
            <w:hideMark/>
          </w:tcPr>
          <w:p w14:paraId="068DDF57" w14:textId="51E44CB0"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75</w:t>
            </w:r>
          </w:p>
        </w:tc>
      </w:tr>
      <w:tr w:rsidR="00D97C1A" w:rsidRPr="008A0812" w14:paraId="09249621"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09311ACC" w14:textId="01CA71E5"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Lead</w:t>
            </w:r>
          </w:p>
        </w:tc>
        <w:tc>
          <w:tcPr>
            <w:tcW w:w="1181" w:type="dxa"/>
            <w:tcBorders>
              <w:top w:val="nil"/>
              <w:left w:val="nil"/>
              <w:bottom w:val="single" w:sz="6" w:space="0" w:color="auto"/>
              <w:right w:val="single" w:sz="6" w:space="0" w:color="auto"/>
            </w:tcBorders>
            <w:shd w:val="clear" w:color="auto" w:fill="auto"/>
            <w:vAlign w:val="center"/>
            <w:hideMark/>
          </w:tcPr>
          <w:p w14:paraId="3BDDB351" w14:textId="4AE40BC7"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840</w:t>
            </w:r>
          </w:p>
        </w:tc>
        <w:tc>
          <w:tcPr>
            <w:tcW w:w="1419" w:type="dxa"/>
            <w:tcBorders>
              <w:top w:val="nil"/>
              <w:left w:val="nil"/>
              <w:bottom w:val="single" w:sz="6" w:space="0" w:color="auto"/>
              <w:right w:val="single" w:sz="6" w:space="0" w:color="auto"/>
            </w:tcBorders>
            <w:shd w:val="clear" w:color="auto" w:fill="auto"/>
            <w:vAlign w:val="center"/>
            <w:hideMark/>
          </w:tcPr>
          <w:p w14:paraId="4334EE89" w14:textId="22800D1F"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300</w:t>
            </w:r>
          </w:p>
        </w:tc>
        <w:tc>
          <w:tcPr>
            <w:tcW w:w="2775" w:type="dxa"/>
            <w:tcBorders>
              <w:top w:val="nil"/>
              <w:left w:val="nil"/>
              <w:bottom w:val="single" w:sz="6" w:space="0" w:color="auto"/>
              <w:right w:val="single" w:sz="6" w:space="0" w:color="auto"/>
            </w:tcBorders>
            <w:shd w:val="clear" w:color="auto" w:fill="auto"/>
            <w:hideMark/>
          </w:tcPr>
          <w:p w14:paraId="60AFDBE1" w14:textId="474F4ABC"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300</w:t>
            </w:r>
          </w:p>
        </w:tc>
        <w:tc>
          <w:tcPr>
            <w:tcW w:w="2776" w:type="dxa"/>
            <w:tcBorders>
              <w:top w:val="nil"/>
              <w:left w:val="nil"/>
              <w:bottom w:val="single" w:sz="6" w:space="0" w:color="auto"/>
              <w:right w:val="single" w:sz="6" w:space="0" w:color="auto"/>
            </w:tcBorders>
            <w:shd w:val="clear" w:color="auto" w:fill="auto"/>
            <w:vAlign w:val="center"/>
            <w:hideMark/>
          </w:tcPr>
          <w:p w14:paraId="559325F9" w14:textId="3E5EE789"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15</w:t>
            </w:r>
          </w:p>
        </w:tc>
      </w:tr>
      <w:tr w:rsidR="00D97C1A" w:rsidRPr="008A0812" w14:paraId="60782802"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5BA02D34" w14:textId="4E80188F"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Mercury</w:t>
            </w:r>
          </w:p>
        </w:tc>
        <w:tc>
          <w:tcPr>
            <w:tcW w:w="1181" w:type="dxa"/>
            <w:tcBorders>
              <w:top w:val="nil"/>
              <w:left w:val="nil"/>
              <w:bottom w:val="single" w:sz="6" w:space="0" w:color="auto"/>
              <w:right w:val="single" w:sz="6" w:space="0" w:color="auto"/>
            </w:tcBorders>
            <w:shd w:val="clear" w:color="auto" w:fill="auto"/>
            <w:vAlign w:val="center"/>
            <w:hideMark/>
          </w:tcPr>
          <w:p w14:paraId="2AF30D17" w14:textId="29A4BE6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57</w:t>
            </w:r>
          </w:p>
        </w:tc>
        <w:tc>
          <w:tcPr>
            <w:tcW w:w="1419" w:type="dxa"/>
            <w:tcBorders>
              <w:top w:val="nil"/>
              <w:left w:val="nil"/>
              <w:bottom w:val="single" w:sz="6" w:space="0" w:color="auto"/>
              <w:right w:val="single" w:sz="6" w:space="0" w:color="auto"/>
            </w:tcBorders>
            <w:shd w:val="clear" w:color="auto" w:fill="auto"/>
            <w:vAlign w:val="center"/>
            <w:hideMark/>
          </w:tcPr>
          <w:p w14:paraId="494A0618" w14:textId="258424D9"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17</w:t>
            </w:r>
          </w:p>
        </w:tc>
        <w:tc>
          <w:tcPr>
            <w:tcW w:w="2775" w:type="dxa"/>
            <w:tcBorders>
              <w:top w:val="nil"/>
              <w:left w:val="nil"/>
              <w:bottom w:val="single" w:sz="6" w:space="0" w:color="auto"/>
              <w:right w:val="single" w:sz="6" w:space="0" w:color="auto"/>
            </w:tcBorders>
            <w:shd w:val="clear" w:color="auto" w:fill="auto"/>
            <w:hideMark/>
          </w:tcPr>
          <w:p w14:paraId="37D89F49" w14:textId="47F2E331"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17</w:t>
            </w:r>
          </w:p>
        </w:tc>
        <w:tc>
          <w:tcPr>
            <w:tcW w:w="2776" w:type="dxa"/>
            <w:tcBorders>
              <w:top w:val="nil"/>
              <w:left w:val="nil"/>
              <w:bottom w:val="single" w:sz="6" w:space="0" w:color="auto"/>
              <w:right w:val="single" w:sz="6" w:space="0" w:color="auto"/>
            </w:tcBorders>
            <w:shd w:val="clear" w:color="auto" w:fill="auto"/>
            <w:vAlign w:val="center"/>
            <w:hideMark/>
          </w:tcPr>
          <w:p w14:paraId="0C6381D3" w14:textId="59E54650"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0.85</w:t>
            </w:r>
          </w:p>
        </w:tc>
      </w:tr>
      <w:tr w:rsidR="00D97C1A" w:rsidRPr="008A0812" w14:paraId="5FE4C433"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7CA3C2F1" w14:textId="334B76E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Molybdenum</w:t>
            </w:r>
          </w:p>
        </w:tc>
        <w:tc>
          <w:tcPr>
            <w:tcW w:w="1181" w:type="dxa"/>
            <w:tcBorders>
              <w:top w:val="nil"/>
              <w:left w:val="nil"/>
              <w:bottom w:val="single" w:sz="6" w:space="0" w:color="auto"/>
              <w:right w:val="single" w:sz="6" w:space="0" w:color="auto"/>
            </w:tcBorders>
            <w:shd w:val="clear" w:color="auto" w:fill="auto"/>
            <w:vAlign w:val="center"/>
            <w:hideMark/>
          </w:tcPr>
          <w:p w14:paraId="317A9F2C" w14:textId="3028C7CA"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75</w:t>
            </w:r>
          </w:p>
        </w:tc>
        <w:tc>
          <w:tcPr>
            <w:tcW w:w="1419" w:type="dxa"/>
            <w:tcBorders>
              <w:top w:val="nil"/>
              <w:left w:val="nil"/>
              <w:bottom w:val="single" w:sz="6" w:space="0" w:color="auto"/>
              <w:right w:val="single" w:sz="6" w:space="0" w:color="auto"/>
            </w:tcBorders>
            <w:shd w:val="clear" w:color="auto" w:fill="auto"/>
            <w:vAlign w:val="center"/>
            <w:hideMark/>
          </w:tcPr>
          <w:p w14:paraId="48392C22" w14:textId="5986505A"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w:t>
            </w:r>
          </w:p>
        </w:tc>
        <w:tc>
          <w:tcPr>
            <w:tcW w:w="2775" w:type="dxa"/>
            <w:tcBorders>
              <w:top w:val="nil"/>
              <w:left w:val="nil"/>
              <w:bottom w:val="single" w:sz="6" w:space="0" w:color="auto"/>
              <w:right w:val="single" w:sz="6" w:space="0" w:color="auto"/>
            </w:tcBorders>
            <w:shd w:val="clear" w:color="auto" w:fill="auto"/>
            <w:hideMark/>
          </w:tcPr>
          <w:p w14:paraId="545EE353" w14:textId="4C02A0EC"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w:t>
            </w:r>
          </w:p>
        </w:tc>
        <w:tc>
          <w:tcPr>
            <w:tcW w:w="2776" w:type="dxa"/>
            <w:tcBorders>
              <w:top w:val="nil"/>
              <w:left w:val="nil"/>
              <w:bottom w:val="single" w:sz="6" w:space="0" w:color="auto"/>
              <w:right w:val="single" w:sz="6" w:space="0" w:color="auto"/>
            </w:tcBorders>
            <w:shd w:val="clear" w:color="auto" w:fill="auto"/>
            <w:vAlign w:val="center"/>
            <w:hideMark/>
          </w:tcPr>
          <w:p w14:paraId="5743D239" w14:textId="4BC75935"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w:t>
            </w:r>
          </w:p>
        </w:tc>
      </w:tr>
      <w:tr w:rsidR="00D97C1A" w:rsidRPr="008A0812" w14:paraId="0822C08F"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6647BD27" w14:textId="711CEAAF"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Nickel</w:t>
            </w:r>
          </w:p>
        </w:tc>
        <w:tc>
          <w:tcPr>
            <w:tcW w:w="1181" w:type="dxa"/>
            <w:tcBorders>
              <w:top w:val="nil"/>
              <w:left w:val="nil"/>
              <w:bottom w:val="single" w:sz="6" w:space="0" w:color="auto"/>
              <w:right w:val="single" w:sz="6" w:space="0" w:color="auto"/>
            </w:tcBorders>
            <w:shd w:val="clear" w:color="auto" w:fill="auto"/>
            <w:vAlign w:val="center"/>
            <w:hideMark/>
          </w:tcPr>
          <w:p w14:paraId="69307F32" w14:textId="27855279"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420</w:t>
            </w:r>
          </w:p>
        </w:tc>
        <w:tc>
          <w:tcPr>
            <w:tcW w:w="1419" w:type="dxa"/>
            <w:tcBorders>
              <w:top w:val="nil"/>
              <w:left w:val="nil"/>
              <w:bottom w:val="single" w:sz="6" w:space="0" w:color="auto"/>
              <w:right w:val="single" w:sz="6" w:space="0" w:color="auto"/>
            </w:tcBorders>
            <w:shd w:val="clear" w:color="auto" w:fill="auto"/>
            <w:vAlign w:val="center"/>
            <w:hideMark/>
          </w:tcPr>
          <w:p w14:paraId="048C8EF0" w14:textId="10C57D6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420</w:t>
            </w:r>
          </w:p>
        </w:tc>
        <w:tc>
          <w:tcPr>
            <w:tcW w:w="2775" w:type="dxa"/>
            <w:tcBorders>
              <w:top w:val="nil"/>
              <w:left w:val="nil"/>
              <w:bottom w:val="single" w:sz="6" w:space="0" w:color="auto"/>
              <w:right w:val="single" w:sz="6" w:space="0" w:color="auto"/>
            </w:tcBorders>
            <w:shd w:val="clear" w:color="auto" w:fill="auto"/>
            <w:hideMark/>
          </w:tcPr>
          <w:p w14:paraId="1F5444A3" w14:textId="1BE45A93"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420</w:t>
            </w:r>
          </w:p>
        </w:tc>
        <w:tc>
          <w:tcPr>
            <w:tcW w:w="2776" w:type="dxa"/>
            <w:tcBorders>
              <w:top w:val="nil"/>
              <w:left w:val="nil"/>
              <w:bottom w:val="single" w:sz="6" w:space="0" w:color="auto"/>
              <w:right w:val="single" w:sz="6" w:space="0" w:color="auto"/>
            </w:tcBorders>
            <w:shd w:val="clear" w:color="auto" w:fill="auto"/>
            <w:vAlign w:val="center"/>
            <w:hideMark/>
          </w:tcPr>
          <w:p w14:paraId="7ED9E492" w14:textId="7BB33681"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21</w:t>
            </w:r>
          </w:p>
        </w:tc>
      </w:tr>
      <w:tr w:rsidR="00D97C1A" w:rsidRPr="008A0812" w14:paraId="65B8F86F"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3841E9D1" w14:textId="7D641DF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Selenium</w:t>
            </w:r>
          </w:p>
        </w:tc>
        <w:tc>
          <w:tcPr>
            <w:tcW w:w="1181" w:type="dxa"/>
            <w:tcBorders>
              <w:top w:val="nil"/>
              <w:left w:val="nil"/>
              <w:bottom w:val="single" w:sz="6" w:space="0" w:color="auto"/>
              <w:right w:val="single" w:sz="6" w:space="0" w:color="auto"/>
            </w:tcBorders>
            <w:shd w:val="clear" w:color="auto" w:fill="auto"/>
            <w:vAlign w:val="center"/>
            <w:hideMark/>
          </w:tcPr>
          <w:p w14:paraId="53B3D5C9" w14:textId="40B9A760"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100</w:t>
            </w:r>
          </w:p>
        </w:tc>
        <w:tc>
          <w:tcPr>
            <w:tcW w:w="1419" w:type="dxa"/>
            <w:tcBorders>
              <w:top w:val="nil"/>
              <w:left w:val="nil"/>
              <w:bottom w:val="single" w:sz="6" w:space="0" w:color="auto"/>
              <w:right w:val="single" w:sz="6" w:space="0" w:color="auto"/>
            </w:tcBorders>
            <w:shd w:val="clear" w:color="auto" w:fill="auto"/>
            <w:vAlign w:val="center"/>
            <w:hideMark/>
          </w:tcPr>
          <w:p w14:paraId="351D5836" w14:textId="03682000"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100</w:t>
            </w:r>
          </w:p>
        </w:tc>
        <w:tc>
          <w:tcPr>
            <w:tcW w:w="2775" w:type="dxa"/>
            <w:tcBorders>
              <w:top w:val="nil"/>
              <w:left w:val="nil"/>
              <w:bottom w:val="single" w:sz="6" w:space="0" w:color="auto"/>
              <w:right w:val="single" w:sz="6" w:space="0" w:color="auto"/>
            </w:tcBorders>
            <w:shd w:val="clear" w:color="auto" w:fill="auto"/>
            <w:hideMark/>
          </w:tcPr>
          <w:p w14:paraId="41CDE170" w14:textId="22736EE7"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100</w:t>
            </w:r>
          </w:p>
        </w:tc>
        <w:tc>
          <w:tcPr>
            <w:tcW w:w="2776" w:type="dxa"/>
            <w:tcBorders>
              <w:top w:val="nil"/>
              <w:left w:val="nil"/>
              <w:bottom w:val="single" w:sz="6" w:space="0" w:color="auto"/>
              <w:right w:val="single" w:sz="6" w:space="0" w:color="auto"/>
            </w:tcBorders>
            <w:shd w:val="clear" w:color="auto" w:fill="auto"/>
            <w:vAlign w:val="center"/>
            <w:hideMark/>
          </w:tcPr>
          <w:p w14:paraId="124E6D04" w14:textId="253EDCAA"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5.0</w:t>
            </w:r>
          </w:p>
        </w:tc>
      </w:tr>
      <w:tr w:rsidR="00D97C1A" w:rsidRPr="008A0812" w14:paraId="335E42B7"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041FAD31" w14:textId="04DE0684"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Zinc</w:t>
            </w:r>
          </w:p>
        </w:tc>
        <w:tc>
          <w:tcPr>
            <w:tcW w:w="1181" w:type="dxa"/>
            <w:tcBorders>
              <w:top w:val="nil"/>
              <w:left w:val="nil"/>
              <w:bottom w:val="single" w:sz="6" w:space="0" w:color="auto"/>
              <w:right w:val="single" w:sz="6" w:space="0" w:color="auto"/>
            </w:tcBorders>
            <w:shd w:val="clear" w:color="auto" w:fill="auto"/>
            <w:vAlign w:val="center"/>
            <w:hideMark/>
          </w:tcPr>
          <w:p w14:paraId="4E43F5BC" w14:textId="2D56E94A"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7,500</w:t>
            </w:r>
          </w:p>
        </w:tc>
        <w:tc>
          <w:tcPr>
            <w:tcW w:w="1419" w:type="dxa"/>
            <w:tcBorders>
              <w:top w:val="nil"/>
              <w:left w:val="nil"/>
              <w:bottom w:val="single" w:sz="6" w:space="0" w:color="auto"/>
              <w:right w:val="single" w:sz="6" w:space="0" w:color="auto"/>
            </w:tcBorders>
            <w:shd w:val="clear" w:color="auto" w:fill="auto"/>
            <w:vAlign w:val="center"/>
            <w:hideMark/>
          </w:tcPr>
          <w:p w14:paraId="20370B56" w14:textId="4CA05C18"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2,800</w:t>
            </w:r>
          </w:p>
        </w:tc>
        <w:tc>
          <w:tcPr>
            <w:tcW w:w="2775" w:type="dxa"/>
            <w:tcBorders>
              <w:top w:val="nil"/>
              <w:left w:val="nil"/>
              <w:bottom w:val="single" w:sz="6" w:space="0" w:color="auto"/>
              <w:right w:val="single" w:sz="6" w:space="0" w:color="auto"/>
            </w:tcBorders>
            <w:shd w:val="clear" w:color="auto" w:fill="auto"/>
            <w:hideMark/>
          </w:tcPr>
          <w:p w14:paraId="7ABA9424" w14:textId="417261EB"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2,800</w:t>
            </w:r>
          </w:p>
        </w:tc>
        <w:tc>
          <w:tcPr>
            <w:tcW w:w="2776" w:type="dxa"/>
            <w:tcBorders>
              <w:top w:val="nil"/>
              <w:left w:val="nil"/>
              <w:bottom w:val="single" w:sz="6" w:space="0" w:color="auto"/>
              <w:right w:val="single" w:sz="6" w:space="0" w:color="auto"/>
            </w:tcBorders>
            <w:shd w:val="clear" w:color="auto" w:fill="auto"/>
            <w:vAlign w:val="center"/>
            <w:hideMark/>
          </w:tcPr>
          <w:p w14:paraId="62D2283B" w14:textId="77A42B83"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rPr>
              <w:t>140</w:t>
            </w:r>
          </w:p>
        </w:tc>
      </w:tr>
      <w:tr w:rsidR="00D97C1A" w:rsidRPr="008A0812" w14:paraId="5C24138B" w14:textId="77777777" w:rsidTr="007B3B40">
        <w:tc>
          <w:tcPr>
            <w:tcW w:w="1180" w:type="dxa"/>
            <w:tcBorders>
              <w:top w:val="nil"/>
              <w:left w:val="single" w:sz="6" w:space="0" w:color="auto"/>
              <w:bottom w:val="single" w:sz="6" w:space="0" w:color="auto"/>
              <w:right w:val="single" w:sz="6" w:space="0" w:color="auto"/>
            </w:tcBorders>
            <w:shd w:val="clear" w:color="auto" w:fill="auto"/>
            <w:vAlign w:val="center"/>
            <w:hideMark/>
          </w:tcPr>
          <w:p w14:paraId="423233CF" w14:textId="54ACA695"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i/>
                <w:iCs/>
              </w:rPr>
              <w:t>Applies to:</w:t>
            </w:r>
          </w:p>
        </w:tc>
        <w:tc>
          <w:tcPr>
            <w:tcW w:w="1181" w:type="dxa"/>
            <w:tcBorders>
              <w:top w:val="nil"/>
              <w:left w:val="nil"/>
              <w:bottom w:val="single" w:sz="6" w:space="0" w:color="auto"/>
              <w:right w:val="single" w:sz="6" w:space="0" w:color="auto"/>
            </w:tcBorders>
            <w:shd w:val="clear" w:color="auto" w:fill="auto"/>
            <w:vAlign w:val="center"/>
            <w:hideMark/>
          </w:tcPr>
          <w:p w14:paraId="1AFA5110" w14:textId="39E8F93F"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i/>
                <w:iCs/>
              </w:rPr>
              <w:t>Biosolids that are land</w:t>
            </w:r>
            <w:r w:rsidR="007B3B40" w:rsidRPr="008A0812">
              <w:rPr>
                <w:rFonts w:cs="Segoe UI"/>
                <w:i/>
                <w:iCs/>
              </w:rPr>
              <w:t>-</w:t>
            </w:r>
            <w:r w:rsidRPr="008A0812">
              <w:rPr>
                <w:rFonts w:cs="Segoe UI"/>
                <w:i/>
                <w:iCs/>
              </w:rPr>
              <w:t>applied</w:t>
            </w:r>
          </w:p>
        </w:tc>
        <w:tc>
          <w:tcPr>
            <w:tcW w:w="1419" w:type="dxa"/>
            <w:tcBorders>
              <w:top w:val="nil"/>
              <w:left w:val="nil"/>
              <w:bottom w:val="single" w:sz="6" w:space="0" w:color="auto"/>
              <w:right w:val="single" w:sz="6" w:space="0" w:color="auto"/>
            </w:tcBorders>
            <w:shd w:val="clear" w:color="auto" w:fill="auto"/>
            <w:vAlign w:val="center"/>
            <w:hideMark/>
          </w:tcPr>
          <w:p w14:paraId="10048385" w14:textId="214ECB11"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i/>
                <w:iCs/>
              </w:rPr>
              <w:t>Bulk biosolids</w:t>
            </w:r>
          </w:p>
        </w:tc>
        <w:tc>
          <w:tcPr>
            <w:tcW w:w="2775" w:type="dxa"/>
            <w:tcBorders>
              <w:top w:val="nil"/>
              <w:left w:val="nil"/>
              <w:bottom w:val="single" w:sz="6" w:space="0" w:color="auto"/>
              <w:right w:val="single" w:sz="6" w:space="0" w:color="auto"/>
            </w:tcBorders>
            <w:shd w:val="clear" w:color="auto" w:fill="auto"/>
            <w:vAlign w:val="center"/>
            <w:hideMark/>
          </w:tcPr>
          <w:p w14:paraId="18363B58" w14:textId="6B192A9A" w:rsidR="00D97C1A" w:rsidRPr="008A0812" w:rsidRDefault="00965656" w:rsidP="00D97C1A">
            <w:pPr>
              <w:overflowPunct/>
              <w:autoSpaceDE/>
              <w:autoSpaceDN/>
              <w:adjustRightInd/>
              <w:jc w:val="center"/>
              <w:rPr>
                <w:rFonts w:ascii="Segoe UI" w:hAnsi="Segoe UI" w:cs="Segoe UI"/>
                <w:sz w:val="18"/>
                <w:szCs w:val="18"/>
              </w:rPr>
            </w:pPr>
            <w:r w:rsidRPr="008A0812">
              <w:rPr>
                <w:rFonts w:cs="Segoe UI"/>
                <w:i/>
                <w:iCs/>
              </w:rPr>
              <w:t xml:space="preserve">Bulk and bagged </w:t>
            </w:r>
            <w:r w:rsidR="00D97C1A" w:rsidRPr="008A0812">
              <w:rPr>
                <w:rFonts w:cs="Segoe UI"/>
                <w:i/>
                <w:iCs/>
              </w:rPr>
              <w:t xml:space="preserve">biosolids regulated under Exceptional Quality (EQ) or Pollutant Concentration (PC) </w:t>
            </w:r>
            <w:r w:rsidRPr="008A0812">
              <w:rPr>
                <w:rFonts w:cs="Segoe UI"/>
                <w:i/>
                <w:iCs/>
              </w:rPr>
              <w:t>o</w:t>
            </w:r>
            <w:r w:rsidR="00D97C1A" w:rsidRPr="008A0812">
              <w:rPr>
                <w:rFonts w:cs="Segoe UI"/>
                <w:i/>
                <w:iCs/>
              </w:rPr>
              <w:t>ptions</w:t>
            </w:r>
          </w:p>
        </w:tc>
        <w:tc>
          <w:tcPr>
            <w:tcW w:w="2776" w:type="dxa"/>
            <w:tcBorders>
              <w:top w:val="nil"/>
              <w:left w:val="nil"/>
              <w:bottom w:val="single" w:sz="6" w:space="0" w:color="auto"/>
              <w:right w:val="single" w:sz="6" w:space="0" w:color="auto"/>
            </w:tcBorders>
            <w:shd w:val="clear" w:color="auto" w:fill="auto"/>
            <w:vAlign w:val="center"/>
            <w:hideMark/>
          </w:tcPr>
          <w:p w14:paraId="738F5105" w14:textId="702644E9" w:rsidR="00D97C1A" w:rsidRPr="008A0812" w:rsidRDefault="00D97C1A" w:rsidP="00D97C1A">
            <w:pPr>
              <w:overflowPunct/>
              <w:autoSpaceDE/>
              <w:autoSpaceDN/>
              <w:adjustRightInd/>
              <w:jc w:val="center"/>
              <w:rPr>
                <w:rFonts w:ascii="Segoe UI" w:hAnsi="Segoe UI" w:cs="Segoe UI"/>
                <w:sz w:val="18"/>
                <w:szCs w:val="18"/>
              </w:rPr>
            </w:pPr>
            <w:r w:rsidRPr="008A0812">
              <w:rPr>
                <w:rFonts w:cs="Segoe UI"/>
                <w:i/>
                <w:iCs/>
              </w:rPr>
              <w:t>Bagged biosolids</w:t>
            </w:r>
          </w:p>
        </w:tc>
      </w:tr>
    </w:tbl>
    <w:p w14:paraId="55B8A086" w14:textId="053B0C7E" w:rsidR="00D97C1A" w:rsidRPr="008A0812" w:rsidRDefault="00407257" w:rsidP="00DB34D1">
      <w:pPr>
        <w:pStyle w:val="Heading4"/>
      </w:pPr>
      <w:bookmarkStart w:id="427" w:name="_Toc41680886"/>
      <w:r w:rsidRPr="008A0812">
        <w:t>Pathogen Reduction Requirements</w:t>
      </w:r>
      <w:bookmarkEnd w:id="427"/>
    </w:p>
    <w:p w14:paraId="2A4099D6" w14:textId="000519E2" w:rsidR="00407257" w:rsidRPr="008A0812" w:rsidRDefault="00407257" w:rsidP="00407257">
      <w:pPr>
        <w:pStyle w:val="BodyText"/>
      </w:pPr>
      <w:r w:rsidRPr="008A0812">
        <w:t>The 503 Rule defines two classes of biosolids: Class A, in which the pathogens are reduced below detectable levels and are available for use; and Class B, where the presence of reduced levels of pathogens requires site restrictions and management practices to protect against pathogen exposure. Class B site restrictions include limits on public access, crop harvesting, and animal grazing.</w:t>
      </w:r>
      <w:r w:rsidR="000D2D44" w:rsidRPr="008A0812">
        <w:t xml:space="preserve"> </w:t>
      </w:r>
    </w:p>
    <w:p w14:paraId="31370075" w14:textId="34355968" w:rsidR="00407257" w:rsidRPr="008A0812" w:rsidRDefault="00407257" w:rsidP="00407257">
      <w:pPr>
        <w:pStyle w:val="BodyText"/>
      </w:pPr>
      <w:r w:rsidRPr="008A0812">
        <w:t xml:space="preserve">To produce Class A or B biosolids, one of the six alternatives for pathogen reduction listed in </w:t>
      </w:r>
      <w:r w:rsidR="003A5EFD" w:rsidRPr="008A0812">
        <w:fldChar w:fldCharType="begin"/>
      </w:r>
      <w:r w:rsidR="003A5EFD" w:rsidRPr="008A0812">
        <w:instrText xml:space="preserve"> REF _Ref36399132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5</w:t>
      </w:r>
      <w:r w:rsidR="003A5EFD" w:rsidRPr="008A0812">
        <w:fldChar w:fldCharType="end"/>
      </w:r>
      <w:r w:rsidRPr="008A0812">
        <w:t xml:space="preserve"> must be met in addition to meeting the requirements for fecal coliform or Salmonella bacteria levels.</w:t>
      </w:r>
    </w:p>
    <w:p w14:paraId="1634902C" w14:textId="38BEA452" w:rsidR="003A5EFD" w:rsidRPr="008A0812" w:rsidRDefault="003A5EFD" w:rsidP="003A5EFD">
      <w:pPr>
        <w:pStyle w:val="TableHeading"/>
      </w:pPr>
      <w:bookmarkStart w:id="428" w:name="_Ref36399132"/>
      <w:bookmarkStart w:id="429" w:name="_Toc36414083"/>
      <w:bookmarkStart w:id="430" w:name="_Toc41684771"/>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428"/>
      <w:r w:rsidRPr="008A0812">
        <w:t>: Alternatives for Pathogen Reduction</w:t>
      </w:r>
      <w:bookmarkEnd w:id="429"/>
      <w:bookmarkEnd w:id="430"/>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40"/>
        <w:gridCol w:w="4260"/>
        <w:gridCol w:w="3930"/>
      </w:tblGrid>
      <w:tr w:rsidR="00407257" w:rsidRPr="008A0812" w14:paraId="2B217C20" w14:textId="77777777" w:rsidTr="003A5EFD">
        <w:tc>
          <w:tcPr>
            <w:tcW w:w="1140" w:type="dxa"/>
            <w:tcBorders>
              <w:top w:val="single" w:sz="6" w:space="0" w:color="auto"/>
              <w:left w:val="single" w:sz="6" w:space="0" w:color="auto"/>
              <w:bottom w:val="single" w:sz="6" w:space="0" w:color="auto"/>
              <w:right w:val="single" w:sz="6" w:space="0" w:color="auto"/>
            </w:tcBorders>
            <w:shd w:val="clear" w:color="auto" w:fill="BFBFBF"/>
            <w:hideMark/>
          </w:tcPr>
          <w:p w14:paraId="028D86FB" w14:textId="3051A0D5" w:rsidR="00407257" w:rsidRPr="008A0812" w:rsidRDefault="00407257" w:rsidP="007B3B40">
            <w:pPr>
              <w:keepNext/>
              <w:overflowPunct/>
              <w:autoSpaceDE/>
              <w:autoSpaceDN/>
              <w:adjustRightInd/>
              <w:jc w:val="center"/>
              <w:rPr>
                <w:rFonts w:ascii="Segoe UI" w:hAnsi="Segoe UI" w:cs="Segoe UI"/>
                <w:sz w:val="18"/>
                <w:szCs w:val="18"/>
              </w:rPr>
            </w:pPr>
            <w:r w:rsidRPr="008A0812">
              <w:rPr>
                <w:rFonts w:cs="Segoe UI"/>
                <w:b/>
                <w:bCs/>
              </w:rPr>
              <w:t>Alternative</w:t>
            </w:r>
          </w:p>
        </w:tc>
        <w:tc>
          <w:tcPr>
            <w:tcW w:w="4260" w:type="dxa"/>
            <w:tcBorders>
              <w:top w:val="single" w:sz="6" w:space="0" w:color="auto"/>
              <w:left w:val="nil"/>
              <w:bottom w:val="single" w:sz="6" w:space="0" w:color="auto"/>
              <w:right w:val="single" w:sz="6" w:space="0" w:color="auto"/>
            </w:tcBorders>
            <w:shd w:val="clear" w:color="auto" w:fill="BFBFBF"/>
            <w:hideMark/>
          </w:tcPr>
          <w:p w14:paraId="0A8003C2" w14:textId="6192F94F" w:rsidR="00407257" w:rsidRPr="008A0812" w:rsidRDefault="00407257" w:rsidP="007B3B40">
            <w:pPr>
              <w:keepNext/>
              <w:overflowPunct/>
              <w:autoSpaceDE/>
              <w:autoSpaceDN/>
              <w:adjustRightInd/>
              <w:jc w:val="center"/>
              <w:rPr>
                <w:rFonts w:ascii="Segoe UI" w:hAnsi="Segoe UI" w:cs="Segoe UI"/>
                <w:sz w:val="18"/>
                <w:szCs w:val="18"/>
              </w:rPr>
            </w:pPr>
            <w:r w:rsidRPr="008A0812">
              <w:rPr>
                <w:rFonts w:cs="Segoe UI"/>
                <w:b/>
                <w:bCs/>
              </w:rPr>
              <w:t>Class A Biosolids</w:t>
            </w:r>
          </w:p>
        </w:tc>
        <w:tc>
          <w:tcPr>
            <w:tcW w:w="3930" w:type="dxa"/>
            <w:tcBorders>
              <w:top w:val="single" w:sz="6" w:space="0" w:color="auto"/>
              <w:left w:val="nil"/>
              <w:bottom w:val="single" w:sz="6" w:space="0" w:color="auto"/>
              <w:right w:val="single" w:sz="6" w:space="0" w:color="auto"/>
            </w:tcBorders>
            <w:shd w:val="clear" w:color="auto" w:fill="BFBFBF"/>
            <w:vAlign w:val="center"/>
            <w:hideMark/>
          </w:tcPr>
          <w:p w14:paraId="6C1CE246" w14:textId="5E732875" w:rsidR="00407257" w:rsidRPr="008A0812" w:rsidRDefault="00407257" w:rsidP="007B3B40">
            <w:pPr>
              <w:keepNext/>
              <w:overflowPunct/>
              <w:autoSpaceDE/>
              <w:autoSpaceDN/>
              <w:adjustRightInd/>
              <w:jc w:val="center"/>
              <w:rPr>
                <w:rFonts w:ascii="Segoe UI" w:hAnsi="Segoe UI" w:cs="Segoe UI"/>
                <w:sz w:val="18"/>
                <w:szCs w:val="18"/>
              </w:rPr>
            </w:pPr>
            <w:r w:rsidRPr="008A0812">
              <w:rPr>
                <w:rFonts w:cs="Segoe UI"/>
                <w:b/>
                <w:bCs/>
              </w:rPr>
              <w:t>Class B Biosolids</w:t>
            </w:r>
          </w:p>
        </w:tc>
      </w:tr>
      <w:tr w:rsidR="00407257" w:rsidRPr="008A0812" w14:paraId="03F66EF2"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3EA3A720" w14:textId="4693EB5D"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1</w:t>
            </w:r>
          </w:p>
        </w:tc>
        <w:tc>
          <w:tcPr>
            <w:tcW w:w="4260" w:type="dxa"/>
            <w:tcBorders>
              <w:top w:val="nil"/>
              <w:left w:val="nil"/>
              <w:bottom w:val="single" w:sz="6" w:space="0" w:color="auto"/>
              <w:right w:val="single" w:sz="6" w:space="0" w:color="auto"/>
            </w:tcBorders>
            <w:shd w:val="clear" w:color="auto" w:fill="auto"/>
            <w:hideMark/>
          </w:tcPr>
          <w:p w14:paraId="274F45C0" w14:textId="11DF60BA"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Thermally</w:t>
            </w:r>
            <w:r w:rsidR="007B3B40" w:rsidRPr="008A0812">
              <w:rPr>
                <w:rFonts w:cs="Segoe UI"/>
              </w:rPr>
              <w:t>-</w:t>
            </w:r>
            <w:r w:rsidRPr="008A0812">
              <w:rPr>
                <w:rFonts w:cs="Segoe UI"/>
              </w:rPr>
              <w:t>treated biosolids with a time/temperature-based treatment process</w:t>
            </w:r>
          </w:p>
        </w:tc>
        <w:tc>
          <w:tcPr>
            <w:tcW w:w="3930" w:type="dxa"/>
            <w:tcBorders>
              <w:top w:val="nil"/>
              <w:left w:val="nil"/>
              <w:bottom w:val="single" w:sz="6" w:space="0" w:color="auto"/>
              <w:right w:val="single" w:sz="6" w:space="0" w:color="auto"/>
            </w:tcBorders>
            <w:shd w:val="clear" w:color="auto" w:fill="auto"/>
            <w:hideMark/>
          </w:tcPr>
          <w:p w14:paraId="2733A966" w14:textId="02E40BC4"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Monitoring of indicator organisms: Fecal coliform geometric mean of 7 sample (min) over 2 week period &lt; 2x 10</w:t>
            </w:r>
            <w:r w:rsidRPr="008A0812">
              <w:rPr>
                <w:rFonts w:cs="Segoe UI"/>
                <w:sz w:val="17"/>
                <w:szCs w:val="17"/>
                <w:vertAlign w:val="superscript"/>
              </w:rPr>
              <w:t>6</w:t>
            </w:r>
            <w:r w:rsidRPr="008A0812">
              <w:rPr>
                <w:rFonts w:cs="Segoe UI"/>
              </w:rPr>
              <w:t> MPN/g or CFU /g</w:t>
            </w:r>
          </w:p>
        </w:tc>
      </w:tr>
      <w:tr w:rsidR="00407257" w:rsidRPr="008A0812" w14:paraId="552E3DC7"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200AF8EE" w14:textId="2C3E0001"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2</w:t>
            </w:r>
          </w:p>
        </w:tc>
        <w:tc>
          <w:tcPr>
            <w:tcW w:w="4260" w:type="dxa"/>
            <w:tcBorders>
              <w:top w:val="nil"/>
              <w:left w:val="nil"/>
              <w:bottom w:val="single" w:sz="6" w:space="0" w:color="auto"/>
              <w:right w:val="single" w:sz="6" w:space="0" w:color="auto"/>
            </w:tcBorders>
            <w:shd w:val="clear" w:color="auto" w:fill="auto"/>
            <w:hideMark/>
          </w:tcPr>
          <w:p w14:paraId="5FFC9315" w14:textId="30BA3D9B"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High pH (alkali) – High</w:t>
            </w:r>
            <w:r w:rsidR="007B3B40" w:rsidRPr="008A0812">
              <w:rPr>
                <w:rFonts w:cs="Segoe UI"/>
              </w:rPr>
              <w:t>-</w:t>
            </w:r>
            <w:r w:rsidRPr="008A0812">
              <w:rPr>
                <w:rFonts w:cs="Segoe UI"/>
              </w:rPr>
              <w:t>temperature air drying process</w:t>
            </w:r>
          </w:p>
        </w:tc>
        <w:tc>
          <w:tcPr>
            <w:tcW w:w="3930" w:type="dxa"/>
            <w:tcBorders>
              <w:top w:val="nil"/>
              <w:left w:val="nil"/>
              <w:bottom w:val="single" w:sz="6" w:space="0" w:color="auto"/>
              <w:right w:val="single" w:sz="6" w:space="0" w:color="auto"/>
            </w:tcBorders>
            <w:shd w:val="clear" w:color="auto" w:fill="auto"/>
            <w:hideMark/>
          </w:tcPr>
          <w:p w14:paraId="77A3778C" w14:textId="01A409F7"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Process to significantly reduce pathogens (PSRP)</w:t>
            </w:r>
          </w:p>
        </w:tc>
      </w:tr>
      <w:tr w:rsidR="00407257" w:rsidRPr="008A0812" w14:paraId="3E1E292C"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6A04E850" w14:textId="6240A06C"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3</w:t>
            </w:r>
          </w:p>
        </w:tc>
        <w:tc>
          <w:tcPr>
            <w:tcW w:w="4260" w:type="dxa"/>
            <w:tcBorders>
              <w:top w:val="nil"/>
              <w:left w:val="nil"/>
              <w:bottom w:val="single" w:sz="6" w:space="0" w:color="auto"/>
              <w:right w:val="single" w:sz="6" w:space="0" w:color="auto"/>
            </w:tcBorders>
            <w:shd w:val="clear" w:color="auto" w:fill="auto"/>
            <w:hideMark/>
          </w:tcPr>
          <w:p w14:paraId="595129EA" w14:textId="719D2D2C"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For biosolids treated in other processes, must demonstrate reduction of enteric viruses and helminth ova</w:t>
            </w:r>
          </w:p>
        </w:tc>
        <w:tc>
          <w:tcPr>
            <w:tcW w:w="3930" w:type="dxa"/>
            <w:tcBorders>
              <w:top w:val="nil"/>
              <w:left w:val="nil"/>
              <w:bottom w:val="single" w:sz="6" w:space="0" w:color="auto"/>
              <w:right w:val="single" w:sz="6" w:space="0" w:color="auto"/>
            </w:tcBorders>
            <w:shd w:val="clear" w:color="auto" w:fill="auto"/>
            <w:hideMark/>
          </w:tcPr>
          <w:p w14:paraId="19C1E295" w14:textId="63F3A93C"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Process deemed equivalent to a PSRP by the permitting authority</w:t>
            </w:r>
          </w:p>
        </w:tc>
      </w:tr>
      <w:tr w:rsidR="00407257" w:rsidRPr="008A0812" w14:paraId="1CC81396"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261E5BEC" w14:textId="64573968"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4</w:t>
            </w:r>
          </w:p>
        </w:tc>
        <w:tc>
          <w:tcPr>
            <w:tcW w:w="4260" w:type="dxa"/>
            <w:tcBorders>
              <w:top w:val="nil"/>
              <w:left w:val="nil"/>
              <w:bottom w:val="single" w:sz="6" w:space="0" w:color="auto"/>
              <w:right w:val="single" w:sz="6" w:space="0" w:color="auto"/>
            </w:tcBorders>
            <w:shd w:val="clear" w:color="auto" w:fill="auto"/>
            <w:hideMark/>
          </w:tcPr>
          <w:p w14:paraId="75B92587" w14:textId="35DAEE1E"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For biosolids treated in unknown processes, must test for pathogens – fecal coliform bacteria or Salmonella, enteric viruses, and helminth ova at the time biosolids are used or disposed</w:t>
            </w:r>
          </w:p>
        </w:tc>
        <w:tc>
          <w:tcPr>
            <w:tcW w:w="3930" w:type="dxa"/>
            <w:tcBorders>
              <w:top w:val="nil"/>
              <w:left w:val="nil"/>
              <w:bottom w:val="single" w:sz="6" w:space="0" w:color="auto"/>
              <w:right w:val="single" w:sz="6" w:space="0" w:color="auto"/>
            </w:tcBorders>
            <w:shd w:val="clear" w:color="auto" w:fill="auto"/>
            <w:vAlign w:val="center"/>
            <w:hideMark/>
          </w:tcPr>
          <w:p w14:paraId="5AE1A01B" w14:textId="15B055E4"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w:t>
            </w:r>
          </w:p>
        </w:tc>
      </w:tr>
      <w:tr w:rsidR="00407257" w:rsidRPr="008A0812" w14:paraId="02832FDC"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42A42AEC" w14:textId="01423363"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5</w:t>
            </w:r>
          </w:p>
        </w:tc>
        <w:tc>
          <w:tcPr>
            <w:tcW w:w="4260" w:type="dxa"/>
            <w:tcBorders>
              <w:top w:val="nil"/>
              <w:left w:val="nil"/>
              <w:bottom w:val="single" w:sz="6" w:space="0" w:color="auto"/>
              <w:right w:val="single" w:sz="6" w:space="0" w:color="auto"/>
            </w:tcBorders>
            <w:shd w:val="clear" w:color="auto" w:fill="auto"/>
            <w:hideMark/>
          </w:tcPr>
          <w:p w14:paraId="2F0F79E0" w14:textId="7C5B25C8"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Biosolids treatment in a process to further reduce pathogens (PFRP)</w:t>
            </w:r>
          </w:p>
        </w:tc>
        <w:tc>
          <w:tcPr>
            <w:tcW w:w="3930" w:type="dxa"/>
            <w:tcBorders>
              <w:top w:val="nil"/>
              <w:left w:val="nil"/>
              <w:bottom w:val="single" w:sz="6" w:space="0" w:color="auto"/>
              <w:right w:val="single" w:sz="6" w:space="0" w:color="auto"/>
            </w:tcBorders>
            <w:shd w:val="clear" w:color="auto" w:fill="auto"/>
            <w:vAlign w:val="center"/>
            <w:hideMark/>
          </w:tcPr>
          <w:p w14:paraId="7FC34D8E" w14:textId="28DBBF4E"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w:t>
            </w:r>
          </w:p>
        </w:tc>
      </w:tr>
      <w:tr w:rsidR="00407257" w:rsidRPr="008A0812" w14:paraId="17910098" w14:textId="77777777" w:rsidTr="003A5EFD">
        <w:tc>
          <w:tcPr>
            <w:tcW w:w="1140" w:type="dxa"/>
            <w:tcBorders>
              <w:top w:val="nil"/>
              <w:left w:val="single" w:sz="6" w:space="0" w:color="auto"/>
              <w:bottom w:val="single" w:sz="6" w:space="0" w:color="auto"/>
              <w:right w:val="single" w:sz="6" w:space="0" w:color="auto"/>
            </w:tcBorders>
            <w:shd w:val="clear" w:color="auto" w:fill="auto"/>
            <w:hideMark/>
          </w:tcPr>
          <w:p w14:paraId="7DCFB45B" w14:textId="63B9FFF4"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6</w:t>
            </w:r>
          </w:p>
        </w:tc>
        <w:tc>
          <w:tcPr>
            <w:tcW w:w="4260" w:type="dxa"/>
            <w:tcBorders>
              <w:top w:val="nil"/>
              <w:left w:val="nil"/>
              <w:bottom w:val="single" w:sz="6" w:space="0" w:color="auto"/>
              <w:right w:val="single" w:sz="6" w:space="0" w:color="auto"/>
            </w:tcBorders>
            <w:shd w:val="clear" w:color="auto" w:fill="auto"/>
            <w:hideMark/>
          </w:tcPr>
          <w:p w14:paraId="2446F210" w14:textId="4FC56D01" w:rsidR="00407257" w:rsidRPr="008A0812" w:rsidRDefault="00407257" w:rsidP="0061619E">
            <w:pPr>
              <w:keepNext/>
              <w:overflowPunct/>
              <w:autoSpaceDE/>
              <w:autoSpaceDN/>
              <w:adjustRightInd/>
              <w:rPr>
                <w:rFonts w:ascii="Segoe UI" w:hAnsi="Segoe UI" w:cs="Segoe UI"/>
                <w:sz w:val="18"/>
                <w:szCs w:val="18"/>
              </w:rPr>
            </w:pPr>
            <w:r w:rsidRPr="008A0812">
              <w:rPr>
                <w:rFonts w:cs="Segoe UI"/>
              </w:rPr>
              <w:t>Process deemed equivalent to a PFRP by the permitting authority</w:t>
            </w:r>
          </w:p>
        </w:tc>
        <w:tc>
          <w:tcPr>
            <w:tcW w:w="3930" w:type="dxa"/>
            <w:tcBorders>
              <w:top w:val="nil"/>
              <w:left w:val="nil"/>
              <w:bottom w:val="single" w:sz="6" w:space="0" w:color="auto"/>
              <w:right w:val="single" w:sz="6" w:space="0" w:color="auto"/>
            </w:tcBorders>
            <w:shd w:val="clear" w:color="auto" w:fill="auto"/>
            <w:vAlign w:val="center"/>
            <w:hideMark/>
          </w:tcPr>
          <w:p w14:paraId="50C102B0" w14:textId="1146E503" w:rsidR="00407257" w:rsidRPr="008A0812" w:rsidRDefault="00407257" w:rsidP="0061619E">
            <w:pPr>
              <w:keepNext/>
              <w:overflowPunct/>
              <w:autoSpaceDE/>
              <w:autoSpaceDN/>
              <w:adjustRightInd/>
              <w:jc w:val="center"/>
              <w:rPr>
                <w:rFonts w:ascii="Segoe UI" w:hAnsi="Segoe UI" w:cs="Segoe UI"/>
                <w:sz w:val="18"/>
                <w:szCs w:val="18"/>
              </w:rPr>
            </w:pPr>
            <w:r w:rsidRPr="008A0812">
              <w:rPr>
                <w:rFonts w:cs="Segoe UI"/>
              </w:rPr>
              <w:t>--</w:t>
            </w:r>
          </w:p>
        </w:tc>
      </w:tr>
    </w:tbl>
    <w:p w14:paraId="0BC06471" w14:textId="60E6D661" w:rsidR="00407257" w:rsidRPr="008A0812" w:rsidRDefault="00407257" w:rsidP="00B06B95">
      <w:pPr>
        <w:pStyle w:val="Heading4"/>
      </w:pPr>
      <w:bookmarkStart w:id="431" w:name="_Toc41680887"/>
      <w:r w:rsidRPr="008A0812">
        <w:t>Vector Reduction Requirements</w:t>
      </w:r>
      <w:bookmarkEnd w:id="431"/>
    </w:p>
    <w:p w14:paraId="227BDE1A" w14:textId="6E283AD5" w:rsidR="00407257" w:rsidRPr="008A0812" w:rsidRDefault="00407257" w:rsidP="00407257">
      <w:pPr>
        <w:pStyle w:val="BodyText"/>
      </w:pPr>
      <w:r w:rsidRPr="008A0812">
        <w:t xml:space="preserve">Vector attraction reduction at the land application sites can reduce the potential for vectors to potentially transport pathogens. Typically, anaerobic digestion facilities will use Option 1, whereby solids are reduced by 38% during the solids treatment process. All ten options are listed in </w:t>
      </w:r>
      <w:r w:rsidR="003A5EFD" w:rsidRPr="008A0812">
        <w:fldChar w:fldCharType="begin"/>
      </w:r>
      <w:r w:rsidR="003A5EFD" w:rsidRPr="008A0812">
        <w:instrText xml:space="preserve"> REF _Ref36399152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6</w:t>
      </w:r>
      <w:r w:rsidR="003A5EFD" w:rsidRPr="008A0812">
        <w:fldChar w:fldCharType="end"/>
      </w:r>
      <w:r w:rsidRPr="008A0812">
        <w:t>.</w:t>
      </w:r>
    </w:p>
    <w:p w14:paraId="6BF54713" w14:textId="3A868FBF" w:rsidR="003A5EFD" w:rsidRPr="008A0812" w:rsidRDefault="003A5EFD" w:rsidP="003A5EFD">
      <w:pPr>
        <w:pStyle w:val="TableHeading"/>
      </w:pPr>
      <w:bookmarkStart w:id="432" w:name="_Ref36399152"/>
      <w:bookmarkStart w:id="433" w:name="_Toc36414084"/>
      <w:bookmarkStart w:id="434" w:name="_Toc41684772"/>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432"/>
      <w:r w:rsidRPr="008A0812">
        <w:t>: Vector Attraction Reduction Options for Class A Biosolids</w:t>
      </w:r>
      <w:bookmarkEnd w:id="433"/>
      <w:bookmarkEnd w:id="434"/>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5"/>
        <w:gridCol w:w="8549"/>
      </w:tblGrid>
      <w:tr w:rsidR="00407257" w:rsidRPr="008A0812" w14:paraId="404D1AE8" w14:textId="77777777" w:rsidTr="00407257">
        <w:tc>
          <w:tcPr>
            <w:tcW w:w="79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7690F0A6" w14:textId="28EE8A6C"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b/>
                <w:bCs/>
              </w:rPr>
              <w:t>Option</w:t>
            </w:r>
          </w:p>
        </w:tc>
        <w:tc>
          <w:tcPr>
            <w:tcW w:w="8549" w:type="dxa"/>
            <w:tcBorders>
              <w:top w:val="single" w:sz="6" w:space="0" w:color="auto"/>
              <w:left w:val="nil"/>
              <w:bottom w:val="single" w:sz="6" w:space="0" w:color="auto"/>
              <w:right w:val="single" w:sz="6" w:space="0" w:color="auto"/>
            </w:tcBorders>
            <w:shd w:val="clear" w:color="auto" w:fill="BFBFBF"/>
            <w:vAlign w:val="center"/>
            <w:hideMark/>
          </w:tcPr>
          <w:p w14:paraId="316D11B5" w14:textId="62410C0D"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b/>
                <w:bCs/>
              </w:rPr>
              <w:t>Class A Biosolids</w:t>
            </w:r>
          </w:p>
        </w:tc>
      </w:tr>
      <w:tr w:rsidR="00407257" w:rsidRPr="008A0812" w14:paraId="4A9CDCF0"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690DFB10" w14:textId="5105F99D"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1</w:t>
            </w:r>
          </w:p>
        </w:tc>
        <w:tc>
          <w:tcPr>
            <w:tcW w:w="8549" w:type="dxa"/>
            <w:tcBorders>
              <w:top w:val="nil"/>
              <w:left w:val="nil"/>
              <w:bottom w:val="single" w:sz="6" w:space="0" w:color="auto"/>
              <w:right w:val="single" w:sz="6" w:space="0" w:color="auto"/>
            </w:tcBorders>
            <w:shd w:val="clear" w:color="auto" w:fill="auto"/>
            <w:vAlign w:val="center"/>
            <w:hideMark/>
          </w:tcPr>
          <w:p w14:paraId="58658B46" w14:textId="74783F1D" w:rsidR="00407257" w:rsidRPr="008A0812" w:rsidRDefault="00407257" w:rsidP="00407257">
            <w:pPr>
              <w:overflowPunct/>
              <w:autoSpaceDE/>
              <w:autoSpaceDN/>
              <w:adjustRightInd/>
              <w:rPr>
                <w:rFonts w:ascii="Segoe UI" w:hAnsi="Segoe UI" w:cs="Segoe UI"/>
                <w:sz w:val="18"/>
                <w:szCs w:val="18"/>
              </w:rPr>
            </w:pPr>
            <w:r w:rsidRPr="008A0812">
              <w:rPr>
                <w:rFonts w:cs="Segoe UI"/>
              </w:rPr>
              <w:t>Reduction of volatile solids by at least 38%</w:t>
            </w:r>
          </w:p>
        </w:tc>
      </w:tr>
      <w:tr w:rsidR="00407257" w:rsidRPr="008A0812" w14:paraId="4F0A3525"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7ED4BB3A" w14:textId="6D45CF47"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2</w:t>
            </w:r>
          </w:p>
        </w:tc>
        <w:tc>
          <w:tcPr>
            <w:tcW w:w="8549" w:type="dxa"/>
            <w:tcBorders>
              <w:top w:val="nil"/>
              <w:left w:val="nil"/>
              <w:bottom w:val="single" w:sz="6" w:space="0" w:color="auto"/>
              <w:right w:val="single" w:sz="6" w:space="0" w:color="auto"/>
            </w:tcBorders>
            <w:shd w:val="clear" w:color="auto" w:fill="auto"/>
            <w:vAlign w:val="center"/>
            <w:hideMark/>
          </w:tcPr>
          <w:p w14:paraId="421F8A52" w14:textId="441A270F" w:rsidR="00407257" w:rsidRPr="008A0812" w:rsidRDefault="00407257" w:rsidP="00407257">
            <w:pPr>
              <w:overflowPunct/>
              <w:autoSpaceDE/>
              <w:autoSpaceDN/>
              <w:adjustRightInd/>
              <w:rPr>
                <w:rFonts w:ascii="Segoe UI" w:hAnsi="Segoe UI" w:cs="Segoe UI"/>
                <w:sz w:val="18"/>
                <w:szCs w:val="18"/>
              </w:rPr>
            </w:pPr>
            <w:r w:rsidRPr="008A0812">
              <w:rPr>
                <w:rFonts w:cs="Segoe UI"/>
              </w:rPr>
              <w:t>If 38% reduction of volatile solids cannot be achieved, digestion of anaerobically digested biosolids for additional 40 days (bench-scale demonstration)</w:t>
            </w:r>
          </w:p>
        </w:tc>
      </w:tr>
      <w:tr w:rsidR="00407257" w:rsidRPr="008A0812" w14:paraId="01E47324"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55A59F9C" w14:textId="2A2DCF6E"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3</w:t>
            </w:r>
          </w:p>
        </w:tc>
        <w:tc>
          <w:tcPr>
            <w:tcW w:w="8549" w:type="dxa"/>
            <w:tcBorders>
              <w:top w:val="nil"/>
              <w:left w:val="nil"/>
              <w:bottom w:val="single" w:sz="6" w:space="0" w:color="auto"/>
              <w:right w:val="single" w:sz="6" w:space="0" w:color="auto"/>
            </w:tcBorders>
            <w:shd w:val="clear" w:color="auto" w:fill="auto"/>
            <w:vAlign w:val="center"/>
            <w:hideMark/>
          </w:tcPr>
          <w:p w14:paraId="4DE91556" w14:textId="3A59371A" w:rsidR="00407257" w:rsidRPr="008A0812" w:rsidRDefault="00407257" w:rsidP="00407257">
            <w:pPr>
              <w:overflowPunct/>
              <w:autoSpaceDE/>
              <w:autoSpaceDN/>
              <w:adjustRightInd/>
              <w:rPr>
                <w:rFonts w:ascii="Segoe UI" w:hAnsi="Segoe UI" w:cs="Segoe UI"/>
                <w:sz w:val="18"/>
                <w:szCs w:val="18"/>
              </w:rPr>
            </w:pPr>
            <w:r w:rsidRPr="008A0812">
              <w:rPr>
                <w:rFonts w:cs="Segoe UI"/>
              </w:rPr>
              <w:t>If 38% reduction of volatile solids cannot be achieved, digestion of anaerobically digested biosolids for additional 30 days (bench-scale demonstration)</w:t>
            </w:r>
          </w:p>
        </w:tc>
      </w:tr>
      <w:tr w:rsidR="00407257" w:rsidRPr="008A0812" w14:paraId="6F3699FD"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3421D8F6" w14:textId="3A7B7385"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4</w:t>
            </w:r>
          </w:p>
        </w:tc>
        <w:tc>
          <w:tcPr>
            <w:tcW w:w="8549" w:type="dxa"/>
            <w:tcBorders>
              <w:top w:val="nil"/>
              <w:left w:val="nil"/>
              <w:bottom w:val="single" w:sz="6" w:space="0" w:color="auto"/>
              <w:right w:val="single" w:sz="6" w:space="0" w:color="auto"/>
            </w:tcBorders>
            <w:shd w:val="clear" w:color="auto" w:fill="auto"/>
            <w:vAlign w:val="center"/>
            <w:hideMark/>
          </w:tcPr>
          <w:p w14:paraId="118D27A5" w14:textId="0BA3B352" w:rsidR="00407257" w:rsidRPr="008A0812" w:rsidRDefault="00407257" w:rsidP="00407257">
            <w:pPr>
              <w:overflowPunct/>
              <w:autoSpaceDE/>
              <w:autoSpaceDN/>
              <w:adjustRightInd/>
              <w:rPr>
                <w:rFonts w:ascii="Segoe UI" w:hAnsi="Segoe UI" w:cs="Segoe UI"/>
                <w:sz w:val="18"/>
                <w:szCs w:val="18"/>
              </w:rPr>
            </w:pPr>
            <w:r w:rsidRPr="008A0812">
              <w:rPr>
                <w:rFonts w:cs="Segoe UI"/>
              </w:rPr>
              <w:t>Specific oxygen uptake rate for anaerobically digested biosolids below a threshold</w:t>
            </w:r>
          </w:p>
        </w:tc>
      </w:tr>
      <w:tr w:rsidR="00407257" w:rsidRPr="008A0812" w14:paraId="12C841D2"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1CBE6FD4" w14:textId="2D0B96E0"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5</w:t>
            </w:r>
          </w:p>
        </w:tc>
        <w:tc>
          <w:tcPr>
            <w:tcW w:w="8549" w:type="dxa"/>
            <w:tcBorders>
              <w:top w:val="nil"/>
              <w:left w:val="nil"/>
              <w:bottom w:val="single" w:sz="6" w:space="0" w:color="auto"/>
              <w:right w:val="single" w:sz="6" w:space="0" w:color="auto"/>
            </w:tcBorders>
            <w:shd w:val="clear" w:color="auto" w:fill="auto"/>
            <w:vAlign w:val="center"/>
            <w:hideMark/>
          </w:tcPr>
          <w:p w14:paraId="50D4E7AA" w14:textId="22230039" w:rsidR="00407257" w:rsidRPr="008A0812" w:rsidRDefault="00407257" w:rsidP="00407257">
            <w:pPr>
              <w:overflowPunct/>
              <w:autoSpaceDE/>
              <w:autoSpaceDN/>
              <w:adjustRightInd/>
              <w:rPr>
                <w:rFonts w:ascii="Segoe UI" w:hAnsi="Segoe UI" w:cs="Segoe UI"/>
                <w:sz w:val="18"/>
                <w:szCs w:val="18"/>
              </w:rPr>
            </w:pPr>
            <w:r w:rsidRPr="008A0812">
              <w:rPr>
                <w:rFonts w:cs="Segoe UI"/>
              </w:rPr>
              <w:t>Aerobic process for 14 days or longer at specified temperature</w:t>
            </w:r>
          </w:p>
        </w:tc>
      </w:tr>
      <w:tr w:rsidR="00407257" w:rsidRPr="008A0812" w14:paraId="76EA754E"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2791DFB2" w14:textId="30A7D5E2"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6</w:t>
            </w:r>
          </w:p>
        </w:tc>
        <w:tc>
          <w:tcPr>
            <w:tcW w:w="8549" w:type="dxa"/>
            <w:tcBorders>
              <w:top w:val="nil"/>
              <w:left w:val="nil"/>
              <w:bottom w:val="single" w:sz="6" w:space="0" w:color="auto"/>
              <w:right w:val="single" w:sz="6" w:space="0" w:color="auto"/>
            </w:tcBorders>
            <w:shd w:val="clear" w:color="auto" w:fill="auto"/>
            <w:vAlign w:val="center"/>
            <w:hideMark/>
          </w:tcPr>
          <w:p w14:paraId="223F714E" w14:textId="33CC3D5C" w:rsidR="00407257" w:rsidRPr="008A0812" w:rsidRDefault="00407257" w:rsidP="00407257">
            <w:pPr>
              <w:overflowPunct/>
              <w:autoSpaceDE/>
              <w:autoSpaceDN/>
              <w:adjustRightInd/>
              <w:rPr>
                <w:rFonts w:ascii="Segoe UI" w:hAnsi="Segoe UI" w:cs="Segoe UI"/>
                <w:sz w:val="18"/>
                <w:szCs w:val="18"/>
              </w:rPr>
            </w:pPr>
            <w:r w:rsidRPr="008A0812">
              <w:rPr>
                <w:rFonts w:cs="Segoe UI"/>
              </w:rPr>
              <w:t>Addition of alkali to raise the pH above a threshold</w:t>
            </w:r>
          </w:p>
        </w:tc>
      </w:tr>
      <w:tr w:rsidR="00407257" w:rsidRPr="008A0812" w14:paraId="523C7B92"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1BA3257A" w14:textId="31C51605"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7</w:t>
            </w:r>
          </w:p>
        </w:tc>
        <w:tc>
          <w:tcPr>
            <w:tcW w:w="8549" w:type="dxa"/>
            <w:tcBorders>
              <w:top w:val="nil"/>
              <w:left w:val="nil"/>
              <w:bottom w:val="single" w:sz="6" w:space="0" w:color="auto"/>
              <w:right w:val="single" w:sz="6" w:space="0" w:color="auto"/>
            </w:tcBorders>
            <w:shd w:val="clear" w:color="auto" w:fill="auto"/>
            <w:vAlign w:val="center"/>
            <w:hideMark/>
          </w:tcPr>
          <w:p w14:paraId="5CE181C6" w14:textId="3D5AC42B" w:rsidR="00407257" w:rsidRPr="008A0812" w:rsidRDefault="00407257" w:rsidP="00407257">
            <w:pPr>
              <w:overflowPunct/>
              <w:autoSpaceDE/>
              <w:autoSpaceDN/>
              <w:adjustRightInd/>
              <w:rPr>
                <w:rFonts w:ascii="Segoe UI" w:hAnsi="Segoe UI" w:cs="Segoe UI"/>
                <w:sz w:val="18"/>
                <w:szCs w:val="18"/>
              </w:rPr>
            </w:pPr>
            <w:r w:rsidRPr="008A0812">
              <w:rPr>
                <w:rFonts w:cs="Segoe UI"/>
              </w:rPr>
              <w:t>Moisture reduction of biosolids (no unstabilized solids) to &gt; 75% solids</w:t>
            </w:r>
          </w:p>
        </w:tc>
      </w:tr>
      <w:tr w:rsidR="00407257" w:rsidRPr="008A0812" w14:paraId="068FC491"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755D666E" w14:textId="70EA8C43"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8</w:t>
            </w:r>
          </w:p>
        </w:tc>
        <w:tc>
          <w:tcPr>
            <w:tcW w:w="8549" w:type="dxa"/>
            <w:tcBorders>
              <w:top w:val="nil"/>
              <w:left w:val="nil"/>
              <w:bottom w:val="single" w:sz="6" w:space="0" w:color="auto"/>
              <w:right w:val="single" w:sz="6" w:space="0" w:color="auto"/>
            </w:tcBorders>
            <w:shd w:val="clear" w:color="auto" w:fill="auto"/>
            <w:vAlign w:val="center"/>
            <w:hideMark/>
          </w:tcPr>
          <w:p w14:paraId="1B2F745D" w14:textId="5E2485FA" w:rsidR="00407257" w:rsidRPr="008A0812" w:rsidRDefault="00407257" w:rsidP="00407257">
            <w:pPr>
              <w:overflowPunct/>
              <w:autoSpaceDE/>
              <w:autoSpaceDN/>
              <w:adjustRightInd/>
              <w:rPr>
                <w:rFonts w:ascii="Segoe UI" w:hAnsi="Segoe UI" w:cs="Segoe UI"/>
                <w:sz w:val="18"/>
                <w:szCs w:val="18"/>
              </w:rPr>
            </w:pPr>
            <w:r w:rsidRPr="008A0812">
              <w:rPr>
                <w:rFonts w:cs="Segoe UI"/>
              </w:rPr>
              <w:t>Moisture reduction of biosolids with unstabilized solids to &gt; 90% solids</w:t>
            </w:r>
          </w:p>
        </w:tc>
      </w:tr>
      <w:tr w:rsidR="00407257" w:rsidRPr="008A0812" w14:paraId="3426309C"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5474ABAB" w14:textId="7113ED5C"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9</w:t>
            </w:r>
          </w:p>
        </w:tc>
        <w:tc>
          <w:tcPr>
            <w:tcW w:w="8549" w:type="dxa"/>
            <w:tcBorders>
              <w:top w:val="nil"/>
              <w:left w:val="nil"/>
              <w:bottom w:val="single" w:sz="6" w:space="0" w:color="auto"/>
              <w:right w:val="single" w:sz="6" w:space="0" w:color="auto"/>
            </w:tcBorders>
            <w:shd w:val="clear" w:color="auto" w:fill="auto"/>
            <w:vAlign w:val="center"/>
            <w:hideMark/>
          </w:tcPr>
          <w:p w14:paraId="1AEA936B" w14:textId="3A34B84A" w:rsidR="00407257" w:rsidRPr="008A0812" w:rsidRDefault="00407257" w:rsidP="00407257">
            <w:pPr>
              <w:overflowPunct/>
              <w:autoSpaceDE/>
              <w:autoSpaceDN/>
              <w:adjustRightInd/>
              <w:rPr>
                <w:rFonts w:ascii="Segoe UI" w:hAnsi="Segoe UI" w:cs="Segoe UI"/>
                <w:sz w:val="18"/>
                <w:szCs w:val="18"/>
              </w:rPr>
            </w:pPr>
            <w:r w:rsidRPr="008A0812">
              <w:rPr>
                <w:rFonts w:cs="Segoe UI"/>
              </w:rPr>
              <w:t>Injecting biosolids below the ground</w:t>
            </w:r>
          </w:p>
        </w:tc>
      </w:tr>
      <w:tr w:rsidR="00407257" w:rsidRPr="008A0812" w14:paraId="3CA7E83B" w14:textId="77777777" w:rsidTr="00407257">
        <w:trPr>
          <w:trHeight w:val="420"/>
        </w:trPr>
        <w:tc>
          <w:tcPr>
            <w:tcW w:w="795" w:type="dxa"/>
            <w:tcBorders>
              <w:top w:val="nil"/>
              <w:left w:val="single" w:sz="6" w:space="0" w:color="auto"/>
              <w:bottom w:val="single" w:sz="6" w:space="0" w:color="auto"/>
              <w:right w:val="single" w:sz="6" w:space="0" w:color="auto"/>
            </w:tcBorders>
            <w:shd w:val="clear" w:color="auto" w:fill="auto"/>
            <w:vAlign w:val="center"/>
            <w:hideMark/>
          </w:tcPr>
          <w:p w14:paraId="3823A81D" w14:textId="2485C88D" w:rsidR="00407257" w:rsidRPr="008A0812" w:rsidRDefault="00407257" w:rsidP="00407257">
            <w:pPr>
              <w:overflowPunct/>
              <w:autoSpaceDE/>
              <w:autoSpaceDN/>
              <w:adjustRightInd/>
              <w:jc w:val="center"/>
              <w:rPr>
                <w:rFonts w:ascii="Segoe UI" w:hAnsi="Segoe UI" w:cs="Segoe UI"/>
                <w:sz w:val="18"/>
                <w:szCs w:val="18"/>
              </w:rPr>
            </w:pPr>
            <w:r w:rsidRPr="008A0812">
              <w:rPr>
                <w:rFonts w:cs="Segoe UI"/>
              </w:rPr>
              <w:t>10</w:t>
            </w:r>
          </w:p>
        </w:tc>
        <w:tc>
          <w:tcPr>
            <w:tcW w:w="8549" w:type="dxa"/>
            <w:tcBorders>
              <w:top w:val="nil"/>
              <w:left w:val="nil"/>
              <w:bottom w:val="single" w:sz="6" w:space="0" w:color="auto"/>
              <w:right w:val="single" w:sz="6" w:space="0" w:color="auto"/>
            </w:tcBorders>
            <w:shd w:val="clear" w:color="auto" w:fill="auto"/>
            <w:vAlign w:val="center"/>
            <w:hideMark/>
          </w:tcPr>
          <w:p w14:paraId="4AF53966" w14:textId="138EBB03" w:rsidR="00407257" w:rsidRPr="008A0812" w:rsidRDefault="00407257" w:rsidP="00407257">
            <w:pPr>
              <w:overflowPunct/>
              <w:autoSpaceDE/>
              <w:autoSpaceDN/>
              <w:adjustRightInd/>
              <w:rPr>
                <w:rFonts w:ascii="Segoe UI" w:hAnsi="Segoe UI" w:cs="Segoe UI"/>
                <w:sz w:val="18"/>
                <w:szCs w:val="18"/>
              </w:rPr>
            </w:pPr>
            <w:r w:rsidRPr="008A0812">
              <w:rPr>
                <w:rFonts w:cs="Segoe UI"/>
              </w:rPr>
              <w:t>Incorporating biosolids into the soil within 6 hours after land application</w:t>
            </w:r>
          </w:p>
        </w:tc>
      </w:tr>
    </w:tbl>
    <w:p w14:paraId="3B176E8F" w14:textId="77777777" w:rsidR="00FD1E44" w:rsidRPr="008A0812" w:rsidRDefault="00FD1E44" w:rsidP="00407257">
      <w:pPr>
        <w:pStyle w:val="BodyText"/>
      </w:pPr>
    </w:p>
    <w:p w14:paraId="6F6CA79F" w14:textId="0E42BAD9" w:rsidR="00CA523B" w:rsidRPr="008A0812" w:rsidRDefault="003E17C7" w:rsidP="00CA523B">
      <w:pPr>
        <w:pStyle w:val="Heading3"/>
      </w:pPr>
      <w:bookmarkStart w:id="435" w:name="_Toc41680888"/>
      <w:r w:rsidRPr="008A0812">
        <w:t xml:space="preserve">Synagro </w:t>
      </w:r>
      <w:r w:rsidR="00DD5180" w:rsidRPr="008A0812">
        <w:t>Composting</w:t>
      </w:r>
      <w:r w:rsidRPr="008A0812">
        <w:t xml:space="preserve"> </w:t>
      </w:r>
      <w:r w:rsidR="00A972F9" w:rsidRPr="008A0812">
        <w:t xml:space="preserve">Biosolids </w:t>
      </w:r>
      <w:r w:rsidRPr="008A0812">
        <w:t>Requirements</w:t>
      </w:r>
      <w:bookmarkEnd w:id="435"/>
    </w:p>
    <w:p w14:paraId="7320D804" w14:textId="72695A5E" w:rsidR="00DF11C0" w:rsidRPr="008A0812" w:rsidRDefault="00EF56F6" w:rsidP="003E17C7">
      <w:pPr>
        <w:pStyle w:val="BodyText"/>
      </w:pPr>
      <w:r w:rsidRPr="008A0812">
        <w:t>The SBWRP currently produces Class B biosolids which are d</w:t>
      </w:r>
      <w:r w:rsidR="00AA493C" w:rsidRPr="008A0812">
        <w:t xml:space="preserve">ewatered </w:t>
      </w:r>
      <w:r w:rsidRPr="008A0812">
        <w:t xml:space="preserve">and transported offsite by a </w:t>
      </w:r>
      <w:r w:rsidR="00395D21" w:rsidRPr="008A0812">
        <w:t>C</w:t>
      </w:r>
      <w:r w:rsidRPr="008A0812">
        <w:t xml:space="preserve">ontractor </w:t>
      </w:r>
      <w:r w:rsidR="00AE127E" w:rsidRPr="008A0812">
        <w:t xml:space="preserve">(Synagro) </w:t>
      </w:r>
      <w:r w:rsidRPr="008A0812">
        <w:t xml:space="preserve">and </w:t>
      </w:r>
      <w:r w:rsidR="00AA493C" w:rsidRPr="008A0812">
        <w:t>compost</w:t>
      </w:r>
      <w:r w:rsidRPr="008A0812">
        <w:t xml:space="preserve">ed </w:t>
      </w:r>
      <w:r w:rsidR="0081032A" w:rsidRPr="008A0812">
        <w:t>offsite</w:t>
      </w:r>
      <w:r w:rsidR="006A14AF" w:rsidRPr="008A0812">
        <w:t>, resulting in a Class A final product</w:t>
      </w:r>
      <w:r w:rsidRPr="008A0812">
        <w:t xml:space="preserve">. </w:t>
      </w:r>
      <w:r w:rsidR="00DF11C0" w:rsidRPr="008A0812">
        <w:t>Synagro provides composting of biosolids and green</w:t>
      </w:r>
      <w:r w:rsidR="00F853A1" w:rsidRPr="008A0812">
        <w:t xml:space="preserve"> </w:t>
      </w:r>
      <w:r w:rsidR="00DF11C0" w:rsidRPr="008A0812">
        <w:t xml:space="preserve">waste </w:t>
      </w:r>
      <w:r w:rsidR="00AA493C" w:rsidRPr="008A0812">
        <w:t xml:space="preserve">at </w:t>
      </w:r>
      <w:r w:rsidR="00DF11C0" w:rsidRPr="008A0812">
        <w:t>its Hawes facility in Helendale</w:t>
      </w:r>
      <w:r w:rsidR="00AA493C" w:rsidRPr="008A0812">
        <w:t xml:space="preserve"> in San Bernardino County</w:t>
      </w:r>
      <w:r w:rsidRPr="008A0812">
        <w:t xml:space="preserve">. The </w:t>
      </w:r>
      <w:r w:rsidR="00395D21" w:rsidRPr="008A0812">
        <w:t>C</w:t>
      </w:r>
      <w:r w:rsidRPr="008A0812">
        <w:t xml:space="preserve">ontract </w:t>
      </w:r>
      <w:r w:rsidR="006A14AF" w:rsidRPr="008A0812">
        <w:t>with Synagro requires t</w:t>
      </w:r>
      <w:r w:rsidR="00DF11C0" w:rsidRPr="008A0812">
        <w:t xml:space="preserve">he dewatered biosolids </w:t>
      </w:r>
      <w:r w:rsidR="00007B79" w:rsidRPr="008A0812">
        <w:t>from the SBWRP</w:t>
      </w:r>
      <w:r w:rsidR="00DF11C0" w:rsidRPr="008A0812">
        <w:t xml:space="preserve"> to be 15% solids or greater and meet Class B or better. </w:t>
      </w:r>
    </w:p>
    <w:p w14:paraId="72EE0BC3" w14:textId="18668B85" w:rsidR="00407257" w:rsidRPr="008A0812" w:rsidRDefault="00EF56F6" w:rsidP="00407257">
      <w:pPr>
        <w:pStyle w:val="BodyText"/>
      </w:pPr>
      <w:r w:rsidRPr="008A0812">
        <w:t xml:space="preserve">The biosolids </w:t>
      </w:r>
      <w:r w:rsidR="00395D21" w:rsidRPr="008A0812">
        <w:t>C</w:t>
      </w:r>
      <w:r w:rsidRPr="008A0812">
        <w:t>ontract</w:t>
      </w:r>
      <w:r w:rsidRPr="008A0812" w:rsidDel="00F3061B">
        <w:t xml:space="preserve"> </w:t>
      </w:r>
      <w:r w:rsidR="00F3061B" w:rsidRPr="008A0812">
        <w:t>was initi</w:t>
      </w:r>
      <w:r w:rsidR="00DF11C0" w:rsidRPr="008A0812">
        <w:t>ated</w:t>
      </w:r>
      <w:r w:rsidRPr="008A0812">
        <w:t xml:space="preserve"> with </w:t>
      </w:r>
      <w:r w:rsidR="00AA493C" w:rsidRPr="008A0812">
        <w:t>Nursery Products, LLC</w:t>
      </w:r>
      <w:r w:rsidRPr="008A0812">
        <w:t xml:space="preserve"> and the </w:t>
      </w:r>
      <w:r w:rsidR="00395D21" w:rsidRPr="008A0812">
        <w:t>C</w:t>
      </w:r>
      <w:r w:rsidR="00AA493C" w:rsidRPr="008A0812">
        <w:t xml:space="preserve">ontract term began on October 1, 2007 and continues for 20-years. </w:t>
      </w:r>
      <w:r w:rsidR="003E17C7" w:rsidRPr="008A0812">
        <w:t>Nursery Products was purchased by Synagro in 2016</w:t>
      </w:r>
      <w:r w:rsidR="00DF11C0" w:rsidRPr="008A0812">
        <w:t xml:space="preserve">. </w:t>
      </w:r>
      <w:r w:rsidR="00AA493C" w:rsidRPr="008A0812">
        <w:t xml:space="preserve">The agreement may be extended for two successive periods of three years each by mutual consent. The </w:t>
      </w:r>
      <w:r w:rsidR="00395D21" w:rsidRPr="008A0812">
        <w:t>C</w:t>
      </w:r>
      <w:r w:rsidR="00AA493C" w:rsidRPr="008A0812">
        <w:t>ontract may be terminated by Nursery Products</w:t>
      </w:r>
      <w:r w:rsidR="002B7B94" w:rsidRPr="008A0812">
        <w:t>/Synagro</w:t>
      </w:r>
      <w:r w:rsidR="00AA493C" w:rsidRPr="008A0812">
        <w:t xml:space="preserve"> with 24-hours written notice or by the SBMWD with 30 days</w:t>
      </w:r>
      <w:r w:rsidR="003E5A4A" w:rsidRPr="008A0812">
        <w:t>’</w:t>
      </w:r>
      <w:r w:rsidR="00AA493C" w:rsidRPr="008A0812">
        <w:t xml:space="preserve"> written notice</w:t>
      </w:r>
      <w:r w:rsidRPr="008A0812">
        <w:t xml:space="preserve"> (Nursery Products, 2007).</w:t>
      </w:r>
      <w:r w:rsidR="00AA493C" w:rsidRPr="008A0812">
        <w:t xml:space="preserve"> </w:t>
      </w:r>
      <w:r w:rsidR="00407257" w:rsidRPr="008A0812">
        <w:t xml:space="preserve">There are no additional agreements in place for biosolids disposal. </w:t>
      </w:r>
    </w:p>
    <w:p w14:paraId="15723123" w14:textId="08D14904" w:rsidR="00407257" w:rsidRPr="008A0812" w:rsidRDefault="00407257" w:rsidP="00407257">
      <w:pPr>
        <w:pStyle w:val="Heading2"/>
      </w:pPr>
      <w:bookmarkStart w:id="436" w:name="_Ref36312921"/>
      <w:bookmarkStart w:id="437" w:name="_Ref36325454"/>
      <w:bookmarkStart w:id="438" w:name="_Ref36327559"/>
      <w:bookmarkStart w:id="439" w:name="_Ref36327764"/>
      <w:bookmarkStart w:id="440" w:name="_Toc41680889"/>
      <w:r w:rsidRPr="008A0812">
        <w:t>Air Quality</w:t>
      </w:r>
      <w:bookmarkEnd w:id="436"/>
      <w:bookmarkEnd w:id="437"/>
      <w:bookmarkEnd w:id="438"/>
      <w:bookmarkEnd w:id="439"/>
      <w:bookmarkEnd w:id="440"/>
    </w:p>
    <w:p w14:paraId="4EB546EF" w14:textId="77777777" w:rsidR="00100C79" w:rsidRPr="008A0812" w:rsidRDefault="00100C79" w:rsidP="00100C79">
      <w:pPr>
        <w:pStyle w:val="BodyText"/>
      </w:pPr>
      <w:r w:rsidRPr="008A0812">
        <w:t xml:space="preserve">This section summarizes existing and anticipated regulations that affect the SBWRP related to air quality. Applicable regulations from the South Coast Air Quality Management District (SCAQMD), the California Air Resources Board (CARB), and recent legislation regarding climate pollutants are discussed. </w:t>
      </w:r>
    </w:p>
    <w:p w14:paraId="1B6F1EE3" w14:textId="77777777" w:rsidR="00100C79" w:rsidRPr="008A0812" w:rsidRDefault="00100C79" w:rsidP="00100C79">
      <w:pPr>
        <w:pStyle w:val="Heading3"/>
      </w:pPr>
      <w:bookmarkStart w:id="441" w:name="_Toc20825392"/>
      <w:bookmarkStart w:id="442" w:name="_Toc41680890"/>
      <w:r w:rsidRPr="008A0812">
        <w:t>South Coast Air Quality Management District</w:t>
      </w:r>
      <w:bookmarkEnd w:id="441"/>
      <w:bookmarkEnd w:id="442"/>
    </w:p>
    <w:p w14:paraId="110098B3" w14:textId="77777777" w:rsidR="00100C79" w:rsidRPr="008A0812" w:rsidRDefault="00100C79" w:rsidP="00100C79">
      <w:pPr>
        <w:pStyle w:val="BodyText"/>
      </w:pPr>
      <w:r w:rsidRPr="008A0812">
        <w:t>The SCAQMD adopts policies and regulations that promote clean air within Los Angeles, Orange, Riverside, and San Bernardino Counties. The Federal and California Clean Air Act regulations require that SCAQMD meet clean air standards to protect public health. Ambient Air Quality Standards (AAQS) have been established for the “criteria” pollutants which include ozone, oxides of nitrogen (NOx), particulate matter less than 10 microns (PM</w:t>
      </w:r>
      <w:r w:rsidRPr="008A0812">
        <w:rPr>
          <w:vertAlign w:val="subscript"/>
        </w:rPr>
        <w:t>10</w:t>
      </w:r>
      <w:r w:rsidRPr="008A0812">
        <w:t>), particulate matter less than 2.5 microns (PM</w:t>
      </w:r>
      <w:r w:rsidRPr="008A0812">
        <w:rPr>
          <w:vertAlign w:val="subscript"/>
        </w:rPr>
        <w:t>2.5</w:t>
      </w:r>
      <w:r w:rsidRPr="008A0812">
        <w:t>), carbon monoxide (CO), sulfur dioxide (SO</w:t>
      </w:r>
      <w:r w:rsidRPr="008A0812">
        <w:rPr>
          <w:vertAlign w:val="subscript"/>
        </w:rPr>
        <w:t>2</w:t>
      </w:r>
      <w:r w:rsidRPr="008A0812">
        <w:t>) and lead.  California has also established its own standards for several additional pollutants including hydrogen sulfide (H</w:t>
      </w:r>
      <w:r w:rsidRPr="008A0812">
        <w:rPr>
          <w:vertAlign w:val="subscript"/>
        </w:rPr>
        <w:t>2</w:t>
      </w:r>
      <w:r w:rsidRPr="008A0812">
        <w:t xml:space="preserve">S) and sulfate. </w:t>
      </w:r>
    </w:p>
    <w:p w14:paraId="5EEEC146" w14:textId="07AC304F" w:rsidR="00100C79" w:rsidRPr="008A0812" w:rsidRDefault="00100C79" w:rsidP="00100C79">
      <w:pPr>
        <w:pStyle w:val="BodyText"/>
      </w:pPr>
      <w:r w:rsidRPr="008A0812">
        <w:t>The SCAQMD rules and regulations establish permit requirements (Rules 201-223), prohibitions (Rules 401-481), source-specific standards (Rules 1100-1196), air toxics requirements (Rules 1401-1472),  New Source Review (Rules 1300-1325), Prevention of Significant Deterioration (Rules 1701-1714), New Source Performance Standards (Regulation IX), National Emission Standards for Hazardous Air Pollutants (Regulation X), climate change requirements (Rules 2700-2702), Title V requirements (Rules 3000-3008), and others. Under Rule 201 and Rule 203, a permit is required for any equipment or process that has the potential to emit air contaminants or which may eliminate, reduce or control the issuance of air contaminants, unless specifically exempted.</w:t>
      </w:r>
    </w:p>
    <w:p w14:paraId="269CA222" w14:textId="73C5F3CE" w:rsidR="008E5481" w:rsidRPr="008A0812" w:rsidRDefault="00100C79" w:rsidP="00100C79">
      <w:pPr>
        <w:pStyle w:val="BodyText"/>
      </w:pPr>
      <w:r w:rsidRPr="008A0812">
        <w:t xml:space="preserve">The City of San Bernardino </w:t>
      </w:r>
      <w:r w:rsidR="008E5481" w:rsidRPr="008A0812">
        <w:t>is in</w:t>
      </w:r>
      <w:r w:rsidRPr="008A0812">
        <w:t xml:space="preserve"> the SCAQMD’s South Coast Air Basin, which is designated as an “extreme non-attainment” area for ozone standards. Facilities located in extreme non-attainment areas have the lowest major source emission thresholds (i.e. 10 tons/year NOx and VOC) and some of the most stringent emission limits in the nation. In 2011, the SBWRP was granted a conditional exemption from the Title V permitting requirements after the SBWRP’s potential to emit (PTE) was permanently reduced through enforceable permit conditions to limit the PTE levels less than the emission limitations in Rule 3001(b). However, if the SBWRP’s PTE or actual annual emissions exceed the major source emission thresholds, the SBWRP is required to obtain a Title V permit.</w:t>
      </w:r>
    </w:p>
    <w:p w14:paraId="087987C1" w14:textId="6D62F21F" w:rsidR="00100C79" w:rsidRPr="008A0812" w:rsidRDefault="00100C79" w:rsidP="00100C79">
      <w:pPr>
        <w:pStyle w:val="BodyText"/>
      </w:pPr>
      <w:r w:rsidRPr="008A0812">
        <w:t xml:space="preserve">The SBWRP operates under a Permit to Operate and 20 other permits for individual pieces of equipment including digester gas-fired engines, natural gas-fired engines, diesel engines for generators, a flare, boilers, odor control systems, and a steam washer. The source-specific rules establish emission limits, monitoring, testing, recordkeeping and reporting requirements for each category of equipment and these requirements are summarized in the individual permits. See </w:t>
      </w:r>
      <w:r w:rsidR="003A5EFD" w:rsidRPr="008A0812">
        <w:fldChar w:fldCharType="begin"/>
      </w:r>
      <w:r w:rsidR="003A5EFD" w:rsidRPr="008A0812">
        <w:instrText xml:space="preserve"> REF _Ref36399245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9</w:t>
      </w:r>
      <w:r w:rsidR="003A5EFD" w:rsidRPr="008A0812">
        <w:fldChar w:fldCharType="end"/>
      </w:r>
      <w:r w:rsidRPr="008A0812">
        <w:t xml:space="preserve"> for a permit summary.</w:t>
      </w:r>
    </w:p>
    <w:p w14:paraId="3959AB1D" w14:textId="234CC27B" w:rsidR="00100C79" w:rsidRPr="008A0812" w:rsidRDefault="00100C79" w:rsidP="00100C79">
      <w:pPr>
        <w:pStyle w:val="BodyText"/>
      </w:pPr>
      <w:r w:rsidRPr="008A0812">
        <w:t xml:space="preserve">The SBWRP produces digester gas from the anaerobic digestion process and beneficially uses the gas as a fuel source for five internal combustion engines and two boilers. Thus, Rule 1110.2 (Emissions from Gaseous and Liquid-Fueled Engines) and Rule 1118.1 (Control of Emissions from Non-Refinery Flares) currently have the most significant impact on the SBWRP.  Once the DGBU Project is implemented, the facility will no longer operate digester gas-fueled engines under Rule 1110.2 and the two new flares will be designed to waste digester gas </w:t>
      </w:r>
      <w:r w:rsidR="009B53C9" w:rsidRPr="008A0812">
        <w:t>that is not beneficially used</w:t>
      </w:r>
      <w:r w:rsidRPr="008A0812">
        <w:t xml:space="preserve"> without exceeding the 70% capacity threshold in Rule 1118.1. Brief summaries of the key SCAQMD rules are provided below.</w:t>
      </w:r>
    </w:p>
    <w:p w14:paraId="4006539F" w14:textId="77777777" w:rsidR="00100C79" w:rsidRPr="008A0812" w:rsidRDefault="00100C79" w:rsidP="00100C79">
      <w:pPr>
        <w:pStyle w:val="BodyText"/>
        <w:rPr>
          <w:b/>
          <w:bCs/>
        </w:rPr>
      </w:pPr>
      <w:r w:rsidRPr="008A0812">
        <w:rPr>
          <w:b/>
          <w:bCs/>
        </w:rPr>
        <w:t>Rule 1179 POTW Operations and Proposed Rule 1179.01 NOx Emission Reductions from Combustion Equipment at POTWs</w:t>
      </w:r>
    </w:p>
    <w:p w14:paraId="47BEB9F8" w14:textId="78FCB725" w:rsidR="00100C79" w:rsidRPr="008A0812" w:rsidRDefault="00100C79" w:rsidP="00100C79">
      <w:pPr>
        <w:pStyle w:val="CommentText"/>
        <w:jc w:val="both"/>
        <w:rPr>
          <w:sz w:val="22"/>
          <w:szCs w:val="22"/>
        </w:rPr>
      </w:pPr>
      <w:r w:rsidRPr="008A0812">
        <w:rPr>
          <w:sz w:val="22"/>
          <w:szCs w:val="22"/>
        </w:rPr>
        <w:t>Rule 1179 was adopted by the SCAQMD Governing Board on June 7, 1991, and it requires POTWs with design capacities greater than or equal to 10 MGD to develop and submit an Emissions Inventory Plan (EIP) outlining the methods to be used to quantify emissions of volatile organic compounds (VOCs) and to characterize odorous emissions. SBWRP submitted EIP and inventories were submitted in 1993.</w:t>
      </w:r>
    </w:p>
    <w:p w14:paraId="7AF1388E" w14:textId="77777777" w:rsidR="00100C79" w:rsidRPr="008A0812" w:rsidRDefault="00100C79" w:rsidP="00100C79">
      <w:pPr>
        <w:pStyle w:val="BodyText"/>
      </w:pPr>
      <w:r w:rsidRPr="008A0812">
        <w:t>Proposed Rule 1179.1 is being designed to address NOx emissions from combustion equipment at POTWs and will be applicable to boilers, turbines, microturbines and other biogas combustion equipment. Engines might also be covered under this rule, but flares will remain under 1118.1 (described below).</w:t>
      </w:r>
    </w:p>
    <w:p w14:paraId="13139B25" w14:textId="77777777" w:rsidR="00100C79" w:rsidRPr="008A0812" w:rsidRDefault="00100C79" w:rsidP="00100C79">
      <w:pPr>
        <w:pStyle w:val="BodyText"/>
        <w:rPr>
          <w:b/>
          <w:bCs/>
        </w:rPr>
      </w:pPr>
      <w:r w:rsidRPr="008A0812">
        <w:rPr>
          <w:b/>
          <w:bCs/>
        </w:rPr>
        <w:t xml:space="preserve">Rule 1110.2 Emissions from Gaseous and Liquid-Fueled Engines </w:t>
      </w:r>
    </w:p>
    <w:p w14:paraId="41E05F20" w14:textId="4217BF9A" w:rsidR="00100C79" w:rsidRPr="008A0812" w:rsidRDefault="00100C79" w:rsidP="00EA4328">
      <w:pPr>
        <w:pStyle w:val="BodyText"/>
      </w:pPr>
      <w:r w:rsidRPr="008A0812">
        <w:t xml:space="preserve">Rule 1110.2 applies to all stationary and portable engines rated over 50 brake horsepower (bhp) burning gaseous or liquid fuels. The rule was amended in September 2012 to establish biogas ICE emission limits equivalent to those for natural gas and established an effective date of January 1, 2015. SBWRP operates five digester gas-fueled engines pursuant to District permits to operate G37211, G12477, G12476, G12499 and G12498. The engines do not meet the applicable 2015 emission limits for digester gas-fired engines. The previous and new limits are summarized in </w:t>
      </w:r>
      <w:r w:rsidR="003A5EFD" w:rsidRPr="008A0812">
        <w:fldChar w:fldCharType="begin"/>
      </w:r>
      <w:r w:rsidR="003A5EFD" w:rsidRPr="008A0812">
        <w:instrText xml:space="preserve"> REF _Ref36399271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7</w:t>
      </w:r>
      <w:r w:rsidR="003A5EFD" w:rsidRPr="008A0812">
        <w:fldChar w:fldCharType="end"/>
      </w:r>
      <w:r w:rsidRPr="008A0812">
        <w:t>.</w:t>
      </w:r>
    </w:p>
    <w:p w14:paraId="7F84FAFE" w14:textId="726E81A8" w:rsidR="003A5EFD" w:rsidRPr="008A0812" w:rsidRDefault="003A5EFD" w:rsidP="003A5EFD">
      <w:pPr>
        <w:pStyle w:val="TableHeading"/>
      </w:pPr>
      <w:bookmarkStart w:id="443" w:name="_Ref36399271"/>
      <w:bookmarkStart w:id="444" w:name="_Toc36414085"/>
      <w:bookmarkStart w:id="445" w:name="_Toc41684773"/>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443"/>
      <w:r w:rsidRPr="008A0812">
        <w:t>: Rule 1110.2 Emission Limits for Digester Gas-fired Engines</w:t>
      </w:r>
      <w:bookmarkEnd w:id="444"/>
      <w:bookmarkEnd w:id="445"/>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2"/>
        <w:gridCol w:w="2333"/>
        <w:gridCol w:w="2333"/>
        <w:gridCol w:w="2333"/>
      </w:tblGrid>
      <w:tr w:rsidR="00100C79" w:rsidRPr="008A0812" w14:paraId="63FEB7FE" w14:textId="77777777" w:rsidTr="002868F1">
        <w:tc>
          <w:tcPr>
            <w:tcW w:w="233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4F3C2FF0"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 </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5307DE2E"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b/>
                <w:bCs/>
              </w:rPr>
              <w:t>NOx (ppm)</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6FE37C4D"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b/>
                <w:bCs/>
              </w:rPr>
              <w:t>VOC (ppm)</w:t>
            </w:r>
          </w:p>
        </w:tc>
        <w:tc>
          <w:tcPr>
            <w:tcW w:w="2333" w:type="dxa"/>
            <w:tcBorders>
              <w:top w:val="single" w:sz="6" w:space="0" w:color="auto"/>
              <w:left w:val="nil"/>
              <w:bottom w:val="single" w:sz="6" w:space="0" w:color="auto"/>
              <w:right w:val="single" w:sz="6" w:space="0" w:color="auto"/>
            </w:tcBorders>
            <w:shd w:val="clear" w:color="auto" w:fill="BFBFBF"/>
            <w:vAlign w:val="center"/>
            <w:hideMark/>
          </w:tcPr>
          <w:p w14:paraId="05247DE7"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b/>
                <w:bCs/>
              </w:rPr>
              <w:t>CO (ppm)</w:t>
            </w:r>
            <w:r w:rsidRPr="008A0812">
              <w:rPr>
                <w:rFonts w:cs="Segoe UI"/>
              </w:rPr>
              <w:t> </w:t>
            </w:r>
          </w:p>
        </w:tc>
      </w:tr>
      <w:tr w:rsidR="00100C79" w:rsidRPr="008A0812" w14:paraId="5706472A" w14:textId="77777777" w:rsidTr="00965656">
        <w:trPr>
          <w:trHeight w:val="432"/>
        </w:trPr>
        <w:tc>
          <w:tcPr>
            <w:tcW w:w="2332" w:type="dxa"/>
            <w:tcBorders>
              <w:top w:val="nil"/>
              <w:left w:val="single" w:sz="6" w:space="0" w:color="auto"/>
              <w:bottom w:val="single" w:sz="6" w:space="0" w:color="auto"/>
              <w:right w:val="single" w:sz="6" w:space="0" w:color="auto"/>
            </w:tcBorders>
            <w:shd w:val="clear" w:color="auto" w:fill="auto"/>
            <w:vAlign w:val="center"/>
            <w:hideMark/>
          </w:tcPr>
          <w:p w14:paraId="3DE58A81"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Previous Limits</w:t>
            </w:r>
          </w:p>
        </w:tc>
        <w:tc>
          <w:tcPr>
            <w:tcW w:w="2333" w:type="dxa"/>
            <w:tcBorders>
              <w:top w:val="nil"/>
              <w:left w:val="nil"/>
              <w:bottom w:val="single" w:sz="6" w:space="0" w:color="auto"/>
              <w:right w:val="single" w:sz="6" w:space="0" w:color="auto"/>
            </w:tcBorders>
            <w:shd w:val="clear" w:color="auto" w:fill="auto"/>
            <w:vAlign w:val="center"/>
            <w:hideMark/>
          </w:tcPr>
          <w:p w14:paraId="29FF3AAD" w14:textId="77777777" w:rsidR="00100C79" w:rsidRPr="008A0812" w:rsidRDefault="00100C79" w:rsidP="002868F1">
            <w:pPr>
              <w:overflowPunct/>
              <w:autoSpaceDE/>
              <w:autoSpaceDN/>
              <w:adjustRightInd/>
              <w:jc w:val="center"/>
              <w:rPr>
                <w:rFonts w:cs="Segoe UI"/>
              </w:rPr>
            </w:pPr>
            <w:r w:rsidRPr="008A0812">
              <w:rPr>
                <w:rFonts w:cs="Segoe UI"/>
              </w:rPr>
              <w:t>36 (bhp&gt;=500)</w:t>
            </w:r>
          </w:p>
          <w:p w14:paraId="3F7AC116"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45 (bhp &lt; 500)</w:t>
            </w:r>
          </w:p>
        </w:tc>
        <w:tc>
          <w:tcPr>
            <w:tcW w:w="2333" w:type="dxa"/>
            <w:tcBorders>
              <w:top w:val="nil"/>
              <w:left w:val="nil"/>
              <w:bottom w:val="single" w:sz="6" w:space="0" w:color="auto"/>
              <w:right w:val="single" w:sz="6" w:space="0" w:color="auto"/>
            </w:tcBorders>
            <w:shd w:val="clear" w:color="auto" w:fill="auto"/>
            <w:vAlign w:val="center"/>
            <w:hideMark/>
          </w:tcPr>
          <w:p w14:paraId="634E3258"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250</w:t>
            </w:r>
          </w:p>
        </w:tc>
        <w:tc>
          <w:tcPr>
            <w:tcW w:w="2333" w:type="dxa"/>
            <w:tcBorders>
              <w:top w:val="nil"/>
              <w:left w:val="nil"/>
              <w:bottom w:val="single" w:sz="6" w:space="0" w:color="auto"/>
              <w:right w:val="single" w:sz="6" w:space="0" w:color="auto"/>
            </w:tcBorders>
            <w:shd w:val="clear" w:color="auto" w:fill="auto"/>
            <w:vAlign w:val="center"/>
            <w:hideMark/>
          </w:tcPr>
          <w:p w14:paraId="49EE5381"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2,000</w:t>
            </w:r>
          </w:p>
        </w:tc>
      </w:tr>
      <w:tr w:rsidR="00100C79" w:rsidRPr="008A0812" w14:paraId="2C02C8CC" w14:textId="77777777" w:rsidTr="00965656">
        <w:trPr>
          <w:trHeight w:val="432"/>
        </w:trPr>
        <w:tc>
          <w:tcPr>
            <w:tcW w:w="2332" w:type="dxa"/>
            <w:tcBorders>
              <w:top w:val="nil"/>
              <w:left w:val="single" w:sz="6" w:space="0" w:color="auto"/>
              <w:bottom w:val="single" w:sz="6" w:space="0" w:color="auto"/>
              <w:right w:val="single" w:sz="6" w:space="0" w:color="auto"/>
            </w:tcBorders>
            <w:shd w:val="clear" w:color="auto" w:fill="auto"/>
            <w:vAlign w:val="center"/>
            <w:hideMark/>
          </w:tcPr>
          <w:p w14:paraId="26E50527"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New Limits (2015)</w:t>
            </w:r>
          </w:p>
        </w:tc>
        <w:tc>
          <w:tcPr>
            <w:tcW w:w="2333" w:type="dxa"/>
            <w:tcBorders>
              <w:top w:val="nil"/>
              <w:left w:val="nil"/>
              <w:bottom w:val="single" w:sz="6" w:space="0" w:color="auto"/>
              <w:right w:val="single" w:sz="6" w:space="0" w:color="auto"/>
            </w:tcBorders>
            <w:shd w:val="clear" w:color="auto" w:fill="auto"/>
            <w:vAlign w:val="center"/>
            <w:hideMark/>
          </w:tcPr>
          <w:p w14:paraId="3B037C6A"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11</w:t>
            </w:r>
          </w:p>
        </w:tc>
        <w:tc>
          <w:tcPr>
            <w:tcW w:w="2333" w:type="dxa"/>
            <w:tcBorders>
              <w:top w:val="nil"/>
              <w:left w:val="nil"/>
              <w:bottom w:val="single" w:sz="6" w:space="0" w:color="auto"/>
              <w:right w:val="single" w:sz="6" w:space="0" w:color="auto"/>
            </w:tcBorders>
            <w:shd w:val="clear" w:color="auto" w:fill="auto"/>
            <w:vAlign w:val="center"/>
            <w:hideMark/>
          </w:tcPr>
          <w:p w14:paraId="0FC8C0C8"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30</w:t>
            </w:r>
          </w:p>
        </w:tc>
        <w:tc>
          <w:tcPr>
            <w:tcW w:w="2333" w:type="dxa"/>
            <w:tcBorders>
              <w:top w:val="nil"/>
              <w:left w:val="nil"/>
              <w:bottom w:val="single" w:sz="6" w:space="0" w:color="auto"/>
              <w:right w:val="single" w:sz="6" w:space="0" w:color="auto"/>
            </w:tcBorders>
            <w:shd w:val="clear" w:color="auto" w:fill="auto"/>
            <w:vAlign w:val="center"/>
            <w:hideMark/>
          </w:tcPr>
          <w:p w14:paraId="23987D11"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250</w:t>
            </w:r>
          </w:p>
        </w:tc>
      </w:tr>
    </w:tbl>
    <w:p w14:paraId="01DE08DD" w14:textId="77777777" w:rsidR="00100C79" w:rsidRPr="008A0812" w:rsidRDefault="00100C79" w:rsidP="00100C79">
      <w:pPr>
        <w:overflowPunct/>
        <w:autoSpaceDE/>
        <w:autoSpaceDN/>
        <w:adjustRightInd/>
        <w:ind w:left="360"/>
        <w:jc w:val="center"/>
        <w:rPr>
          <w:rFonts w:cs="Segoe UI"/>
          <w:i/>
          <w:iCs/>
          <w:sz w:val="20"/>
          <w:szCs w:val="20"/>
        </w:rPr>
      </w:pPr>
      <w:r w:rsidRPr="008A0812">
        <w:rPr>
          <w:rFonts w:cs="Segoe UI"/>
          <w:i/>
          <w:iCs/>
          <w:sz w:val="20"/>
          <w:szCs w:val="20"/>
        </w:rPr>
        <w:t xml:space="preserve">Source: http://www.aqmd.gov/docs/default-source/rule-book/Proposed-Rules/1110.2/par1110-2_wgm6_final.pdf?sfvrsn=6 </w:t>
      </w:r>
    </w:p>
    <w:p w14:paraId="3E06B617" w14:textId="77777777" w:rsidR="00100C79" w:rsidRPr="008A0812" w:rsidRDefault="00100C79" w:rsidP="00100C79">
      <w:pPr>
        <w:jc w:val="both"/>
      </w:pPr>
    </w:p>
    <w:p w14:paraId="54172F40" w14:textId="512B0A93" w:rsidR="00100C79" w:rsidRPr="008A0812" w:rsidRDefault="00100C79" w:rsidP="00100C79">
      <w:pPr>
        <w:pStyle w:val="CommentText"/>
        <w:jc w:val="both"/>
        <w:rPr>
          <w:sz w:val="22"/>
          <w:szCs w:val="22"/>
        </w:rPr>
      </w:pPr>
      <w:bookmarkStart w:id="446" w:name="OLE_LINK2"/>
      <w:r w:rsidRPr="008A0812">
        <w:rPr>
          <w:rFonts w:asciiTheme="majorHAnsi" w:hAnsiTheme="majorHAnsi"/>
          <w:sz w:val="22"/>
          <w:szCs w:val="22"/>
        </w:rPr>
        <w:t xml:space="preserve">SBWRP participated in a demonstration project evaluating the feasibility of using a proprietary Partial Oxidation Gas Turbine (POGT) technology to meet the lower emission limits, but this technology was not found to be a commercially viable option at the time. SCAQMD </w:t>
      </w:r>
      <w:r w:rsidRPr="008A0812">
        <w:rPr>
          <w:sz w:val="22"/>
          <w:szCs w:val="22"/>
        </w:rPr>
        <w:t>amended in the rule December 2015 extending the compliance date until January 1, 2018 for facilities that implemented technology demonstration projects</w:t>
      </w:r>
      <w:r w:rsidRPr="008A0812">
        <w:rPr>
          <w:rFonts w:asciiTheme="minorHAnsi" w:hAnsiTheme="minorHAnsi"/>
          <w:sz w:val="22"/>
          <w:szCs w:val="22"/>
        </w:rPr>
        <w:t xml:space="preserve">. </w:t>
      </w:r>
      <w:r w:rsidR="00033123">
        <w:rPr>
          <w:rFonts w:asciiTheme="minorHAnsi" w:hAnsiTheme="minorHAnsi"/>
          <w:sz w:val="22"/>
          <w:szCs w:val="22"/>
        </w:rPr>
        <w:t>SBMWD</w:t>
      </w:r>
      <w:r w:rsidRPr="008A0812">
        <w:rPr>
          <w:rFonts w:asciiTheme="minorHAnsi" w:hAnsiTheme="minorHAnsi"/>
          <w:sz w:val="22"/>
          <w:szCs w:val="22"/>
        </w:rPr>
        <w:t xml:space="preserve"> chose to defer compliance from the emission limits, in quarterly increments, for one year until January 1, 2019 by submitting an alternate compliance plan as allowed in Rule 1110.2(h) Alternate Compliance Option.</w:t>
      </w:r>
    </w:p>
    <w:bookmarkEnd w:id="446"/>
    <w:p w14:paraId="187C8271" w14:textId="77777777" w:rsidR="00100C79" w:rsidRPr="008A0812" w:rsidRDefault="00100C79" w:rsidP="00100C79">
      <w:pPr>
        <w:pStyle w:val="BodyText"/>
      </w:pPr>
      <w:r w:rsidRPr="008A0812">
        <w:t xml:space="preserve">SBWRP plans to cease operation of these engines by September 1, 2021 as part of a larger Digester Gas Beneficial Use (DGBU) Program which includes a new fuel cell system, flares, digester gas storage system, newly converted pumps and new blowers. Specifically, the DGBU Program includes:   </w:t>
      </w:r>
    </w:p>
    <w:p w14:paraId="7BA4FADF" w14:textId="77777777" w:rsidR="00100C79" w:rsidRPr="008A0812" w:rsidRDefault="00100C79" w:rsidP="00100C79">
      <w:pPr>
        <w:pStyle w:val="ListParagraph"/>
        <w:numPr>
          <w:ilvl w:val="0"/>
          <w:numId w:val="45"/>
        </w:numPr>
      </w:pPr>
      <w:r w:rsidRPr="008A0812">
        <w:t>Fuel cell project (digester gas will be used to generate the hydrogen required for the fuel cell)</w:t>
      </w:r>
    </w:p>
    <w:p w14:paraId="03392458" w14:textId="77777777" w:rsidR="00100C79" w:rsidRPr="008A0812" w:rsidRDefault="00100C79" w:rsidP="00100C79">
      <w:pPr>
        <w:pStyle w:val="ListParagraph"/>
        <w:numPr>
          <w:ilvl w:val="0"/>
          <w:numId w:val="45"/>
        </w:numPr>
      </w:pPr>
      <w:r w:rsidRPr="008A0812">
        <w:t>Blower decentralization project</w:t>
      </w:r>
    </w:p>
    <w:p w14:paraId="4233E3AA" w14:textId="77777777" w:rsidR="00100C79" w:rsidRPr="008A0812" w:rsidRDefault="00100C79" w:rsidP="00100C79">
      <w:pPr>
        <w:pStyle w:val="ListParagraph"/>
        <w:numPr>
          <w:ilvl w:val="0"/>
          <w:numId w:val="45"/>
        </w:numPr>
      </w:pPr>
      <w:r w:rsidRPr="008A0812">
        <w:t>Ultra-Low Emissions (ULE) duty flare project (0.025 lb/MMBtu NOx)</w:t>
      </w:r>
    </w:p>
    <w:p w14:paraId="5BB1C43B" w14:textId="77777777" w:rsidR="00100C79" w:rsidRPr="008A0812" w:rsidRDefault="00100C79" w:rsidP="00100C79">
      <w:pPr>
        <w:pStyle w:val="ListParagraph"/>
        <w:numPr>
          <w:ilvl w:val="0"/>
          <w:numId w:val="45"/>
        </w:numPr>
      </w:pPr>
      <w:r w:rsidRPr="008A0812">
        <w:t>Backup flare project (0.06 lb/MMBtu NOx)</w:t>
      </w:r>
    </w:p>
    <w:p w14:paraId="4DC1E340" w14:textId="77777777" w:rsidR="00100C79" w:rsidRPr="008A0812" w:rsidRDefault="00100C79" w:rsidP="00100C79">
      <w:pPr>
        <w:pStyle w:val="ListParagraph"/>
        <w:numPr>
          <w:ilvl w:val="0"/>
          <w:numId w:val="45"/>
        </w:numPr>
      </w:pPr>
      <w:r w:rsidRPr="008A0812">
        <w:t xml:space="preserve">Digester gas storage project </w:t>
      </w:r>
    </w:p>
    <w:p w14:paraId="2237E398" w14:textId="3E75B1A0" w:rsidR="00100C79" w:rsidRPr="008A0812" w:rsidRDefault="00100C79" w:rsidP="00100C79">
      <w:pPr>
        <w:pStyle w:val="ListParagraph"/>
        <w:numPr>
          <w:ilvl w:val="0"/>
          <w:numId w:val="45"/>
        </w:numPr>
      </w:pPr>
      <w:r w:rsidRPr="008A0812">
        <w:t xml:space="preserve">Electrical Infrastructure Improvements Project (Arrowhead Lift Station </w:t>
      </w:r>
      <w:r w:rsidR="00A6366F" w:rsidRPr="008A0812">
        <w:t>p</w:t>
      </w:r>
      <w:r w:rsidRPr="008A0812">
        <w:t xml:space="preserve">ump </w:t>
      </w:r>
      <w:r w:rsidR="00A6366F" w:rsidRPr="008A0812">
        <w:t>c</w:t>
      </w:r>
      <w:r w:rsidRPr="008A0812">
        <w:t>onversion and SCE primary metering)</w:t>
      </w:r>
    </w:p>
    <w:p w14:paraId="552313C9" w14:textId="53952C98" w:rsidR="00100C79" w:rsidRPr="008A0812" w:rsidRDefault="00100C79" w:rsidP="00100C79">
      <w:pPr>
        <w:pStyle w:val="BodyText"/>
        <w:rPr>
          <w:b/>
          <w:bCs/>
        </w:rPr>
      </w:pPr>
      <w:r w:rsidRPr="008A0812">
        <w:t xml:space="preserve">Since the DGBU Program was not going to be completed by the January 1, 2019 compliance deadline, </w:t>
      </w:r>
      <w:r w:rsidR="00033123">
        <w:t>SBMWD</w:t>
      </w:r>
      <w:r w:rsidRPr="008A0812">
        <w:t xml:space="preserve"> sought a Variance from 203(b), 1</w:t>
      </w:r>
      <w:r w:rsidR="00DA24E6">
        <w:t>1</w:t>
      </w:r>
      <w:r w:rsidRPr="008A0812">
        <w:t>10</w:t>
      </w:r>
      <w:r w:rsidR="00566E93">
        <w:t>.</w:t>
      </w:r>
      <w:r w:rsidRPr="008A0812">
        <w:t>2(d)(1)(B(ii), 1110.2(</w:t>
      </w:r>
      <w:r w:rsidR="00566E93">
        <w:t>f)</w:t>
      </w:r>
      <w:r w:rsidRPr="008A0812">
        <w:t xml:space="preserve">(1)(C)(ii), 1110.2(f)(1)(D)(iii) and 1110.2(f)(1)(H)(i) from SCAQMD. On January 28, 2019, SCAQMD granted the Variance for the period commencing January 1, 2019 and continuing through September 1, 2020, the final compliance date. </w:t>
      </w:r>
    </w:p>
    <w:p w14:paraId="3DBAF07E" w14:textId="77777777" w:rsidR="00100C79" w:rsidRPr="008A0812" w:rsidRDefault="00100C79" w:rsidP="00100C79">
      <w:pPr>
        <w:pStyle w:val="BodyText"/>
        <w:rPr>
          <w:b/>
          <w:bCs/>
        </w:rPr>
      </w:pPr>
      <w:r w:rsidRPr="008A0812">
        <w:rPr>
          <w:b/>
          <w:bCs/>
        </w:rPr>
        <w:t xml:space="preserve">Rule 1118.1 Control of Emissions from Non-Refinery Flares </w:t>
      </w:r>
    </w:p>
    <w:p w14:paraId="47A8EFE2" w14:textId="1D45AD5A" w:rsidR="00100C79" w:rsidRPr="008A0812" w:rsidRDefault="00100C79" w:rsidP="00100C79">
      <w:pPr>
        <w:pStyle w:val="BodyText"/>
      </w:pPr>
      <w:r w:rsidRPr="008A0812">
        <w:t xml:space="preserve">The existing flare combusts excess digester gas that is not beneficially used. The flare was constructed in 1988 and can meet an emissions limit of 0.06 lbs/MMBTU NOx. SCAQMD </w:t>
      </w:r>
      <w:r w:rsidR="00E34E08" w:rsidRPr="008A0812">
        <w:t>N</w:t>
      </w:r>
      <w:r w:rsidRPr="008A0812">
        <w:t xml:space="preserve">on-refinery </w:t>
      </w:r>
      <w:r w:rsidR="00E34E08" w:rsidRPr="008A0812">
        <w:t>F</w:t>
      </w:r>
      <w:r w:rsidRPr="008A0812">
        <w:t>lares Rule 1118.1 was adopted in January 2019. Rule 1118.1</w:t>
      </w:r>
      <w:r w:rsidR="00E34E08" w:rsidRPr="008A0812">
        <w:t xml:space="preserve"> </w:t>
      </w:r>
      <w:r w:rsidRPr="008A0812">
        <w:t>provides different emission limits for minor and major facilities</w:t>
      </w:r>
      <w:r w:rsidR="00E34E08" w:rsidRPr="008A0812">
        <w:t xml:space="preserve"> as shown in </w:t>
      </w:r>
      <w:r w:rsidR="00E34E08" w:rsidRPr="008A0812">
        <w:fldChar w:fldCharType="begin"/>
      </w:r>
      <w:r w:rsidR="00E34E08" w:rsidRPr="008A0812">
        <w:instrText xml:space="preserve"> REF _Ref36213311 \h </w:instrText>
      </w:r>
      <w:r w:rsidR="008A0812">
        <w:instrText xml:space="preserve"> \* MERGEFORMAT </w:instrText>
      </w:r>
      <w:r w:rsidR="00E34E08" w:rsidRPr="008A0812">
        <w:fldChar w:fldCharType="separate"/>
      </w:r>
      <w:r w:rsidR="00AA68F8" w:rsidRPr="008A0812">
        <w:t xml:space="preserve">Table </w:t>
      </w:r>
      <w:r w:rsidR="00AA68F8">
        <w:rPr>
          <w:noProof/>
        </w:rPr>
        <w:t>7</w:t>
      </w:r>
      <w:r w:rsidR="00AA68F8" w:rsidRPr="008A0812">
        <w:rPr>
          <w:noProof/>
        </w:rPr>
        <w:noBreakHyphen/>
      </w:r>
      <w:r w:rsidR="00AA68F8">
        <w:rPr>
          <w:noProof/>
        </w:rPr>
        <w:t>8</w:t>
      </w:r>
      <w:r w:rsidR="00E34E08" w:rsidRPr="008A0812">
        <w:fldChar w:fldCharType="end"/>
      </w:r>
      <w:r w:rsidR="00E34E08" w:rsidRPr="008A0812">
        <w:t>.</w:t>
      </w:r>
    </w:p>
    <w:p w14:paraId="4E4A30F9" w14:textId="1FF8FDA6" w:rsidR="00E34E08" w:rsidRPr="008A0812" w:rsidRDefault="00E34E08" w:rsidP="00E34E08">
      <w:pPr>
        <w:pStyle w:val="Caption"/>
      </w:pPr>
      <w:bookmarkStart w:id="447" w:name="_Ref36213311"/>
      <w:bookmarkStart w:id="448" w:name="_Ref36328392"/>
      <w:bookmarkStart w:id="449" w:name="_Toc41684774"/>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447"/>
      <w:r w:rsidRPr="008A0812">
        <w:t>: Emission Limits</w:t>
      </w:r>
      <w:bookmarkEnd w:id="448"/>
      <w:bookmarkEnd w:id="449"/>
    </w:p>
    <w:tbl>
      <w:tblPr>
        <w:tblW w:w="6157"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82"/>
        <w:gridCol w:w="1125"/>
        <w:gridCol w:w="1125"/>
        <w:gridCol w:w="1125"/>
      </w:tblGrid>
      <w:tr w:rsidR="00E34E08" w:rsidRPr="008A0812" w14:paraId="0D59C657" w14:textId="77777777" w:rsidTr="00780E13">
        <w:trPr>
          <w:jc w:val="center"/>
        </w:trPr>
        <w:tc>
          <w:tcPr>
            <w:tcW w:w="2782" w:type="dxa"/>
            <w:vMerge w:val="restart"/>
            <w:tcBorders>
              <w:top w:val="single" w:sz="6" w:space="0" w:color="auto"/>
              <w:left w:val="single" w:sz="6" w:space="0" w:color="auto"/>
              <w:right w:val="single" w:sz="6" w:space="0" w:color="auto"/>
            </w:tcBorders>
            <w:shd w:val="clear" w:color="auto" w:fill="BFBFBF"/>
            <w:vAlign w:val="center"/>
          </w:tcPr>
          <w:p w14:paraId="0F45914F" w14:textId="77777777" w:rsidR="00E34E08" w:rsidRPr="008A0812" w:rsidRDefault="00E34E08" w:rsidP="00780E13">
            <w:pPr>
              <w:keepNext/>
              <w:overflowPunct/>
              <w:autoSpaceDE/>
              <w:autoSpaceDN/>
              <w:adjustRightInd/>
              <w:jc w:val="center"/>
              <w:rPr>
                <w:rFonts w:ascii="Segoe UI" w:hAnsi="Segoe UI" w:cs="Segoe UI"/>
              </w:rPr>
            </w:pPr>
            <w:r w:rsidRPr="008A0812">
              <w:rPr>
                <w:b/>
              </w:rPr>
              <w:t>Flare Gas</w:t>
            </w:r>
          </w:p>
        </w:tc>
        <w:tc>
          <w:tcPr>
            <w:tcW w:w="1125" w:type="dxa"/>
            <w:tcBorders>
              <w:top w:val="single" w:sz="6" w:space="0" w:color="auto"/>
              <w:left w:val="nil"/>
              <w:bottom w:val="single" w:sz="6" w:space="0" w:color="auto"/>
              <w:right w:val="single" w:sz="6" w:space="0" w:color="auto"/>
            </w:tcBorders>
            <w:shd w:val="clear" w:color="auto" w:fill="BFBFBF"/>
            <w:vAlign w:val="bottom"/>
          </w:tcPr>
          <w:p w14:paraId="7AE436CC" w14:textId="77777777" w:rsidR="00E34E08" w:rsidRPr="008A0812" w:rsidRDefault="00E34E08" w:rsidP="00780E13">
            <w:pPr>
              <w:keepNext/>
              <w:overflowPunct/>
              <w:autoSpaceDE/>
              <w:autoSpaceDN/>
              <w:adjustRightInd/>
              <w:jc w:val="center"/>
              <w:rPr>
                <w:b/>
              </w:rPr>
            </w:pPr>
            <w:r w:rsidRPr="008A0812">
              <w:rPr>
                <w:b/>
              </w:rPr>
              <w:t>NO</w:t>
            </w:r>
            <w:r w:rsidRPr="008A0812">
              <w:rPr>
                <w:b/>
                <w:vertAlign w:val="subscript"/>
              </w:rPr>
              <w:t>x</w:t>
            </w:r>
          </w:p>
        </w:tc>
        <w:tc>
          <w:tcPr>
            <w:tcW w:w="1125" w:type="dxa"/>
            <w:tcBorders>
              <w:top w:val="single" w:sz="6" w:space="0" w:color="auto"/>
              <w:left w:val="nil"/>
              <w:bottom w:val="single" w:sz="6" w:space="0" w:color="auto"/>
              <w:right w:val="single" w:sz="6" w:space="0" w:color="auto"/>
            </w:tcBorders>
            <w:shd w:val="clear" w:color="auto" w:fill="BFBFBF"/>
          </w:tcPr>
          <w:p w14:paraId="20172BAB" w14:textId="77777777" w:rsidR="00E34E08" w:rsidRPr="008A0812" w:rsidRDefault="00E34E08" w:rsidP="00780E13">
            <w:pPr>
              <w:keepNext/>
              <w:overflowPunct/>
              <w:autoSpaceDE/>
              <w:autoSpaceDN/>
              <w:adjustRightInd/>
              <w:jc w:val="center"/>
              <w:rPr>
                <w:b/>
              </w:rPr>
            </w:pPr>
            <w:r w:rsidRPr="008A0812">
              <w:rPr>
                <w:b/>
              </w:rPr>
              <w:t>CO</w:t>
            </w:r>
          </w:p>
        </w:tc>
        <w:tc>
          <w:tcPr>
            <w:tcW w:w="1125" w:type="dxa"/>
            <w:tcBorders>
              <w:top w:val="single" w:sz="6" w:space="0" w:color="auto"/>
              <w:left w:val="nil"/>
              <w:bottom w:val="single" w:sz="6" w:space="0" w:color="auto"/>
              <w:right w:val="single" w:sz="6" w:space="0" w:color="auto"/>
            </w:tcBorders>
            <w:shd w:val="clear" w:color="auto" w:fill="BFBFBF"/>
          </w:tcPr>
          <w:p w14:paraId="33F306D4" w14:textId="77777777" w:rsidR="00E34E08" w:rsidRPr="008A0812" w:rsidRDefault="00E34E08" w:rsidP="00780E13">
            <w:pPr>
              <w:keepNext/>
              <w:overflowPunct/>
              <w:autoSpaceDE/>
              <w:autoSpaceDN/>
              <w:adjustRightInd/>
              <w:jc w:val="center"/>
              <w:rPr>
                <w:b/>
              </w:rPr>
            </w:pPr>
            <w:r w:rsidRPr="008A0812">
              <w:rPr>
                <w:b/>
              </w:rPr>
              <w:t>VOC</w:t>
            </w:r>
          </w:p>
        </w:tc>
      </w:tr>
      <w:tr w:rsidR="00E34E08" w:rsidRPr="008A0812" w14:paraId="3E8B123D" w14:textId="77777777" w:rsidTr="00780E13">
        <w:trPr>
          <w:jc w:val="center"/>
        </w:trPr>
        <w:tc>
          <w:tcPr>
            <w:tcW w:w="2782" w:type="dxa"/>
            <w:vMerge/>
            <w:tcBorders>
              <w:left w:val="single" w:sz="6" w:space="0" w:color="auto"/>
              <w:bottom w:val="single" w:sz="6" w:space="0" w:color="auto"/>
              <w:right w:val="single" w:sz="6" w:space="0" w:color="auto"/>
            </w:tcBorders>
            <w:shd w:val="clear" w:color="auto" w:fill="BFBFBF"/>
          </w:tcPr>
          <w:p w14:paraId="481AAA7B" w14:textId="77777777" w:rsidR="00E34E08" w:rsidRPr="008A0812" w:rsidRDefault="00E34E08" w:rsidP="00780E13">
            <w:pPr>
              <w:keepNext/>
              <w:overflowPunct/>
              <w:autoSpaceDE/>
              <w:autoSpaceDN/>
              <w:adjustRightInd/>
              <w:jc w:val="center"/>
              <w:rPr>
                <w:rFonts w:ascii="Segoe UI" w:hAnsi="Segoe UI" w:cs="Segoe UI"/>
              </w:rPr>
            </w:pPr>
          </w:p>
        </w:tc>
        <w:tc>
          <w:tcPr>
            <w:tcW w:w="3375" w:type="dxa"/>
            <w:gridSpan w:val="3"/>
            <w:tcBorders>
              <w:top w:val="single" w:sz="6" w:space="0" w:color="auto"/>
              <w:left w:val="nil"/>
              <w:bottom w:val="single" w:sz="6" w:space="0" w:color="auto"/>
              <w:right w:val="single" w:sz="6" w:space="0" w:color="auto"/>
            </w:tcBorders>
            <w:shd w:val="clear" w:color="auto" w:fill="BFBFBF"/>
            <w:vAlign w:val="bottom"/>
          </w:tcPr>
          <w:p w14:paraId="420B1756" w14:textId="77777777" w:rsidR="00E34E08" w:rsidRPr="008A0812" w:rsidRDefault="00E34E08" w:rsidP="00780E13">
            <w:pPr>
              <w:keepNext/>
              <w:overflowPunct/>
              <w:autoSpaceDE/>
              <w:autoSpaceDN/>
              <w:adjustRightInd/>
              <w:jc w:val="center"/>
              <w:rPr>
                <w:b/>
              </w:rPr>
            </w:pPr>
            <w:r w:rsidRPr="008A0812">
              <w:rPr>
                <w:b/>
              </w:rPr>
              <w:t>pounds/MMBtu</w:t>
            </w:r>
          </w:p>
        </w:tc>
      </w:tr>
      <w:tr w:rsidR="00E34E08" w:rsidRPr="008A0812" w14:paraId="6908B2E3" w14:textId="77777777" w:rsidTr="00780E13">
        <w:trPr>
          <w:jc w:val="center"/>
        </w:trPr>
        <w:tc>
          <w:tcPr>
            <w:tcW w:w="6157"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78477963" w14:textId="77777777" w:rsidR="00E34E08" w:rsidRPr="008A0812" w:rsidRDefault="00E34E08" w:rsidP="00DB4BB5">
            <w:pPr>
              <w:keepNext/>
              <w:overflowPunct/>
              <w:autoSpaceDE/>
              <w:autoSpaceDN/>
              <w:adjustRightInd/>
              <w:ind w:left="75"/>
              <w:rPr>
                <w:rFonts w:asciiTheme="majorHAnsi" w:hAnsiTheme="majorHAnsi" w:cs="Segoe UI"/>
              </w:rPr>
            </w:pPr>
            <w:r w:rsidRPr="008A0812">
              <w:rPr>
                <w:rFonts w:asciiTheme="majorHAnsi" w:hAnsiTheme="majorHAnsi" w:cs="Segoe UI"/>
              </w:rPr>
              <w:t>Digester Gas</w:t>
            </w:r>
          </w:p>
        </w:tc>
      </w:tr>
      <w:tr w:rsidR="00E34E08" w:rsidRPr="008A0812" w14:paraId="7721C97E" w14:textId="77777777" w:rsidTr="00780E13">
        <w:trPr>
          <w:jc w:val="center"/>
        </w:trPr>
        <w:tc>
          <w:tcPr>
            <w:tcW w:w="2782" w:type="dxa"/>
            <w:tcBorders>
              <w:top w:val="single" w:sz="6" w:space="0" w:color="auto"/>
              <w:left w:val="single" w:sz="6" w:space="0" w:color="auto"/>
              <w:bottom w:val="single" w:sz="6" w:space="0" w:color="auto"/>
              <w:right w:val="single" w:sz="6" w:space="0" w:color="auto"/>
            </w:tcBorders>
            <w:shd w:val="clear" w:color="auto" w:fill="auto"/>
            <w:vAlign w:val="center"/>
          </w:tcPr>
          <w:p w14:paraId="0DC3AC46" w14:textId="77777777" w:rsidR="00E34E08" w:rsidRPr="008A0812" w:rsidRDefault="00E34E08" w:rsidP="00DB4BB5">
            <w:pPr>
              <w:keepNext/>
              <w:overflowPunct/>
              <w:autoSpaceDE/>
              <w:autoSpaceDN/>
              <w:adjustRightInd/>
              <w:ind w:left="255"/>
              <w:rPr>
                <w:rFonts w:asciiTheme="majorHAnsi" w:hAnsiTheme="majorHAnsi" w:cs="Segoe UI"/>
              </w:rPr>
            </w:pPr>
            <w:r w:rsidRPr="008A0812">
              <w:rPr>
                <w:rFonts w:asciiTheme="majorHAnsi" w:hAnsiTheme="majorHAnsi" w:cs="Segoe UI"/>
              </w:rPr>
              <w:t>Major facility</w:t>
            </w:r>
          </w:p>
        </w:tc>
        <w:tc>
          <w:tcPr>
            <w:tcW w:w="1125" w:type="dxa"/>
            <w:tcBorders>
              <w:top w:val="single" w:sz="6" w:space="0" w:color="auto"/>
              <w:left w:val="nil"/>
              <w:bottom w:val="single" w:sz="6" w:space="0" w:color="auto"/>
              <w:right w:val="single" w:sz="6" w:space="0" w:color="auto"/>
            </w:tcBorders>
            <w:shd w:val="clear" w:color="auto" w:fill="auto"/>
            <w:vAlign w:val="center"/>
          </w:tcPr>
          <w:p w14:paraId="26B4ABEF"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0.025</w:t>
            </w:r>
          </w:p>
        </w:tc>
        <w:tc>
          <w:tcPr>
            <w:tcW w:w="1125" w:type="dxa"/>
            <w:tcBorders>
              <w:top w:val="single" w:sz="6" w:space="0" w:color="auto"/>
              <w:left w:val="nil"/>
              <w:bottom w:val="single" w:sz="6" w:space="0" w:color="auto"/>
              <w:right w:val="single" w:sz="6" w:space="0" w:color="auto"/>
            </w:tcBorders>
            <w:shd w:val="clear" w:color="auto" w:fill="auto"/>
            <w:vAlign w:val="center"/>
          </w:tcPr>
          <w:p w14:paraId="7C34B3A2"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0.06</w:t>
            </w:r>
          </w:p>
        </w:tc>
        <w:tc>
          <w:tcPr>
            <w:tcW w:w="1125" w:type="dxa"/>
            <w:tcBorders>
              <w:top w:val="single" w:sz="6" w:space="0" w:color="auto"/>
              <w:left w:val="nil"/>
              <w:bottom w:val="single" w:sz="6" w:space="0" w:color="auto"/>
              <w:right w:val="single" w:sz="6" w:space="0" w:color="auto"/>
            </w:tcBorders>
            <w:shd w:val="clear" w:color="auto" w:fill="auto"/>
            <w:vAlign w:val="center"/>
          </w:tcPr>
          <w:p w14:paraId="0CDC3674"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0.038</w:t>
            </w:r>
          </w:p>
        </w:tc>
      </w:tr>
      <w:tr w:rsidR="00E34E08" w:rsidRPr="008A0812" w14:paraId="3618375D" w14:textId="77777777" w:rsidTr="00780E13">
        <w:trPr>
          <w:jc w:val="center"/>
        </w:trPr>
        <w:tc>
          <w:tcPr>
            <w:tcW w:w="2782" w:type="dxa"/>
            <w:tcBorders>
              <w:top w:val="single" w:sz="6" w:space="0" w:color="auto"/>
              <w:left w:val="single" w:sz="6" w:space="0" w:color="auto"/>
              <w:bottom w:val="single" w:sz="6" w:space="0" w:color="auto"/>
              <w:right w:val="single" w:sz="6" w:space="0" w:color="auto"/>
            </w:tcBorders>
            <w:shd w:val="clear" w:color="auto" w:fill="auto"/>
            <w:vAlign w:val="center"/>
          </w:tcPr>
          <w:p w14:paraId="663BE04E" w14:textId="77777777" w:rsidR="00E34E08" w:rsidRPr="008A0812" w:rsidRDefault="00E34E08" w:rsidP="00DB4BB5">
            <w:pPr>
              <w:keepNext/>
              <w:overflowPunct/>
              <w:autoSpaceDE/>
              <w:autoSpaceDN/>
              <w:adjustRightInd/>
              <w:ind w:left="255"/>
              <w:rPr>
                <w:rFonts w:asciiTheme="majorHAnsi" w:hAnsiTheme="majorHAnsi" w:cs="Segoe UI"/>
              </w:rPr>
            </w:pPr>
            <w:r w:rsidRPr="008A0812">
              <w:rPr>
                <w:rFonts w:asciiTheme="majorHAnsi" w:hAnsiTheme="majorHAnsi" w:cs="Segoe UI"/>
              </w:rPr>
              <w:t>Minor facility</w:t>
            </w:r>
          </w:p>
        </w:tc>
        <w:tc>
          <w:tcPr>
            <w:tcW w:w="1125" w:type="dxa"/>
            <w:tcBorders>
              <w:top w:val="single" w:sz="6" w:space="0" w:color="auto"/>
              <w:left w:val="nil"/>
              <w:bottom w:val="single" w:sz="6" w:space="0" w:color="auto"/>
              <w:right w:val="single" w:sz="6" w:space="0" w:color="auto"/>
            </w:tcBorders>
            <w:shd w:val="clear" w:color="auto" w:fill="auto"/>
            <w:vAlign w:val="center"/>
          </w:tcPr>
          <w:p w14:paraId="22190227"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0.06</w:t>
            </w:r>
          </w:p>
        </w:tc>
        <w:tc>
          <w:tcPr>
            <w:tcW w:w="1125" w:type="dxa"/>
            <w:tcBorders>
              <w:top w:val="single" w:sz="6" w:space="0" w:color="auto"/>
              <w:left w:val="nil"/>
              <w:bottom w:val="single" w:sz="6" w:space="0" w:color="auto"/>
              <w:right w:val="single" w:sz="6" w:space="0" w:color="auto"/>
            </w:tcBorders>
            <w:shd w:val="clear" w:color="auto" w:fill="auto"/>
            <w:vAlign w:val="center"/>
          </w:tcPr>
          <w:p w14:paraId="347468A3"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N/A</w:t>
            </w:r>
          </w:p>
        </w:tc>
        <w:tc>
          <w:tcPr>
            <w:tcW w:w="1125" w:type="dxa"/>
            <w:tcBorders>
              <w:top w:val="single" w:sz="6" w:space="0" w:color="auto"/>
              <w:left w:val="nil"/>
              <w:bottom w:val="single" w:sz="6" w:space="0" w:color="auto"/>
              <w:right w:val="single" w:sz="6" w:space="0" w:color="auto"/>
            </w:tcBorders>
            <w:shd w:val="clear" w:color="auto" w:fill="auto"/>
            <w:vAlign w:val="center"/>
          </w:tcPr>
          <w:p w14:paraId="70DF0037"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N/A</w:t>
            </w:r>
          </w:p>
        </w:tc>
      </w:tr>
      <w:tr w:rsidR="00E34E08" w:rsidRPr="008A0812" w14:paraId="36104208" w14:textId="77777777" w:rsidTr="00780E13">
        <w:trPr>
          <w:jc w:val="center"/>
        </w:trPr>
        <w:tc>
          <w:tcPr>
            <w:tcW w:w="2782" w:type="dxa"/>
            <w:tcBorders>
              <w:top w:val="single" w:sz="6" w:space="0" w:color="auto"/>
              <w:left w:val="single" w:sz="6" w:space="0" w:color="auto"/>
              <w:bottom w:val="single" w:sz="6" w:space="0" w:color="auto"/>
              <w:right w:val="single" w:sz="6" w:space="0" w:color="auto"/>
            </w:tcBorders>
            <w:shd w:val="clear" w:color="auto" w:fill="auto"/>
            <w:vAlign w:val="center"/>
          </w:tcPr>
          <w:p w14:paraId="5A10CE83" w14:textId="77777777" w:rsidR="00E34E08" w:rsidRPr="008A0812" w:rsidRDefault="00E34E08" w:rsidP="00DB4BB5">
            <w:pPr>
              <w:keepNext/>
              <w:overflowPunct/>
              <w:autoSpaceDE/>
              <w:autoSpaceDN/>
              <w:adjustRightInd/>
              <w:ind w:left="75"/>
              <w:rPr>
                <w:rFonts w:asciiTheme="majorHAnsi" w:hAnsiTheme="majorHAnsi" w:cs="Segoe UI"/>
              </w:rPr>
            </w:pPr>
            <w:r w:rsidRPr="008A0812">
              <w:rPr>
                <w:rFonts w:asciiTheme="majorHAnsi" w:hAnsiTheme="majorHAnsi" w:cs="Segoe UI"/>
              </w:rPr>
              <w:t>Landfill gas</w:t>
            </w:r>
          </w:p>
        </w:tc>
        <w:tc>
          <w:tcPr>
            <w:tcW w:w="1125" w:type="dxa"/>
            <w:tcBorders>
              <w:top w:val="single" w:sz="6" w:space="0" w:color="auto"/>
              <w:left w:val="nil"/>
              <w:bottom w:val="single" w:sz="6" w:space="0" w:color="auto"/>
              <w:right w:val="single" w:sz="6" w:space="0" w:color="auto"/>
            </w:tcBorders>
            <w:shd w:val="clear" w:color="auto" w:fill="auto"/>
            <w:vAlign w:val="center"/>
          </w:tcPr>
          <w:p w14:paraId="51CF6EBA"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0.025</w:t>
            </w:r>
          </w:p>
        </w:tc>
        <w:tc>
          <w:tcPr>
            <w:tcW w:w="1125" w:type="dxa"/>
            <w:tcBorders>
              <w:top w:val="single" w:sz="6" w:space="0" w:color="auto"/>
              <w:left w:val="nil"/>
              <w:bottom w:val="single" w:sz="6" w:space="0" w:color="auto"/>
              <w:right w:val="single" w:sz="6" w:space="0" w:color="auto"/>
            </w:tcBorders>
            <w:shd w:val="clear" w:color="auto" w:fill="auto"/>
            <w:vAlign w:val="center"/>
          </w:tcPr>
          <w:p w14:paraId="1DD7A812"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0.06</w:t>
            </w:r>
          </w:p>
        </w:tc>
        <w:tc>
          <w:tcPr>
            <w:tcW w:w="1125" w:type="dxa"/>
            <w:tcBorders>
              <w:top w:val="single" w:sz="6" w:space="0" w:color="auto"/>
              <w:left w:val="nil"/>
              <w:bottom w:val="single" w:sz="6" w:space="0" w:color="auto"/>
              <w:right w:val="single" w:sz="6" w:space="0" w:color="auto"/>
            </w:tcBorders>
            <w:shd w:val="clear" w:color="auto" w:fill="auto"/>
            <w:vAlign w:val="center"/>
          </w:tcPr>
          <w:p w14:paraId="75576D7D" w14:textId="77777777" w:rsidR="00E34E08" w:rsidRPr="008A0812" w:rsidRDefault="00E34E08" w:rsidP="00780E13">
            <w:pPr>
              <w:keepNext/>
              <w:overflowPunct/>
              <w:autoSpaceDE/>
              <w:autoSpaceDN/>
              <w:adjustRightInd/>
              <w:jc w:val="center"/>
              <w:rPr>
                <w:rFonts w:asciiTheme="majorHAnsi" w:hAnsiTheme="majorHAnsi" w:cs="Segoe UI"/>
              </w:rPr>
            </w:pPr>
            <w:r w:rsidRPr="008A0812">
              <w:rPr>
                <w:rFonts w:asciiTheme="majorHAnsi" w:hAnsiTheme="majorHAnsi" w:cs="Segoe UI"/>
              </w:rPr>
              <w:t>0.038</w:t>
            </w:r>
          </w:p>
        </w:tc>
      </w:tr>
    </w:tbl>
    <w:p w14:paraId="7EF15939" w14:textId="40D63D4A" w:rsidR="00100C79" w:rsidRPr="008A0812" w:rsidRDefault="00100C79" w:rsidP="00100C79">
      <w:pPr>
        <w:ind w:left="2160" w:firstLine="360"/>
        <w:rPr>
          <w:i/>
          <w:iCs/>
          <w:sz w:val="20"/>
          <w:szCs w:val="20"/>
        </w:rPr>
      </w:pPr>
      <w:r w:rsidRPr="008A0812">
        <w:rPr>
          <w:i/>
          <w:iCs/>
          <w:sz w:val="20"/>
          <w:szCs w:val="20"/>
        </w:rPr>
        <w:t>Source: SCAQMD Non-refinery Flares Rule 1118.1</w:t>
      </w:r>
    </w:p>
    <w:p w14:paraId="57DF3596" w14:textId="77777777" w:rsidR="00100C79" w:rsidRPr="008A0812" w:rsidRDefault="00100C79" w:rsidP="00100C79"/>
    <w:p w14:paraId="0BF8C8E9" w14:textId="424F0B15" w:rsidR="00100C79" w:rsidRPr="008A0812" w:rsidRDefault="00A6366F" w:rsidP="00100C79">
      <w:pPr>
        <w:jc w:val="both"/>
      </w:pPr>
      <w:r w:rsidRPr="008A0812">
        <w:t xml:space="preserve">The total quantity of NOx emissions from the SBWRP must be less than 10 tons in any 12-month period to be classified as a minor facility. Permit No. G40829 permits a “Sewage Treatment System” to operate at emissions levels that would allow SBWRP to remain exempt from being considered a major source. The SBWRP currently meets the requirements of a minor facility; however, in the past, there were incidences when SBWRP emitted higher amounts of NOx and classified as a major facility (2008-2011). </w:t>
      </w:r>
      <w:r w:rsidR="00100C79" w:rsidRPr="008A0812">
        <w:t xml:space="preserve">It is expected that during the service life of the 0.06 UL flare </w:t>
      </w:r>
      <w:r w:rsidRPr="008A0812">
        <w:t xml:space="preserve">that </w:t>
      </w:r>
      <w:r w:rsidR="00100C79" w:rsidRPr="008A0812">
        <w:t>SBWRP will be required to meet more restrictive</w:t>
      </w:r>
      <w:r w:rsidRPr="008A0812">
        <w:t xml:space="preserve"> emissions</w:t>
      </w:r>
      <w:r w:rsidR="00100C79" w:rsidRPr="008A0812">
        <w:t xml:space="preserve"> limit</w:t>
      </w:r>
      <w:r w:rsidRPr="008A0812">
        <w:t>s</w:t>
      </w:r>
      <w:r w:rsidR="00E34E08" w:rsidRPr="008A0812">
        <w:t>;</w:t>
      </w:r>
      <w:r w:rsidR="00100C79" w:rsidRPr="008A0812">
        <w:t xml:space="preserve"> therefore, </w:t>
      </w:r>
      <w:r w:rsidRPr="008A0812">
        <w:t>the Department</w:t>
      </w:r>
      <w:r w:rsidR="00100C79" w:rsidRPr="008A0812">
        <w:t xml:space="preserve"> decided that </w:t>
      </w:r>
      <w:r w:rsidR="00E34E08" w:rsidRPr="008A0812">
        <w:t xml:space="preserve">there be </w:t>
      </w:r>
      <w:r w:rsidR="00100C79" w:rsidRPr="008A0812">
        <w:t xml:space="preserve">at least one flare </w:t>
      </w:r>
      <w:r w:rsidR="00E34E08" w:rsidRPr="008A0812">
        <w:t xml:space="preserve">that can </w:t>
      </w:r>
      <w:r w:rsidR="00100C79" w:rsidRPr="008A0812">
        <w:t>satisfy the tighter limits Proposed in Rule 1118.1</w:t>
      </w:r>
      <w:r w:rsidR="00FF6113" w:rsidRPr="008A0812">
        <w:t xml:space="preserve"> for major facilities</w:t>
      </w:r>
      <w:r w:rsidR="00100C79" w:rsidRPr="008A0812">
        <w:t>.</w:t>
      </w:r>
      <w:r w:rsidRPr="008A0812">
        <w:t xml:space="preserve"> </w:t>
      </w:r>
    </w:p>
    <w:p w14:paraId="62404705" w14:textId="77777777" w:rsidR="00100C79" w:rsidRPr="008A0812" w:rsidRDefault="00100C79" w:rsidP="00100C79">
      <w:pPr>
        <w:jc w:val="both"/>
      </w:pPr>
    </w:p>
    <w:p w14:paraId="56F16361" w14:textId="21EAD220" w:rsidR="00100C79" w:rsidRPr="008A0812" w:rsidRDefault="00FF6113" w:rsidP="00100C79">
      <w:pPr>
        <w:jc w:val="both"/>
      </w:pPr>
      <w:r w:rsidRPr="008A0812">
        <w:t xml:space="preserve">As part of the larger Digester Gas Beneficial Use Program, the Department will construct one 0.025 lbs/MMBtu Ultra-low Emissions (ULE) flare (0.025 Duty Flare) to be used as a duty flare and replace the existing flare with a new Low-Emissions (LE) 0.06 lbs NOx/MMBtu flare that will be utilized as a standby flare (0.06 Backup Flare). The ULE flare is designed to handle current and anticipated future gas flow conditions in coordination with the DG storage project. </w:t>
      </w:r>
      <w:r w:rsidR="00100C79" w:rsidRPr="008A0812">
        <w:t xml:space="preserve">The </w:t>
      </w:r>
      <w:r w:rsidRPr="008A0812">
        <w:t xml:space="preserve">future </w:t>
      </w:r>
      <w:r w:rsidR="00100C79" w:rsidRPr="008A0812">
        <w:t xml:space="preserve">DG storage system </w:t>
      </w:r>
      <w:r w:rsidRPr="008A0812">
        <w:t xml:space="preserve">will </w:t>
      </w:r>
      <w:r w:rsidR="00100C79" w:rsidRPr="008A0812">
        <w:t xml:space="preserve">minimize the wasting of gas to the flare system. Coordination between the DG storage and ULE flare project (i.e. flow, operating pressure, etc.) is essential to ensure efficient and effective operation. </w:t>
      </w:r>
    </w:p>
    <w:p w14:paraId="3DEE1F6F" w14:textId="77777777" w:rsidR="00100C79" w:rsidRPr="008A0812" w:rsidRDefault="00100C79" w:rsidP="00100C79">
      <w:pPr>
        <w:pStyle w:val="BodyText"/>
        <w:rPr>
          <w:b/>
          <w:bCs/>
        </w:rPr>
      </w:pPr>
      <w:r w:rsidRPr="008A0812">
        <w:rPr>
          <w:b/>
          <w:bCs/>
        </w:rPr>
        <w:t xml:space="preserve">SCAQMD Permits </w:t>
      </w:r>
    </w:p>
    <w:p w14:paraId="7338C694" w14:textId="3BD5400A" w:rsidR="00100C79" w:rsidRPr="008A0812" w:rsidRDefault="00100C79" w:rsidP="00100C79">
      <w:pPr>
        <w:pStyle w:val="BodyText"/>
      </w:pPr>
      <w:r w:rsidRPr="008A0812">
        <w:t xml:space="preserve">SBWRP operates the treatment plant under Permit to Operate G40829 and 20 other individual permits for five digester gas fired engines (including one cogeneration engine), two natural gas-fired engines, one digester gas-fired cogeneration engine, one natural gas generator engine, four diesel generator engines, one digester gas flare, two boilers, three odor control systems, and a steam washer. The applicable requirements for each piece of equipment are identified in the individual permits. Each permit must be renewed annually unless there are changes to the process. </w:t>
      </w:r>
      <w:r w:rsidR="003A5EFD" w:rsidRPr="008A0812">
        <w:fldChar w:fldCharType="begin"/>
      </w:r>
      <w:r w:rsidR="003A5EFD" w:rsidRPr="008A0812">
        <w:instrText xml:space="preserve"> REF _Ref36399245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9</w:t>
      </w:r>
      <w:r w:rsidR="003A5EFD" w:rsidRPr="008A0812">
        <w:fldChar w:fldCharType="end"/>
      </w:r>
      <w:r w:rsidR="003A5EFD" w:rsidRPr="008A0812">
        <w:t xml:space="preserve"> </w:t>
      </w:r>
      <w:r w:rsidRPr="008A0812">
        <w:t xml:space="preserve"> lists a summary of existing permits and anticipated permit changes due to the DGBU Program.</w:t>
      </w:r>
    </w:p>
    <w:p w14:paraId="360B6F3F" w14:textId="31B40C1D" w:rsidR="003A5EFD" w:rsidRPr="008A0812" w:rsidRDefault="003A5EFD" w:rsidP="003A5EFD">
      <w:pPr>
        <w:pStyle w:val="TableHeading"/>
      </w:pPr>
      <w:bookmarkStart w:id="450" w:name="_Ref36399245"/>
      <w:bookmarkStart w:id="451" w:name="_Toc36414086"/>
      <w:bookmarkStart w:id="452" w:name="_Toc41684775"/>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450"/>
      <w:r w:rsidRPr="008A0812">
        <w:t>: SCAQMD Permits to Operate</w:t>
      </w:r>
      <w:bookmarkEnd w:id="451"/>
      <w:bookmarkEnd w:id="452"/>
    </w:p>
    <w:tbl>
      <w:tblPr>
        <w:tblW w:w="5000" w:type="pct"/>
        <w:tblLook w:val="04A0" w:firstRow="1" w:lastRow="0" w:firstColumn="1" w:lastColumn="0" w:noHBand="0" w:noVBand="1"/>
      </w:tblPr>
      <w:tblGrid>
        <w:gridCol w:w="2337"/>
        <w:gridCol w:w="2338"/>
        <w:gridCol w:w="2070"/>
        <w:gridCol w:w="2605"/>
      </w:tblGrid>
      <w:tr w:rsidR="00100C79" w:rsidRPr="008A0812" w14:paraId="7028FA28" w14:textId="77777777" w:rsidTr="00965656">
        <w:trPr>
          <w:trHeight w:val="330"/>
          <w:tblHeader/>
        </w:trPr>
        <w:tc>
          <w:tcPr>
            <w:tcW w:w="1250"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4A159A1A" w14:textId="77777777"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color w:val="000000"/>
              </w:rPr>
              <w:t>Permit Number</w:t>
            </w:r>
          </w:p>
        </w:tc>
        <w:tc>
          <w:tcPr>
            <w:tcW w:w="1250" w:type="pct"/>
            <w:tcBorders>
              <w:top w:val="single" w:sz="4" w:space="0" w:color="auto"/>
              <w:left w:val="nil"/>
              <w:bottom w:val="single" w:sz="4" w:space="0" w:color="auto"/>
              <w:right w:val="single" w:sz="4" w:space="0" w:color="auto"/>
            </w:tcBorders>
            <w:shd w:val="clear" w:color="000000" w:fill="BFBFBF"/>
            <w:vAlign w:val="center"/>
            <w:hideMark/>
          </w:tcPr>
          <w:p w14:paraId="39C5AB5E" w14:textId="77777777"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rPr>
              <w:t>Equipment</w:t>
            </w:r>
          </w:p>
        </w:tc>
        <w:tc>
          <w:tcPr>
            <w:tcW w:w="1107" w:type="pct"/>
            <w:tcBorders>
              <w:top w:val="single" w:sz="4" w:space="0" w:color="auto"/>
              <w:left w:val="nil"/>
              <w:bottom w:val="single" w:sz="4" w:space="0" w:color="auto"/>
              <w:right w:val="single" w:sz="4" w:space="0" w:color="auto"/>
            </w:tcBorders>
            <w:shd w:val="clear" w:color="000000" w:fill="BFBFBF"/>
            <w:vAlign w:val="center"/>
            <w:hideMark/>
          </w:tcPr>
          <w:p w14:paraId="6F4BF968" w14:textId="77777777"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rPr>
              <w:t>Fuel</w:t>
            </w:r>
          </w:p>
        </w:tc>
        <w:tc>
          <w:tcPr>
            <w:tcW w:w="1393" w:type="pct"/>
            <w:tcBorders>
              <w:top w:val="single" w:sz="4" w:space="0" w:color="auto"/>
              <w:left w:val="nil"/>
              <w:bottom w:val="single" w:sz="4" w:space="0" w:color="auto"/>
              <w:right w:val="single" w:sz="4" w:space="0" w:color="auto"/>
            </w:tcBorders>
            <w:shd w:val="clear" w:color="000000" w:fill="BFBFBF"/>
            <w:vAlign w:val="center"/>
            <w:hideMark/>
          </w:tcPr>
          <w:p w14:paraId="50ABF6D4" w14:textId="77777777"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rPr>
              <w:t>Notes</w:t>
            </w:r>
          </w:p>
        </w:tc>
      </w:tr>
      <w:tr w:rsidR="00100C79" w:rsidRPr="008A0812" w14:paraId="0B56816B"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6F11B3E2"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G12466*</w:t>
            </w:r>
          </w:p>
        </w:tc>
        <w:tc>
          <w:tcPr>
            <w:tcW w:w="1250" w:type="pct"/>
            <w:tcBorders>
              <w:top w:val="nil"/>
              <w:left w:val="nil"/>
              <w:bottom w:val="single" w:sz="4" w:space="0" w:color="auto"/>
              <w:right w:val="single" w:sz="4" w:space="0" w:color="auto"/>
            </w:tcBorders>
            <w:shd w:val="clear" w:color="auto" w:fill="auto"/>
            <w:vAlign w:val="center"/>
            <w:hideMark/>
          </w:tcPr>
          <w:p w14:paraId="152EDFE9"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Digester Gas Flare</w:t>
            </w:r>
          </w:p>
        </w:tc>
        <w:tc>
          <w:tcPr>
            <w:tcW w:w="1107" w:type="pct"/>
            <w:tcBorders>
              <w:top w:val="nil"/>
              <w:left w:val="nil"/>
              <w:bottom w:val="single" w:sz="4" w:space="0" w:color="auto"/>
              <w:right w:val="single" w:sz="4" w:space="0" w:color="auto"/>
            </w:tcBorders>
            <w:shd w:val="clear" w:color="auto" w:fill="auto"/>
            <w:vAlign w:val="center"/>
            <w:hideMark/>
          </w:tcPr>
          <w:p w14:paraId="4250BC65"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Digester Gas</w:t>
            </w:r>
          </w:p>
        </w:tc>
        <w:tc>
          <w:tcPr>
            <w:tcW w:w="1393" w:type="pct"/>
            <w:tcBorders>
              <w:top w:val="nil"/>
              <w:left w:val="nil"/>
              <w:bottom w:val="single" w:sz="4" w:space="0" w:color="auto"/>
              <w:right w:val="single" w:sz="4" w:space="0" w:color="auto"/>
            </w:tcBorders>
            <w:shd w:val="clear" w:color="auto" w:fill="auto"/>
            <w:vAlign w:val="center"/>
            <w:hideMark/>
          </w:tcPr>
          <w:p w14:paraId="2E5844DC" w14:textId="5B1BEE20" w:rsidR="00100C79" w:rsidRPr="008A0812" w:rsidRDefault="00100C79" w:rsidP="002868F1">
            <w:pPr>
              <w:overflowPunct/>
              <w:autoSpaceDE/>
              <w:autoSpaceDN/>
              <w:adjustRightInd/>
              <w:jc w:val="center"/>
              <w:textAlignment w:val="auto"/>
              <w:rPr>
                <w:rFonts w:cs="Calibri"/>
                <w:b/>
                <w:bCs/>
              </w:rPr>
            </w:pPr>
            <w:r w:rsidRPr="008A0812">
              <w:rPr>
                <w:rFonts w:cs="Calibri"/>
                <w:b/>
                <w:bCs/>
              </w:rPr>
              <w:t xml:space="preserve">Will be replaced </w:t>
            </w:r>
            <w:r w:rsidR="00EA4328" w:rsidRPr="008A0812">
              <w:rPr>
                <w:rFonts w:cs="Calibri"/>
                <w:b/>
                <w:bCs/>
              </w:rPr>
              <w:t xml:space="preserve">with 0.06 lb NOx/MMBtu flare with </w:t>
            </w:r>
            <w:r w:rsidRPr="008A0812">
              <w:rPr>
                <w:rFonts w:cs="Calibri"/>
                <w:b/>
                <w:bCs/>
              </w:rPr>
              <w:t xml:space="preserve">DGBU Program </w:t>
            </w:r>
          </w:p>
        </w:tc>
      </w:tr>
      <w:tr w:rsidR="00100C79" w:rsidRPr="008A0812" w14:paraId="6D0FD5F5"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10AFA304"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G12467</w:t>
            </w:r>
          </w:p>
        </w:tc>
        <w:tc>
          <w:tcPr>
            <w:tcW w:w="1250" w:type="pct"/>
            <w:tcBorders>
              <w:top w:val="nil"/>
              <w:left w:val="nil"/>
              <w:bottom w:val="single" w:sz="4" w:space="0" w:color="auto"/>
              <w:right w:val="single" w:sz="4" w:space="0" w:color="auto"/>
            </w:tcBorders>
            <w:shd w:val="clear" w:color="auto" w:fill="auto"/>
            <w:vAlign w:val="center"/>
            <w:hideMark/>
          </w:tcPr>
          <w:p w14:paraId="3D0D8C52"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Old Blue Emergency Electrical Generator</w:t>
            </w:r>
          </w:p>
        </w:tc>
        <w:tc>
          <w:tcPr>
            <w:tcW w:w="1107" w:type="pct"/>
            <w:tcBorders>
              <w:top w:val="nil"/>
              <w:left w:val="nil"/>
              <w:bottom w:val="single" w:sz="4" w:space="0" w:color="auto"/>
              <w:right w:val="single" w:sz="4" w:space="0" w:color="auto"/>
            </w:tcBorders>
            <w:shd w:val="clear" w:color="auto" w:fill="auto"/>
            <w:vAlign w:val="center"/>
            <w:hideMark/>
          </w:tcPr>
          <w:p w14:paraId="4BCD04A6"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13382C80"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168A66AB"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138FFF55"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G12468</w:t>
            </w:r>
          </w:p>
        </w:tc>
        <w:tc>
          <w:tcPr>
            <w:tcW w:w="1250" w:type="pct"/>
            <w:tcBorders>
              <w:top w:val="nil"/>
              <w:left w:val="nil"/>
              <w:bottom w:val="single" w:sz="4" w:space="0" w:color="auto"/>
              <w:right w:val="single" w:sz="4" w:space="0" w:color="auto"/>
            </w:tcBorders>
            <w:shd w:val="clear" w:color="auto" w:fill="auto"/>
            <w:vAlign w:val="center"/>
            <w:hideMark/>
          </w:tcPr>
          <w:p w14:paraId="164325F1"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Emergency Standby Electrical Generator (Admin Building)</w:t>
            </w:r>
          </w:p>
        </w:tc>
        <w:tc>
          <w:tcPr>
            <w:tcW w:w="1107" w:type="pct"/>
            <w:tcBorders>
              <w:top w:val="nil"/>
              <w:left w:val="nil"/>
              <w:bottom w:val="single" w:sz="4" w:space="0" w:color="auto"/>
              <w:right w:val="single" w:sz="4" w:space="0" w:color="auto"/>
            </w:tcBorders>
            <w:shd w:val="clear" w:color="auto" w:fill="auto"/>
            <w:vAlign w:val="center"/>
            <w:hideMark/>
          </w:tcPr>
          <w:p w14:paraId="29133BA9"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61E48335"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60305684"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56915C80"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G12471</w:t>
            </w:r>
          </w:p>
        </w:tc>
        <w:tc>
          <w:tcPr>
            <w:tcW w:w="1250" w:type="pct"/>
            <w:tcBorders>
              <w:top w:val="nil"/>
              <w:left w:val="nil"/>
              <w:bottom w:val="single" w:sz="4" w:space="0" w:color="auto"/>
              <w:right w:val="single" w:sz="4" w:space="0" w:color="auto"/>
            </w:tcBorders>
            <w:shd w:val="clear" w:color="auto" w:fill="auto"/>
            <w:vAlign w:val="center"/>
            <w:hideMark/>
          </w:tcPr>
          <w:p w14:paraId="2196850D"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Boiler # 2 (West Boiler)</w:t>
            </w:r>
          </w:p>
        </w:tc>
        <w:tc>
          <w:tcPr>
            <w:tcW w:w="1107" w:type="pct"/>
            <w:tcBorders>
              <w:top w:val="nil"/>
              <w:left w:val="nil"/>
              <w:bottom w:val="single" w:sz="4" w:space="0" w:color="auto"/>
              <w:right w:val="single" w:sz="4" w:space="0" w:color="auto"/>
            </w:tcBorders>
            <w:shd w:val="clear" w:color="auto" w:fill="auto"/>
            <w:vAlign w:val="center"/>
            <w:hideMark/>
          </w:tcPr>
          <w:p w14:paraId="267B0271"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Digester Gas or Natural Gas</w:t>
            </w:r>
          </w:p>
        </w:tc>
        <w:tc>
          <w:tcPr>
            <w:tcW w:w="1393" w:type="pct"/>
            <w:tcBorders>
              <w:top w:val="nil"/>
              <w:left w:val="nil"/>
              <w:bottom w:val="single" w:sz="4" w:space="0" w:color="auto"/>
              <w:right w:val="single" w:sz="4" w:space="0" w:color="auto"/>
            </w:tcBorders>
            <w:shd w:val="clear" w:color="auto" w:fill="auto"/>
            <w:vAlign w:val="center"/>
            <w:hideMark/>
          </w:tcPr>
          <w:p w14:paraId="58195DCD"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33FE840E"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3973E603"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G12472</w:t>
            </w:r>
          </w:p>
        </w:tc>
        <w:tc>
          <w:tcPr>
            <w:tcW w:w="1250" w:type="pct"/>
            <w:tcBorders>
              <w:top w:val="nil"/>
              <w:left w:val="nil"/>
              <w:bottom w:val="single" w:sz="4" w:space="0" w:color="auto"/>
              <w:right w:val="single" w:sz="4" w:space="0" w:color="auto"/>
            </w:tcBorders>
            <w:shd w:val="clear" w:color="auto" w:fill="auto"/>
            <w:vAlign w:val="center"/>
            <w:hideMark/>
          </w:tcPr>
          <w:p w14:paraId="2E4BD5AF"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PHR Emergency Electrical Generator (Headworks)</w:t>
            </w:r>
          </w:p>
        </w:tc>
        <w:tc>
          <w:tcPr>
            <w:tcW w:w="1107" w:type="pct"/>
            <w:tcBorders>
              <w:top w:val="nil"/>
              <w:left w:val="nil"/>
              <w:bottom w:val="single" w:sz="4" w:space="0" w:color="auto"/>
              <w:right w:val="single" w:sz="4" w:space="0" w:color="auto"/>
            </w:tcBorders>
            <w:shd w:val="clear" w:color="auto" w:fill="auto"/>
            <w:vAlign w:val="center"/>
            <w:hideMark/>
          </w:tcPr>
          <w:p w14:paraId="2E517730"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06563366"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51CF6E41"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461CE92C"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G12476*</w:t>
            </w:r>
          </w:p>
        </w:tc>
        <w:tc>
          <w:tcPr>
            <w:tcW w:w="1250" w:type="pct"/>
            <w:tcBorders>
              <w:top w:val="nil"/>
              <w:left w:val="nil"/>
              <w:bottom w:val="single" w:sz="4" w:space="0" w:color="auto"/>
              <w:right w:val="single" w:sz="4" w:space="0" w:color="auto"/>
            </w:tcBorders>
            <w:shd w:val="clear" w:color="auto" w:fill="auto"/>
            <w:vAlign w:val="center"/>
            <w:hideMark/>
          </w:tcPr>
          <w:p w14:paraId="5E2A1FE3"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Roots #2 - Waukesha</w:t>
            </w:r>
          </w:p>
        </w:tc>
        <w:tc>
          <w:tcPr>
            <w:tcW w:w="1107" w:type="pct"/>
            <w:tcBorders>
              <w:top w:val="nil"/>
              <w:left w:val="nil"/>
              <w:bottom w:val="single" w:sz="4" w:space="0" w:color="auto"/>
              <w:right w:val="single" w:sz="4" w:space="0" w:color="auto"/>
            </w:tcBorders>
            <w:shd w:val="clear" w:color="auto" w:fill="auto"/>
            <w:vAlign w:val="center"/>
            <w:hideMark/>
          </w:tcPr>
          <w:p w14:paraId="11163EAE"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Digester Gas</w:t>
            </w:r>
          </w:p>
        </w:tc>
        <w:tc>
          <w:tcPr>
            <w:tcW w:w="1393" w:type="pct"/>
            <w:tcBorders>
              <w:top w:val="nil"/>
              <w:left w:val="nil"/>
              <w:bottom w:val="single" w:sz="4" w:space="0" w:color="auto"/>
              <w:right w:val="single" w:sz="4" w:space="0" w:color="auto"/>
            </w:tcBorders>
            <w:shd w:val="clear" w:color="auto" w:fill="auto"/>
            <w:vAlign w:val="center"/>
            <w:hideMark/>
          </w:tcPr>
          <w:p w14:paraId="1D6F4C51" w14:textId="1913DC64" w:rsidR="00100C79" w:rsidRPr="008A0812" w:rsidRDefault="00100C79" w:rsidP="002868F1">
            <w:pPr>
              <w:overflowPunct/>
              <w:autoSpaceDE/>
              <w:autoSpaceDN/>
              <w:adjustRightInd/>
              <w:jc w:val="center"/>
              <w:textAlignment w:val="auto"/>
              <w:rPr>
                <w:rFonts w:cs="Calibri"/>
                <w:b/>
                <w:bCs/>
              </w:rPr>
            </w:pPr>
            <w:r w:rsidRPr="008A0812">
              <w:rPr>
                <w:rFonts w:cs="Calibri"/>
                <w:b/>
                <w:bCs/>
              </w:rPr>
              <w:t xml:space="preserve">Will be eliminated </w:t>
            </w:r>
            <w:r w:rsidR="00EA4328" w:rsidRPr="008A0812">
              <w:rPr>
                <w:rFonts w:cs="Calibri"/>
                <w:b/>
                <w:bCs/>
              </w:rPr>
              <w:t>with</w:t>
            </w:r>
            <w:r w:rsidRPr="008A0812">
              <w:rPr>
                <w:rFonts w:cs="Calibri"/>
                <w:b/>
                <w:bCs/>
              </w:rPr>
              <w:t xml:space="preserve"> DGBU Program</w:t>
            </w:r>
          </w:p>
        </w:tc>
      </w:tr>
      <w:tr w:rsidR="00100C79" w:rsidRPr="008A0812" w14:paraId="2A08C4AA"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1DC5A19C"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G12477*</w:t>
            </w:r>
          </w:p>
        </w:tc>
        <w:tc>
          <w:tcPr>
            <w:tcW w:w="1250" w:type="pct"/>
            <w:tcBorders>
              <w:top w:val="nil"/>
              <w:left w:val="nil"/>
              <w:bottom w:val="single" w:sz="4" w:space="0" w:color="auto"/>
              <w:right w:val="single" w:sz="4" w:space="0" w:color="auto"/>
            </w:tcBorders>
            <w:shd w:val="clear" w:color="auto" w:fill="auto"/>
            <w:vAlign w:val="center"/>
            <w:hideMark/>
          </w:tcPr>
          <w:p w14:paraId="41D5AA06"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Roots #1 - Waukesha</w:t>
            </w:r>
          </w:p>
        </w:tc>
        <w:tc>
          <w:tcPr>
            <w:tcW w:w="1107" w:type="pct"/>
            <w:tcBorders>
              <w:top w:val="nil"/>
              <w:left w:val="nil"/>
              <w:bottom w:val="single" w:sz="4" w:space="0" w:color="auto"/>
              <w:right w:val="single" w:sz="4" w:space="0" w:color="auto"/>
            </w:tcBorders>
            <w:shd w:val="clear" w:color="auto" w:fill="auto"/>
            <w:vAlign w:val="center"/>
            <w:hideMark/>
          </w:tcPr>
          <w:p w14:paraId="3CE8858A"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Digester Gas</w:t>
            </w:r>
          </w:p>
        </w:tc>
        <w:tc>
          <w:tcPr>
            <w:tcW w:w="1393" w:type="pct"/>
            <w:tcBorders>
              <w:top w:val="nil"/>
              <w:left w:val="nil"/>
              <w:bottom w:val="single" w:sz="4" w:space="0" w:color="auto"/>
              <w:right w:val="single" w:sz="4" w:space="0" w:color="auto"/>
            </w:tcBorders>
            <w:shd w:val="clear" w:color="auto" w:fill="auto"/>
            <w:vAlign w:val="center"/>
            <w:hideMark/>
          </w:tcPr>
          <w:p w14:paraId="3F57E569" w14:textId="2964761A" w:rsidR="00100C79" w:rsidRPr="008A0812" w:rsidRDefault="00100C79" w:rsidP="002868F1">
            <w:pPr>
              <w:overflowPunct/>
              <w:autoSpaceDE/>
              <w:autoSpaceDN/>
              <w:adjustRightInd/>
              <w:jc w:val="center"/>
              <w:textAlignment w:val="auto"/>
              <w:rPr>
                <w:rFonts w:cs="Calibri"/>
                <w:b/>
                <w:bCs/>
              </w:rPr>
            </w:pPr>
            <w:r w:rsidRPr="008A0812">
              <w:rPr>
                <w:rFonts w:cs="Calibri"/>
                <w:b/>
                <w:bCs/>
              </w:rPr>
              <w:t xml:space="preserve">Will be eliminated </w:t>
            </w:r>
            <w:r w:rsidR="00EA4328" w:rsidRPr="008A0812">
              <w:rPr>
                <w:rFonts w:cs="Calibri"/>
                <w:b/>
                <w:bCs/>
              </w:rPr>
              <w:t>with</w:t>
            </w:r>
            <w:r w:rsidRPr="008A0812">
              <w:rPr>
                <w:rFonts w:cs="Calibri"/>
                <w:b/>
                <w:bCs/>
              </w:rPr>
              <w:t xml:space="preserve"> DGBU Program</w:t>
            </w:r>
          </w:p>
        </w:tc>
      </w:tr>
      <w:tr w:rsidR="00100C79" w:rsidRPr="008A0812" w14:paraId="30832234"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2D6D673B"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G12478</w:t>
            </w:r>
          </w:p>
        </w:tc>
        <w:tc>
          <w:tcPr>
            <w:tcW w:w="1250" w:type="pct"/>
            <w:tcBorders>
              <w:top w:val="nil"/>
              <w:left w:val="nil"/>
              <w:bottom w:val="single" w:sz="4" w:space="0" w:color="auto"/>
              <w:right w:val="single" w:sz="4" w:space="0" w:color="auto"/>
            </w:tcBorders>
            <w:shd w:val="clear" w:color="auto" w:fill="auto"/>
            <w:vAlign w:val="center"/>
            <w:hideMark/>
          </w:tcPr>
          <w:p w14:paraId="591E021F"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RS-1 Emergency Standby Electrical Generator</w:t>
            </w:r>
          </w:p>
        </w:tc>
        <w:tc>
          <w:tcPr>
            <w:tcW w:w="1107" w:type="pct"/>
            <w:tcBorders>
              <w:top w:val="nil"/>
              <w:left w:val="nil"/>
              <w:bottom w:val="single" w:sz="4" w:space="0" w:color="auto"/>
              <w:right w:val="single" w:sz="4" w:space="0" w:color="auto"/>
            </w:tcBorders>
            <w:shd w:val="clear" w:color="auto" w:fill="auto"/>
            <w:vAlign w:val="center"/>
            <w:hideMark/>
          </w:tcPr>
          <w:p w14:paraId="6F44483C"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299411FF"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79865501"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31C3F211"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G12496</w:t>
            </w:r>
          </w:p>
        </w:tc>
        <w:tc>
          <w:tcPr>
            <w:tcW w:w="1250" w:type="pct"/>
            <w:tcBorders>
              <w:top w:val="nil"/>
              <w:left w:val="nil"/>
              <w:bottom w:val="single" w:sz="4" w:space="0" w:color="auto"/>
              <w:right w:val="single" w:sz="4" w:space="0" w:color="auto"/>
            </w:tcBorders>
            <w:shd w:val="clear" w:color="auto" w:fill="auto"/>
            <w:vAlign w:val="center"/>
            <w:hideMark/>
          </w:tcPr>
          <w:p w14:paraId="452A5376"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NRC Emergency Electrical Generator</w:t>
            </w:r>
          </w:p>
        </w:tc>
        <w:tc>
          <w:tcPr>
            <w:tcW w:w="1107" w:type="pct"/>
            <w:tcBorders>
              <w:top w:val="nil"/>
              <w:left w:val="nil"/>
              <w:bottom w:val="single" w:sz="4" w:space="0" w:color="auto"/>
              <w:right w:val="single" w:sz="4" w:space="0" w:color="auto"/>
            </w:tcBorders>
            <w:shd w:val="clear" w:color="auto" w:fill="auto"/>
            <w:vAlign w:val="center"/>
            <w:hideMark/>
          </w:tcPr>
          <w:p w14:paraId="03D0B52E"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78C35AFB"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5FCDC094"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3177F117"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G12497</w:t>
            </w:r>
          </w:p>
        </w:tc>
        <w:tc>
          <w:tcPr>
            <w:tcW w:w="1250" w:type="pct"/>
            <w:tcBorders>
              <w:top w:val="nil"/>
              <w:left w:val="nil"/>
              <w:bottom w:val="single" w:sz="4" w:space="0" w:color="auto"/>
              <w:right w:val="single" w:sz="4" w:space="0" w:color="auto"/>
            </w:tcBorders>
            <w:shd w:val="clear" w:color="auto" w:fill="auto"/>
            <w:vAlign w:val="center"/>
            <w:hideMark/>
          </w:tcPr>
          <w:p w14:paraId="6168BE38"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CAT #4</w:t>
            </w:r>
          </w:p>
        </w:tc>
        <w:tc>
          <w:tcPr>
            <w:tcW w:w="1107" w:type="pct"/>
            <w:tcBorders>
              <w:top w:val="nil"/>
              <w:left w:val="nil"/>
              <w:bottom w:val="single" w:sz="4" w:space="0" w:color="auto"/>
              <w:right w:val="single" w:sz="4" w:space="0" w:color="auto"/>
            </w:tcBorders>
            <w:shd w:val="clear" w:color="auto" w:fill="auto"/>
            <w:vAlign w:val="center"/>
            <w:hideMark/>
          </w:tcPr>
          <w:p w14:paraId="0A565366"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 xml:space="preserve">Natural Gas </w:t>
            </w:r>
          </w:p>
        </w:tc>
        <w:tc>
          <w:tcPr>
            <w:tcW w:w="1393" w:type="pct"/>
            <w:tcBorders>
              <w:top w:val="nil"/>
              <w:left w:val="nil"/>
              <w:bottom w:val="single" w:sz="4" w:space="0" w:color="auto"/>
              <w:right w:val="single" w:sz="4" w:space="0" w:color="auto"/>
            </w:tcBorders>
            <w:shd w:val="clear" w:color="auto" w:fill="auto"/>
            <w:vAlign w:val="center"/>
            <w:hideMark/>
          </w:tcPr>
          <w:p w14:paraId="2CCA167F"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7572E716"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7361E1AD"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G12498*</w:t>
            </w:r>
          </w:p>
        </w:tc>
        <w:tc>
          <w:tcPr>
            <w:tcW w:w="1250" w:type="pct"/>
            <w:tcBorders>
              <w:top w:val="nil"/>
              <w:left w:val="nil"/>
              <w:bottom w:val="single" w:sz="4" w:space="0" w:color="auto"/>
              <w:right w:val="single" w:sz="4" w:space="0" w:color="auto"/>
            </w:tcBorders>
            <w:shd w:val="clear" w:color="auto" w:fill="auto"/>
            <w:vAlign w:val="center"/>
            <w:hideMark/>
          </w:tcPr>
          <w:p w14:paraId="0D1BA9FA"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CAT #3</w:t>
            </w:r>
          </w:p>
        </w:tc>
        <w:tc>
          <w:tcPr>
            <w:tcW w:w="1107" w:type="pct"/>
            <w:tcBorders>
              <w:top w:val="nil"/>
              <w:left w:val="nil"/>
              <w:bottom w:val="single" w:sz="4" w:space="0" w:color="auto"/>
              <w:right w:val="single" w:sz="4" w:space="0" w:color="auto"/>
            </w:tcBorders>
            <w:shd w:val="clear" w:color="auto" w:fill="auto"/>
            <w:vAlign w:val="center"/>
            <w:hideMark/>
          </w:tcPr>
          <w:p w14:paraId="3F8AFFEF" w14:textId="508BF9D6" w:rsidR="00100C79" w:rsidRPr="008A0812" w:rsidRDefault="00100C79" w:rsidP="00965656">
            <w:pPr>
              <w:overflowPunct/>
              <w:autoSpaceDE/>
              <w:autoSpaceDN/>
              <w:adjustRightInd/>
              <w:jc w:val="center"/>
              <w:textAlignment w:val="auto"/>
              <w:rPr>
                <w:rFonts w:cs="Segoe UI"/>
                <w:b/>
                <w:bCs/>
                <w:sz w:val="16"/>
                <w:szCs w:val="16"/>
              </w:rPr>
            </w:pPr>
            <w:r w:rsidRPr="008A0812">
              <w:rPr>
                <w:rFonts w:cs="Segoe UI"/>
                <w:b/>
                <w:bCs/>
              </w:rPr>
              <w:t>Digester Gas</w:t>
            </w:r>
            <w:r w:rsidRPr="008A0812">
              <w:rPr>
                <w:rFonts w:cs="Segoe UI"/>
                <w:b/>
                <w:bCs/>
                <w:sz w:val="16"/>
                <w:szCs w:val="16"/>
              </w:rPr>
              <w:t> </w:t>
            </w:r>
          </w:p>
        </w:tc>
        <w:tc>
          <w:tcPr>
            <w:tcW w:w="1393" w:type="pct"/>
            <w:tcBorders>
              <w:top w:val="nil"/>
              <w:left w:val="nil"/>
              <w:bottom w:val="single" w:sz="4" w:space="0" w:color="auto"/>
              <w:right w:val="single" w:sz="4" w:space="0" w:color="auto"/>
            </w:tcBorders>
            <w:shd w:val="clear" w:color="auto" w:fill="auto"/>
            <w:vAlign w:val="center"/>
            <w:hideMark/>
          </w:tcPr>
          <w:p w14:paraId="52893995" w14:textId="77777777" w:rsidR="00100C79" w:rsidRPr="008A0812" w:rsidRDefault="00100C79" w:rsidP="002868F1">
            <w:pPr>
              <w:overflowPunct/>
              <w:autoSpaceDE/>
              <w:autoSpaceDN/>
              <w:adjustRightInd/>
              <w:jc w:val="center"/>
              <w:textAlignment w:val="auto"/>
              <w:rPr>
                <w:rFonts w:cs="Calibri"/>
                <w:b/>
                <w:bCs/>
              </w:rPr>
            </w:pPr>
            <w:r w:rsidRPr="008A0812">
              <w:rPr>
                <w:rFonts w:cs="Calibri"/>
                <w:b/>
                <w:bCs/>
              </w:rPr>
              <w:t xml:space="preserve"> Will be converted to propane and permit modified accordingly</w:t>
            </w:r>
          </w:p>
        </w:tc>
      </w:tr>
      <w:tr w:rsidR="00100C79" w:rsidRPr="008A0812" w14:paraId="453AE4A8"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54182EA7"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G12499*</w:t>
            </w:r>
          </w:p>
        </w:tc>
        <w:tc>
          <w:tcPr>
            <w:tcW w:w="1250" w:type="pct"/>
            <w:tcBorders>
              <w:top w:val="nil"/>
              <w:left w:val="nil"/>
              <w:bottom w:val="single" w:sz="4" w:space="0" w:color="auto"/>
              <w:right w:val="single" w:sz="4" w:space="0" w:color="auto"/>
            </w:tcBorders>
            <w:shd w:val="clear" w:color="auto" w:fill="auto"/>
            <w:vAlign w:val="center"/>
            <w:hideMark/>
          </w:tcPr>
          <w:p w14:paraId="3EC299A8"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CAT #2</w:t>
            </w:r>
          </w:p>
        </w:tc>
        <w:tc>
          <w:tcPr>
            <w:tcW w:w="1107" w:type="pct"/>
            <w:tcBorders>
              <w:top w:val="nil"/>
              <w:left w:val="nil"/>
              <w:bottom w:val="single" w:sz="4" w:space="0" w:color="auto"/>
              <w:right w:val="single" w:sz="4" w:space="0" w:color="auto"/>
            </w:tcBorders>
            <w:shd w:val="clear" w:color="auto" w:fill="auto"/>
            <w:vAlign w:val="center"/>
            <w:hideMark/>
          </w:tcPr>
          <w:p w14:paraId="4A8D8577"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Digester Gas</w:t>
            </w:r>
            <w:r w:rsidRPr="008A0812">
              <w:rPr>
                <w:rFonts w:cs="Segoe UI"/>
                <w:b/>
                <w:bCs/>
                <w:sz w:val="16"/>
                <w:szCs w:val="16"/>
              </w:rPr>
              <w:t xml:space="preserve">  </w:t>
            </w:r>
          </w:p>
        </w:tc>
        <w:tc>
          <w:tcPr>
            <w:tcW w:w="1393" w:type="pct"/>
            <w:tcBorders>
              <w:top w:val="nil"/>
              <w:left w:val="nil"/>
              <w:bottom w:val="single" w:sz="4" w:space="0" w:color="auto"/>
              <w:right w:val="single" w:sz="4" w:space="0" w:color="auto"/>
            </w:tcBorders>
            <w:shd w:val="clear" w:color="auto" w:fill="auto"/>
            <w:vAlign w:val="center"/>
            <w:hideMark/>
          </w:tcPr>
          <w:p w14:paraId="3246125A" w14:textId="77777777" w:rsidR="00100C79" w:rsidRPr="008A0812" w:rsidRDefault="00100C79" w:rsidP="002868F1">
            <w:pPr>
              <w:overflowPunct/>
              <w:autoSpaceDE/>
              <w:autoSpaceDN/>
              <w:adjustRightInd/>
              <w:jc w:val="center"/>
              <w:textAlignment w:val="auto"/>
              <w:rPr>
                <w:rFonts w:cs="Calibri"/>
                <w:b/>
                <w:bCs/>
              </w:rPr>
            </w:pPr>
            <w:r w:rsidRPr="008A0812">
              <w:rPr>
                <w:rFonts w:cs="Calibri"/>
                <w:b/>
                <w:bCs/>
              </w:rPr>
              <w:t>Will be eliminated as part of DGBU Program and permit terminated</w:t>
            </w:r>
          </w:p>
        </w:tc>
      </w:tr>
      <w:tr w:rsidR="00100C79" w:rsidRPr="008A0812" w14:paraId="25D8CFB1"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7F62D253"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G12500</w:t>
            </w:r>
          </w:p>
        </w:tc>
        <w:tc>
          <w:tcPr>
            <w:tcW w:w="1250" w:type="pct"/>
            <w:tcBorders>
              <w:top w:val="nil"/>
              <w:left w:val="nil"/>
              <w:bottom w:val="single" w:sz="4" w:space="0" w:color="auto"/>
              <w:right w:val="single" w:sz="4" w:space="0" w:color="auto"/>
            </w:tcBorders>
            <w:shd w:val="clear" w:color="auto" w:fill="auto"/>
            <w:vAlign w:val="center"/>
            <w:hideMark/>
          </w:tcPr>
          <w:p w14:paraId="0D2BBD6E"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CAT #1</w:t>
            </w:r>
          </w:p>
        </w:tc>
        <w:tc>
          <w:tcPr>
            <w:tcW w:w="1107" w:type="pct"/>
            <w:tcBorders>
              <w:top w:val="nil"/>
              <w:left w:val="nil"/>
              <w:bottom w:val="single" w:sz="4" w:space="0" w:color="auto"/>
              <w:right w:val="single" w:sz="4" w:space="0" w:color="auto"/>
            </w:tcBorders>
            <w:shd w:val="clear" w:color="auto" w:fill="auto"/>
            <w:vAlign w:val="center"/>
            <w:hideMark/>
          </w:tcPr>
          <w:p w14:paraId="620EE16D"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 xml:space="preserve">Natural Gas </w:t>
            </w:r>
          </w:p>
        </w:tc>
        <w:tc>
          <w:tcPr>
            <w:tcW w:w="1393" w:type="pct"/>
            <w:tcBorders>
              <w:top w:val="nil"/>
              <w:left w:val="nil"/>
              <w:bottom w:val="single" w:sz="4" w:space="0" w:color="auto"/>
              <w:right w:val="single" w:sz="4" w:space="0" w:color="auto"/>
            </w:tcBorders>
            <w:shd w:val="clear" w:color="auto" w:fill="auto"/>
            <w:vAlign w:val="center"/>
            <w:hideMark/>
          </w:tcPr>
          <w:p w14:paraId="6FEB02D6"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57EC64E2"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09A48E33"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G19402</w:t>
            </w:r>
          </w:p>
        </w:tc>
        <w:tc>
          <w:tcPr>
            <w:tcW w:w="1250" w:type="pct"/>
            <w:tcBorders>
              <w:top w:val="nil"/>
              <w:left w:val="nil"/>
              <w:bottom w:val="single" w:sz="4" w:space="0" w:color="auto"/>
              <w:right w:val="single" w:sz="4" w:space="0" w:color="auto"/>
            </w:tcBorders>
            <w:shd w:val="clear" w:color="auto" w:fill="auto"/>
            <w:vAlign w:val="center"/>
            <w:hideMark/>
          </w:tcPr>
          <w:p w14:paraId="08EFE64A"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Boiler # 1 – East Unit</w:t>
            </w:r>
          </w:p>
        </w:tc>
        <w:tc>
          <w:tcPr>
            <w:tcW w:w="1107" w:type="pct"/>
            <w:tcBorders>
              <w:top w:val="nil"/>
              <w:left w:val="nil"/>
              <w:bottom w:val="single" w:sz="4" w:space="0" w:color="auto"/>
              <w:right w:val="single" w:sz="4" w:space="0" w:color="auto"/>
            </w:tcBorders>
            <w:shd w:val="clear" w:color="auto" w:fill="auto"/>
            <w:vAlign w:val="center"/>
            <w:hideMark/>
          </w:tcPr>
          <w:p w14:paraId="76625B5A"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Digester Gas with Flue Gas Recirculation</w:t>
            </w:r>
          </w:p>
        </w:tc>
        <w:tc>
          <w:tcPr>
            <w:tcW w:w="1393" w:type="pct"/>
            <w:tcBorders>
              <w:top w:val="nil"/>
              <w:left w:val="nil"/>
              <w:bottom w:val="single" w:sz="4" w:space="0" w:color="auto"/>
              <w:right w:val="single" w:sz="4" w:space="0" w:color="auto"/>
            </w:tcBorders>
            <w:shd w:val="clear" w:color="auto" w:fill="auto"/>
            <w:vAlign w:val="center"/>
            <w:hideMark/>
          </w:tcPr>
          <w:p w14:paraId="36578DEC"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7D1E3E5F"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22E71D40"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G33083</w:t>
            </w:r>
          </w:p>
        </w:tc>
        <w:tc>
          <w:tcPr>
            <w:tcW w:w="1250" w:type="pct"/>
            <w:tcBorders>
              <w:top w:val="nil"/>
              <w:left w:val="nil"/>
              <w:bottom w:val="single" w:sz="4" w:space="0" w:color="auto"/>
              <w:right w:val="single" w:sz="4" w:space="0" w:color="auto"/>
            </w:tcBorders>
            <w:shd w:val="clear" w:color="auto" w:fill="auto"/>
            <w:vAlign w:val="center"/>
            <w:hideMark/>
          </w:tcPr>
          <w:p w14:paraId="1759F05A" w14:textId="77777777" w:rsidR="00100C79" w:rsidRPr="008A0812" w:rsidRDefault="00100C79" w:rsidP="002868F1">
            <w:pPr>
              <w:overflowPunct/>
              <w:autoSpaceDE/>
              <w:autoSpaceDN/>
              <w:adjustRightInd/>
              <w:jc w:val="center"/>
              <w:textAlignment w:val="auto"/>
              <w:rPr>
                <w:rFonts w:cs="Segoe UI"/>
                <w:color w:val="000000"/>
                <w:sz w:val="16"/>
                <w:szCs w:val="16"/>
              </w:rPr>
            </w:pPr>
            <w:r w:rsidRPr="008A0812">
              <w:rPr>
                <w:rFonts w:cs="Segoe UI"/>
                <w:color w:val="000000"/>
              </w:rPr>
              <w:t>Partial Oxidation Gas Turbine</w:t>
            </w:r>
            <w:r w:rsidRPr="008A0812">
              <w:rPr>
                <w:rFonts w:cs="Segoe UI"/>
                <w:color w:val="000000"/>
                <w:sz w:val="16"/>
                <w:szCs w:val="16"/>
              </w:rPr>
              <w:t xml:space="preserve">  </w:t>
            </w:r>
          </w:p>
          <w:p w14:paraId="706666D6"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(Experimental Research Operations)</w:t>
            </w:r>
          </w:p>
        </w:tc>
        <w:tc>
          <w:tcPr>
            <w:tcW w:w="1107" w:type="pct"/>
            <w:tcBorders>
              <w:top w:val="nil"/>
              <w:left w:val="nil"/>
              <w:bottom w:val="single" w:sz="4" w:space="0" w:color="auto"/>
              <w:right w:val="single" w:sz="4" w:space="0" w:color="auto"/>
            </w:tcBorders>
            <w:shd w:val="clear" w:color="auto" w:fill="auto"/>
            <w:vAlign w:val="center"/>
            <w:hideMark/>
          </w:tcPr>
          <w:p w14:paraId="23841E26"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c>
          <w:tcPr>
            <w:tcW w:w="1393" w:type="pct"/>
            <w:tcBorders>
              <w:top w:val="nil"/>
              <w:left w:val="nil"/>
              <w:bottom w:val="single" w:sz="4" w:space="0" w:color="auto"/>
              <w:right w:val="single" w:sz="4" w:space="0" w:color="auto"/>
            </w:tcBorders>
            <w:shd w:val="clear" w:color="auto" w:fill="auto"/>
            <w:vAlign w:val="center"/>
            <w:hideMark/>
          </w:tcPr>
          <w:p w14:paraId="1E855BC4" w14:textId="77777777" w:rsidR="00100C79" w:rsidRPr="008A0812" w:rsidRDefault="00100C79" w:rsidP="002868F1">
            <w:pPr>
              <w:overflowPunct/>
              <w:autoSpaceDE/>
              <w:autoSpaceDN/>
              <w:adjustRightInd/>
              <w:jc w:val="center"/>
              <w:textAlignment w:val="auto"/>
              <w:rPr>
                <w:rFonts w:cs="Calibri"/>
                <w:color w:val="000000"/>
              </w:rPr>
            </w:pPr>
            <w:r w:rsidRPr="008A0812">
              <w:rPr>
                <w:rFonts w:cs="Calibri"/>
                <w:color w:val="000000"/>
              </w:rPr>
              <w:t>Demonstration project; not a commercially viable option</w:t>
            </w:r>
          </w:p>
        </w:tc>
      </w:tr>
      <w:tr w:rsidR="00100C79" w:rsidRPr="008A0812" w14:paraId="398B5476"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0C4BD05B"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G33167</w:t>
            </w:r>
          </w:p>
        </w:tc>
        <w:tc>
          <w:tcPr>
            <w:tcW w:w="1250" w:type="pct"/>
            <w:tcBorders>
              <w:top w:val="nil"/>
              <w:left w:val="nil"/>
              <w:bottom w:val="single" w:sz="4" w:space="0" w:color="auto"/>
              <w:right w:val="single" w:sz="4" w:space="0" w:color="auto"/>
            </w:tcBorders>
            <w:shd w:val="clear" w:color="auto" w:fill="auto"/>
            <w:vAlign w:val="center"/>
            <w:hideMark/>
          </w:tcPr>
          <w:p w14:paraId="5384E0B0"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Landa Steam Washer</w:t>
            </w:r>
          </w:p>
        </w:tc>
        <w:tc>
          <w:tcPr>
            <w:tcW w:w="1107" w:type="pct"/>
            <w:tcBorders>
              <w:top w:val="nil"/>
              <w:left w:val="nil"/>
              <w:bottom w:val="single" w:sz="4" w:space="0" w:color="auto"/>
              <w:right w:val="single" w:sz="4" w:space="0" w:color="auto"/>
            </w:tcBorders>
            <w:shd w:val="clear" w:color="auto" w:fill="auto"/>
            <w:vAlign w:val="center"/>
            <w:hideMark/>
          </w:tcPr>
          <w:p w14:paraId="2BACB188" w14:textId="24FC62D5" w:rsidR="00100C79" w:rsidRPr="008A0812" w:rsidRDefault="00100C79" w:rsidP="00965656">
            <w:pPr>
              <w:overflowPunct/>
              <w:autoSpaceDE/>
              <w:autoSpaceDN/>
              <w:adjustRightInd/>
              <w:jc w:val="center"/>
              <w:textAlignment w:val="auto"/>
              <w:rPr>
                <w:rFonts w:cs="Calibri"/>
                <w:color w:val="000000"/>
              </w:rPr>
            </w:pPr>
            <w:r w:rsidRPr="008A0812">
              <w:rPr>
                <w:rFonts w:cs="Calibri"/>
                <w:color w:val="000000"/>
              </w:rPr>
              <w:t>Diesel</w:t>
            </w:r>
          </w:p>
        </w:tc>
        <w:tc>
          <w:tcPr>
            <w:tcW w:w="1393" w:type="pct"/>
            <w:tcBorders>
              <w:top w:val="nil"/>
              <w:left w:val="nil"/>
              <w:bottom w:val="single" w:sz="4" w:space="0" w:color="auto"/>
              <w:right w:val="single" w:sz="4" w:space="0" w:color="auto"/>
            </w:tcBorders>
            <w:shd w:val="clear" w:color="auto" w:fill="auto"/>
            <w:vAlign w:val="center"/>
            <w:hideMark/>
          </w:tcPr>
          <w:p w14:paraId="1B236FF9"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6776545A"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313404C4"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G37211*</w:t>
            </w:r>
          </w:p>
        </w:tc>
        <w:tc>
          <w:tcPr>
            <w:tcW w:w="1250" w:type="pct"/>
            <w:tcBorders>
              <w:top w:val="nil"/>
              <w:left w:val="nil"/>
              <w:bottom w:val="single" w:sz="4" w:space="0" w:color="auto"/>
              <w:right w:val="single" w:sz="4" w:space="0" w:color="auto"/>
            </w:tcBorders>
            <w:shd w:val="clear" w:color="auto" w:fill="auto"/>
            <w:vAlign w:val="center"/>
            <w:hideMark/>
          </w:tcPr>
          <w:p w14:paraId="33A79B23"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Cogen System #1</w:t>
            </w:r>
          </w:p>
        </w:tc>
        <w:tc>
          <w:tcPr>
            <w:tcW w:w="1107" w:type="pct"/>
            <w:tcBorders>
              <w:top w:val="nil"/>
              <w:left w:val="nil"/>
              <w:bottom w:val="single" w:sz="4" w:space="0" w:color="auto"/>
              <w:right w:val="single" w:sz="4" w:space="0" w:color="auto"/>
            </w:tcBorders>
            <w:shd w:val="clear" w:color="auto" w:fill="auto"/>
            <w:vAlign w:val="center"/>
            <w:hideMark/>
          </w:tcPr>
          <w:p w14:paraId="3FF74F94" w14:textId="77777777" w:rsidR="00100C79" w:rsidRPr="008A0812" w:rsidRDefault="00100C79" w:rsidP="002868F1">
            <w:pPr>
              <w:overflowPunct/>
              <w:autoSpaceDE/>
              <w:autoSpaceDN/>
              <w:adjustRightInd/>
              <w:jc w:val="center"/>
              <w:textAlignment w:val="auto"/>
              <w:rPr>
                <w:rFonts w:cs="Calibri"/>
                <w:b/>
                <w:bCs/>
              </w:rPr>
            </w:pPr>
            <w:r w:rsidRPr="008A0812">
              <w:rPr>
                <w:rFonts w:cs="Segoe UI"/>
                <w:b/>
                <w:bCs/>
              </w:rPr>
              <w:t xml:space="preserve">Digester Gas </w:t>
            </w:r>
          </w:p>
        </w:tc>
        <w:tc>
          <w:tcPr>
            <w:tcW w:w="1393" w:type="pct"/>
            <w:tcBorders>
              <w:top w:val="nil"/>
              <w:left w:val="nil"/>
              <w:bottom w:val="single" w:sz="4" w:space="0" w:color="auto"/>
              <w:right w:val="single" w:sz="4" w:space="0" w:color="auto"/>
            </w:tcBorders>
            <w:shd w:val="clear" w:color="auto" w:fill="auto"/>
            <w:vAlign w:val="center"/>
            <w:hideMark/>
          </w:tcPr>
          <w:p w14:paraId="0DB4ADA5" w14:textId="4CCB0BD2" w:rsidR="00100C79" w:rsidRPr="008A0812" w:rsidRDefault="00100C79" w:rsidP="002868F1">
            <w:pPr>
              <w:overflowPunct/>
              <w:autoSpaceDE/>
              <w:autoSpaceDN/>
              <w:adjustRightInd/>
              <w:jc w:val="center"/>
              <w:textAlignment w:val="auto"/>
              <w:rPr>
                <w:rFonts w:cs="Calibri"/>
                <w:b/>
                <w:bCs/>
              </w:rPr>
            </w:pPr>
            <w:r w:rsidRPr="008A0812">
              <w:rPr>
                <w:rFonts w:cs="Calibri"/>
                <w:b/>
                <w:bCs/>
              </w:rPr>
              <w:t xml:space="preserve">Will be eliminated </w:t>
            </w:r>
            <w:r w:rsidR="00EA4328" w:rsidRPr="008A0812">
              <w:rPr>
                <w:rFonts w:cs="Calibri"/>
                <w:b/>
                <w:bCs/>
              </w:rPr>
              <w:t>with</w:t>
            </w:r>
            <w:r w:rsidRPr="008A0812">
              <w:rPr>
                <w:rFonts w:cs="Calibri"/>
                <w:b/>
                <w:bCs/>
              </w:rPr>
              <w:t xml:space="preserve"> DGBU Program</w:t>
            </w:r>
          </w:p>
        </w:tc>
      </w:tr>
      <w:tr w:rsidR="00100C79" w:rsidRPr="008A0812" w14:paraId="239856AA"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418EF07D" w14:textId="17B5CB96"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color w:val="000000"/>
              </w:rPr>
              <w:t>G40829</w:t>
            </w:r>
            <w:r w:rsidR="00965656" w:rsidRPr="008A0812">
              <w:rPr>
                <w:rFonts w:cs="Segoe UI"/>
                <w:b/>
                <w:bCs/>
                <w:color w:val="000000"/>
              </w:rPr>
              <w:t>*</w:t>
            </w:r>
          </w:p>
        </w:tc>
        <w:tc>
          <w:tcPr>
            <w:tcW w:w="1250" w:type="pct"/>
            <w:tcBorders>
              <w:top w:val="nil"/>
              <w:left w:val="nil"/>
              <w:bottom w:val="single" w:sz="4" w:space="0" w:color="auto"/>
              <w:right w:val="single" w:sz="4" w:space="0" w:color="auto"/>
            </w:tcBorders>
            <w:shd w:val="clear" w:color="auto" w:fill="auto"/>
            <w:vAlign w:val="center"/>
            <w:hideMark/>
          </w:tcPr>
          <w:p w14:paraId="23ACC58D" w14:textId="77777777" w:rsidR="00100C79" w:rsidRPr="008A0812" w:rsidRDefault="00100C79" w:rsidP="002868F1">
            <w:pPr>
              <w:overflowPunct/>
              <w:autoSpaceDE/>
              <w:autoSpaceDN/>
              <w:adjustRightInd/>
              <w:jc w:val="center"/>
              <w:textAlignment w:val="auto"/>
              <w:rPr>
                <w:rFonts w:cs="Calibri"/>
                <w:b/>
                <w:bCs/>
                <w:color w:val="000000"/>
              </w:rPr>
            </w:pPr>
            <w:r w:rsidRPr="008A0812">
              <w:rPr>
                <w:rFonts w:cs="Segoe UI"/>
                <w:b/>
                <w:bCs/>
                <w:color w:val="000000"/>
              </w:rPr>
              <w:t>Sewage Treatment</w:t>
            </w:r>
          </w:p>
        </w:tc>
        <w:tc>
          <w:tcPr>
            <w:tcW w:w="1107" w:type="pct"/>
            <w:tcBorders>
              <w:top w:val="nil"/>
              <w:left w:val="nil"/>
              <w:bottom w:val="single" w:sz="4" w:space="0" w:color="auto"/>
              <w:right w:val="single" w:sz="4" w:space="0" w:color="auto"/>
            </w:tcBorders>
            <w:shd w:val="clear" w:color="auto" w:fill="auto"/>
            <w:vAlign w:val="center"/>
            <w:hideMark/>
          </w:tcPr>
          <w:p w14:paraId="36237968" w14:textId="77777777" w:rsidR="00100C79" w:rsidRPr="008A0812" w:rsidRDefault="00100C79" w:rsidP="002868F1">
            <w:pPr>
              <w:overflowPunct/>
              <w:autoSpaceDE/>
              <w:autoSpaceDN/>
              <w:adjustRightInd/>
              <w:textAlignment w:val="auto"/>
              <w:rPr>
                <w:rFonts w:cs="Calibri"/>
                <w:b/>
                <w:bCs/>
                <w:color w:val="000000"/>
              </w:rPr>
            </w:pPr>
            <w:r w:rsidRPr="008A0812">
              <w:rPr>
                <w:rFonts w:cs="Calibri"/>
                <w:b/>
                <w:bCs/>
                <w:color w:val="000000"/>
              </w:rPr>
              <w:t> </w:t>
            </w:r>
          </w:p>
        </w:tc>
        <w:tc>
          <w:tcPr>
            <w:tcW w:w="1393" w:type="pct"/>
            <w:tcBorders>
              <w:top w:val="nil"/>
              <w:left w:val="nil"/>
              <w:bottom w:val="single" w:sz="4" w:space="0" w:color="auto"/>
              <w:right w:val="single" w:sz="4" w:space="0" w:color="auto"/>
            </w:tcBorders>
            <w:shd w:val="clear" w:color="auto" w:fill="auto"/>
            <w:vAlign w:val="center"/>
            <w:hideMark/>
          </w:tcPr>
          <w:p w14:paraId="09F553B1" w14:textId="016841ED" w:rsidR="00100C79" w:rsidRPr="008A0812" w:rsidRDefault="00100C79" w:rsidP="002868F1">
            <w:pPr>
              <w:overflowPunct/>
              <w:autoSpaceDE/>
              <w:autoSpaceDN/>
              <w:adjustRightInd/>
              <w:textAlignment w:val="auto"/>
              <w:rPr>
                <w:rFonts w:cs="Calibri"/>
                <w:b/>
                <w:bCs/>
                <w:color w:val="000000"/>
              </w:rPr>
            </w:pPr>
            <w:r w:rsidRPr="008A0812">
              <w:rPr>
                <w:b/>
                <w:bCs/>
              </w:rPr>
              <w:t>Will be amended to include tertiary treatment system and possibly DGBU Program’s DG Storage project</w:t>
            </w:r>
            <w:r w:rsidRPr="008A0812" w:rsidDel="0042376A">
              <w:rPr>
                <w:rStyle w:val="CommentReference"/>
                <w:b/>
                <w:bCs/>
              </w:rPr>
              <w:t xml:space="preserve"> </w:t>
            </w:r>
          </w:p>
        </w:tc>
      </w:tr>
      <w:tr w:rsidR="00100C79" w:rsidRPr="008A0812" w14:paraId="58D468DD"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2641756D"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R-F99434</w:t>
            </w:r>
          </w:p>
        </w:tc>
        <w:tc>
          <w:tcPr>
            <w:tcW w:w="1250" w:type="pct"/>
            <w:tcBorders>
              <w:top w:val="nil"/>
              <w:left w:val="nil"/>
              <w:bottom w:val="single" w:sz="4" w:space="0" w:color="auto"/>
              <w:right w:val="single" w:sz="4" w:space="0" w:color="auto"/>
            </w:tcBorders>
            <w:shd w:val="clear" w:color="auto" w:fill="auto"/>
            <w:vAlign w:val="center"/>
            <w:hideMark/>
          </w:tcPr>
          <w:p w14:paraId="754CB762" w14:textId="77777777" w:rsidR="00EA4328" w:rsidRPr="008A0812" w:rsidRDefault="00100C79" w:rsidP="002868F1">
            <w:pPr>
              <w:overflowPunct/>
              <w:autoSpaceDE/>
              <w:autoSpaceDN/>
              <w:adjustRightInd/>
              <w:jc w:val="center"/>
              <w:textAlignment w:val="auto"/>
              <w:rPr>
                <w:rFonts w:cs="Segoe UI"/>
                <w:color w:val="000000"/>
              </w:rPr>
            </w:pPr>
            <w:r w:rsidRPr="008A0812">
              <w:rPr>
                <w:rFonts w:cs="Segoe UI"/>
                <w:color w:val="000000"/>
              </w:rPr>
              <w:t>Odor Scrubber</w:t>
            </w:r>
          </w:p>
          <w:p w14:paraId="38429CE2" w14:textId="45290CA4" w:rsidR="00100C79" w:rsidRPr="008A0812" w:rsidRDefault="00EA4328" w:rsidP="002868F1">
            <w:pPr>
              <w:overflowPunct/>
              <w:autoSpaceDE/>
              <w:autoSpaceDN/>
              <w:adjustRightInd/>
              <w:jc w:val="center"/>
              <w:textAlignment w:val="auto"/>
              <w:rPr>
                <w:rFonts w:cs="Calibri"/>
                <w:color w:val="000000"/>
              </w:rPr>
            </w:pPr>
            <w:r w:rsidRPr="008A0812">
              <w:rPr>
                <w:rFonts w:cs="Segoe UI"/>
                <w:color w:val="000000"/>
              </w:rPr>
              <w:t>(</w:t>
            </w:r>
            <w:r w:rsidR="00100C79" w:rsidRPr="008A0812">
              <w:rPr>
                <w:rFonts w:cs="Segoe UI"/>
                <w:color w:val="000000"/>
              </w:rPr>
              <w:t>Thickeners</w:t>
            </w:r>
            <w:r w:rsidRPr="008A0812">
              <w:rPr>
                <w:rFonts w:cs="Segoe UI"/>
                <w:color w:val="000000"/>
              </w:rPr>
              <w:t>)</w:t>
            </w:r>
          </w:p>
        </w:tc>
        <w:tc>
          <w:tcPr>
            <w:tcW w:w="1107" w:type="pct"/>
            <w:tcBorders>
              <w:top w:val="nil"/>
              <w:left w:val="nil"/>
              <w:bottom w:val="single" w:sz="4" w:space="0" w:color="auto"/>
              <w:right w:val="single" w:sz="4" w:space="0" w:color="auto"/>
            </w:tcBorders>
            <w:shd w:val="clear" w:color="auto" w:fill="auto"/>
            <w:vAlign w:val="center"/>
            <w:hideMark/>
          </w:tcPr>
          <w:p w14:paraId="6E894C1C"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c>
          <w:tcPr>
            <w:tcW w:w="1393" w:type="pct"/>
            <w:tcBorders>
              <w:top w:val="nil"/>
              <w:left w:val="nil"/>
              <w:bottom w:val="single" w:sz="4" w:space="0" w:color="auto"/>
              <w:right w:val="single" w:sz="4" w:space="0" w:color="auto"/>
            </w:tcBorders>
            <w:shd w:val="clear" w:color="auto" w:fill="auto"/>
            <w:vAlign w:val="center"/>
            <w:hideMark/>
          </w:tcPr>
          <w:p w14:paraId="2439CF5A"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2513F1A1"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67C7D6D3"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R-F99435</w:t>
            </w:r>
          </w:p>
        </w:tc>
        <w:tc>
          <w:tcPr>
            <w:tcW w:w="1250" w:type="pct"/>
            <w:tcBorders>
              <w:top w:val="nil"/>
              <w:left w:val="nil"/>
              <w:bottom w:val="single" w:sz="4" w:space="0" w:color="auto"/>
              <w:right w:val="single" w:sz="4" w:space="0" w:color="auto"/>
            </w:tcBorders>
            <w:shd w:val="clear" w:color="auto" w:fill="auto"/>
            <w:vAlign w:val="center"/>
            <w:hideMark/>
          </w:tcPr>
          <w:p w14:paraId="63797CF9" w14:textId="77777777" w:rsidR="00EA4328" w:rsidRPr="008A0812" w:rsidRDefault="00100C79" w:rsidP="002868F1">
            <w:pPr>
              <w:overflowPunct/>
              <w:autoSpaceDE/>
              <w:autoSpaceDN/>
              <w:adjustRightInd/>
              <w:jc w:val="center"/>
              <w:textAlignment w:val="auto"/>
              <w:rPr>
                <w:rFonts w:cs="Segoe UI"/>
                <w:color w:val="000000"/>
              </w:rPr>
            </w:pPr>
            <w:r w:rsidRPr="008A0812">
              <w:rPr>
                <w:rFonts w:cs="Segoe UI"/>
                <w:color w:val="000000"/>
              </w:rPr>
              <w:t>Odor Scrubber</w:t>
            </w:r>
          </w:p>
          <w:p w14:paraId="7889561C" w14:textId="41F706F7" w:rsidR="00100C79" w:rsidRPr="008A0812" w:rsidRDefault="00EA4328" w:rsidP="002868F1">
            <w:pPr>
              <w:overflowPunct/>
              <w:autoSpaceDE/>
              <w:autoSpaceDN/>
              <w:adjustRightInd/>
              <w:jc w:val="center"/>
              <w:textAlignment w:val="auto"/>
              <w:rPr>
                <w:rFonts w:cs="Calibri"/>
                <w:color w:val="000000"/>
              </w:rPr>
            </w:pPr>
            <w:r w:rsidRPr="008A0812">
              <w:rPr>
                <w:rFonts w:cs="Segoe UI"/>
                <w:color w:val="000000"/>
              </w:rPr>
              <w:t>(</w:t>
            </w:r>
            <w:r w:rsidR="00100C79" w:rsidRPr="008A0812">
              <w:rPr>
                <w:rFonts w:cs="Segoe UI"/>
                <w:color w:val="000000"/>
              </w:rPr>
              <w:t>Headworks</w:t>
            </w:r>
            <w:r w:rsidRPr="008A0812">
              <w:rPr>
                <w:rFonts w:cs="Segoe UI"/>
                <w:color w:val="000000"/>
              </w:rPr>
              <w:t>)</w:t>
            </w:r>
          </w:p>
        </w:tc>
        <w:tc>
          <w:tcPr>
            <w:tcW w:w="1107" w:type="pct"/>
            <w:tcBorders>
              <w:top w:val="nil"/>
              <w:left w:val="nil"/>
              <w:bottom w:val="single" w:sz="4" w:space="0" w:color="auto"/>
              <w:right w:val="single" w:sz="4" w:space="0" w:color="auto"/>
            </w:tcBorders>
            <w:shd w:val="clear" w:color="auto" w:fill="auto"/>
            <w:vAlign w:val="center"/>
            <w:hideMark/>
          </w:tcPr>
          <w:p w14:paraId="47B95ADF"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c>
          <w:tcPr>
            <w:tcW w:w="1393" w:type="pct"/>
            <w:tcBorders>
              <w:top w:val="nil"/>
              <w:left w:val="nil"/>
              <w:bottom w:val="single" w:sz="4" w:space="0" w:color="auto"/>
              <w:right w:val="single" w:sz="4" w:space="0" w:color="auto"/>
            </w:tcBorders>
            <w:shd w:val="clear" w:color="auto" w:fill="auto"/>
            <w:vAlign w:val="center"/>
            <w:hideMark/>
          </w:tcPr>
          <w:p w14:paraId="2CDFE9AA"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r w:rsidR="00100C79" w:rsidRPr="008A0812" w14:paraId="5F412859" w14:textId="77777777" w:rsidTr="00965656">
        <w:trPr>
          <w:trHeight w:val="576"/>
        </w:trPr>
        <w:tc>
          <w:tcPr>
            <w:tcW w:w="1250" w:type="pct"/>
            <w:tcBorders>
              <w:top w:val="nil"/>
              <w:left w:val="single" w:sz="4" w:space="0" w:color="auto"/>
              <w:bottom w:val="single" w:sz="4" w:space="0" w:color="auto"/>
              <w:right w:val="single" w:sz="4" w:space="0" w:color="auto"/>
            </w:tcBorders>
            <w:shd w:val="clear" w:color="auto" w:fill="auto"/>
            <w:vAlign w:val="center"/>
            <w:hideMark/>
          </w:tcPr>
          <w:p w14:paraId="09298349" w14:textId="77777777" w:rsidR="00100C79" w:rsidRPr="008A0812" w:rsidRDefault="00100C79" w:rsidP="002868F1">
            <w:pPr>
              <w:overflowPunct/>
              <w:autoSpaceDE/>
              <w:autoSpaceDN/>
              <w:adjustRightInd/>
              <w:jc w:val="center"/>
              <w:textAlignment w:val="auto"/>
              <w:rPr>
                <w:rFonts w:cs="Calibri"/>
                <w:color w:val="000000"/>
              </w:rPr>
            </w:pPr>
            <w:r w:rsidRPr="008A0812">
              <w:rPr>
                <w:rFonts w:cs="Segoe UI"/>
                <w:color w:val="000000"/>
              </w:rPr>
              <w:t>R-F99436</w:t>
            </w:r>
          </w:p>
        </w:tc>
        <w:tc>
          <w:tcPr>
            <w:tcW w:w="1250" w:type="pct"/>
            <w:tcBorders>
              <w:top w:val="nil"/>
              <w:left w:val="nil"/>
              <w:bottom w:val="single" w:sz="4" w:space="0" w:color="auto"/>
              <w:right w:val="single" w:sz="4" w:space="0" w:color="auto"/>
            </w:tcBorders>
            <w:shd w:val="clear" w:color="auto" w:fill="auto"/>
            <w:vAlign w:val="center"/>
            <w:hideMark/>
          </w:tcPr>
          <w:p w14:paraId="08C5C253" w14:textId="77777777" w:rsidR="00EA4328" w:rsidRPr="008A0812" w:rsidRDefault="00100C79" w:rsidP="002868F1">
            <w:pPr>
              <w:overflowPunct/>
              <w:autoSpaceDE/>
              <w:autoSpaceDN/>
              <w:adjustRightInd/>
              <w:jc w:val="center"/>
              <w:textAlignment w:val="auto"/>
              <w:rPr>
                <w:rFonts w:cs="Segoe UI"/>
                <w:color w:val="000000"/>
              </w:rPr>
            </w:pPr>
            <w:r w:rsidRPr="008A0812">
              <w:rPr>
                <w:rFonts w:cs="Segoe UI"/>
                <w:color w:val="000000"/>
              </w:rPr>
              <w:t>Odor Scrubber</w:t>
            </w:r>
          </w:p>
          <w:p w14:paraId="189E3A2C" w14:textId="071B903C" w:rsidR="00100C79" w:rsidRPr="008A0812" w:rsidRDefault="00EA4328" w:rsidP="00EA4328">
            <w:pPr>
              <w:overflowPunct/>
              <w:autoSpaceDE/>
              <w:autoSpaceDN/>
              <w:adjustRightInd/>
              <w:jc w:val="center"/>
              <w:textAlignment w:val="auto"/>
              <w:rPr>
                <w:rFonts w:cs="Calibri"/>
                <w:color w:val="000000"/>
              </w:rPr>
            </w:pPr>
            <w:r w:rsidRPr="008A0812">
              <w:rPr>
                <w:rFonts w:cs="Segoe UI"/>
                <w:color w:val="000000"/>
              </w:rPr>
              <w:t>(</w:t>
            </w:r>
            <w:r w:rsidR="00100C79" w:rsidRPr="008A0812">
              <w:rPr>
                <w:rFonts w:cs="Segoe UI"/>
                <w:color w:val="000000"/>
              </w:rPr>
              <w:t>Belt Press</w:t>
            </w:r>
            <w:r w:rsidRPr="008A0812">
              <w:rPr>
                <w:rFonts w:cs="Segoe UI"/>
                <w:color w:val="000000"/>
              </w:rPr>
              <w:t>)</w:t>
            </w:r>
          </w:p>
        </w:tc>
        <w:tc>
          <w:tcPr>
            <w:tcW w:w="1107" w:type="pct"/>
            <w:tcBorders>
              <w:top w:val="nil"/>
              <w:left w:val="nil"/>
              <w:bottom w:val="single" w:sz="4" w:space="0" w:color="auto"/>
              <w:right w:val="single" w:sz="4" w:space="0" w:color="auto"/>
            </w:tcBorders>
            <w:shd w:val="clear" w:color="auto" w:fill="auto"/>
            <w:vAlign w:val="center"/>
            <w:hideMark/>
          </w:tcPr>
          <w:p w14:paraId="092A7BBC"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c>
          <w:tcPr>
            <w:tcW w:w="1393" w:type="pct"/>
            <w:tcBorders>
              <w:top w:val="nil"/>
              <w:left w:val="nil"/>
              <w:bottom w:val="single" w:sz="4" w:space="0" w:color="auto"/>
              <w:right w:val="single" w:sz="4" w:space="0" w:color="auto"/>
            </w:tcBorders>
            <w:shd w:val="clear" w:color="auto" w:fill="auto"/>
            <w:vAlign w:val="center"/>
            <w:hideMark/>
          </w:tcPr>
          <w:p w14:paraId="3DD9954B" w14:textId="77777777" w:rsidR="00100C79" w:rsidRPr="008A0812" w:rsidRDefault="00100C79" w:rsidP="002868F1">
            <w:pPr>
              <w:overflowPunct/>
              <w:autoSpaceDE/>
              <w:autoSpaceDN/>
              <w:adjustRightInd/>
              <w:textAlignment w:val="auto"/>
              <w:rPr>
                <w:rFonts w:cs="Calibri"/>
                <w:color w:val="000000"/>
              </w:rPr>
            </w:pPr>
            <w:r w:rsidRPr="008A0812">
              <w:rPr>
                <w:rFonts w:cs="Calibri"/>
                <w:color w:val="000000"/>
              </w:rPr>
              <w:t> </w:t>
            </w:r>
          </w:p>
        </w:tc>
      </w:tr>
    </w:tbl>
    <w:p w14:paraId="61B5D0D2" w14:textId="77777777" w:rsidR="00100C79" w:rsidRPr="008A0812" w:rsidRDefault="00100C79" w:rsidP="00100C79">
      <w:pPr>
        <w:rPr>
          <w:i/>
          <w:iCs/>
          <w:sz w:val="20"/>
          <w:szCs w:val="20"/>
        </w:rPr>
      </w:pPr>
      <w:r w:rsidRPr="008A0812">
        <w:rPr>
          <w:i/>
          <w:iCs/>
          <w:sz w:val="20"/>
          <w:szCs w:val="20"/>
        </w:rPr>
        <w:t>*Will be eliminated or amended as part of the DGBU Program.</w:t>
      </w:r>
    </w:p>
    <w:p w14:paraId="1718F71C" w14:textId="77777777" w:rsidR="00100C79" w:rsidRPr="008A0812" w:rsidRDefault="00100C79" w:rsidP="00100C79">
      <w:pPr>
        <w:pStyle w:val="Heading3"/>
      </w:pPr>
      <w:bookmarkStart w:id="453" w:name="_Toc20825393"/>
      <w:bookmarkStart w:id="454" w:name="_Toc41680891"/>
      <w:r w:rsidRPr="008A0812">
        <w:t>California Air Resources Board</w:t>
      </w:r>
      <w:bookmarkEnd w:id="453"/>
      <w:bookmarkEnd w:id="454"/>
    </w:p>
    <w:p w14:paraId="33CCB973" w14:textId="58F66BB1" w:rsidR="00100C79" w:rsidRPr="008A0812" w:rsidRDefault="00100C79" w:rsidP="00100C79">
      <w:pPr>
        <w:pStyle w:val="BodyText"/>
      </w:pPr>
      <w:r w:rsidRPr="008A0812">
        <w:t>The project to decentralize the blowers for Unit 1 and Unit 2 will add provisions for connection of a new (Owner-provided) stationary diesel generator, which will require a Permit to Operate from the SCAQMD.</w:t>
      </w:r>
    </w:p>
    <w:p w14:paraId="4FF3472B" w14:textId="77777777" w:rsidR="00100C79" w:rsidRPr="008A0812" w:rsidRDefault="00100C79" w:rsidP="00100C79">
      <w:pPr>
        <w:pStyle w:val="Heading3"/>
      </w:pPr>
      <w:bookmarkStart w:id="455" w:name="_Ref20223721"/>
      <w:bookmarkStart w:id="456" w:name="_Toc20825394"/>
      <w:bookmarkStart w:id="457" w:name="_Toc41680892"/>
      <w:r w:rsidRPr="008A0812">
        <w:t>Senate Bill 1383 (Short-lived Climate Pollutants)</w:t>
      </w:r>
      <w:bookmarkEnd w:id="455"/>
      <w:bookmarkEnd w:id="456"/>
      <w:bookmarkEnd w:id="457"/>
    </w:p>
    <w:p w14:paraId="2B2BC1F6" w14:textId="6A92E554" w:rsidR="00100C79" w:rsidRPr="008A0812" w:rsidRDefault="00100C79" w:rsidP="003A5EFD">
      <w:pPr>
        <w:pStyle w:val="BodyText"/>
      </w:pPr>
      <w:r w:rsidRPr="008A0812">
        <w:t xml:space="preserve">Short-lived climate pollutants have relatively short atmospheric lifetimes yet have a dramatic and detrimental effect on air quality, public health, and climate change. Senate Bill (SB) 1383, which was passed in September 2016, established reduction targets for short-lived climate pollutants, including methane, hydrofluorocarbons, and anthropogenic black carbon. The bill established reduction targets for the disposal of organic wastes in landfills and requires state agencies to increase the sustainable production and use of renewable gas. SB 1383 established a target of a 50% reduction in the statewide disposal of organic waste by 2020 and a 75% reduction by 2025 (based on the 2014 levels). </w:t>
      </w:r>
      <w:r w:rsidR="003A5EFD" w:rsidRPr="008A0812">
        <w:fldChar w:fldCharType="begin"/>
      </w:r>
      <w:r w:rsidR="003A5EFD" w:rsidRPr="008A0812">
        <w:instrText xml:space="preserve"> REF _Ref36399333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10</w:t>
      </w:r>
      <w:r w:rsidR="003A5EFD" w:rsidRPr="008A0812">
        <w:fldChar w:fldCharType="end"/>
      </w:r>
      <w:r w:rsidRPr="008A0812">
        <w:t xml:space="preserve"> summarizes SB 1383 implementation dates and thresholds</w:t>
      </w:r>
      <w:r w:rsidR="003A5EFD" w:rsidRPr="008A0812">
        <w:t>.</w:t>
      </w:r>
    </w:p>
    <w:p w14:paraId="77F5AC9C" w14:textId="186FE5A7" w:rsidR="003A5EFD" w:rsidRPr="008A0812" w:rsidRDefault="003A5EFD" w:rsidP="003A5EFD">
      <w:pPr>
        <w:pStyle w:val="TableHeading"/>
      </w:pPr>
      <w:bookmarkStart w:id="458" w:name="_Ref36399333"/>
      <w:bookmarkStart w:id="459" w:name="_Toc36414087"/>
      <w:bookmarkStart w:id="460" w:name="_Toc41684776"/>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10</w:t>
      </w:r>
      <w:r>
        <w:fldChar w:fldCharType="end"/>
      </w:r>
      <w:bookmarkEnd w:id="458"/>
      <w:r w:rsidRPr="008A0812">
        <w:t>: Senate Bill 1383 Implementation Dates</w:t>
      </w:r>
      <w:bookmarkEnd w:id="459"/>
      <w:bookmarkEnd w:id="460"/>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35"/>
        <w:gridCol w:w="7109"/>
      </w:tblGrid>
      <w:tr w:rsidR="00100C79" w:rsidRPr="008A0812" w14:paraId="5F680B95" w14:textId="77777777" w:rsidTr="0083595C">
        <w:trPr>
          <w:cantSplit/>
          <w:tblHeader/>
        </w:trPr>
        <w:tc>
          <w:tcPr>
            <w:tcW w:w="223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48BCB75C"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b/>
                <w:bCs/>
              </w:rPr>
              <w:t>Date</w:t>
            </w:r>
          </w:p>
        </w:tc>
        <w:tc>
          <w:tcPr>
            <w:tcW w:w="7109" w:type="dxa"/>
            <w:tcBorders>
              <w:top w:val="single" w:sz="6" w:space="0" w:color="auto"/>
              <w:left w:val="nil"/>
              <w:bottom w:val="single" w:sz="6" w:space="0" w:color="auto"/>
              <w:right w:val="single" w:sz="6" w:space="0" w:color="auto"/>
            </w:tcBorders>
            <w:shd w:val="clear" w:color="auto" w:fill="BFBFBF"/>
            <w:tcMar>
              <w:left w:w="72" w:type="dxa"/>
              <w:right w:w="72" w:type="dxa"/>
            </w:tcMar>
            <w:vAlign w:val="center"/>
            <w:hideMark/>
          </w:tcPr>
          <w:p w14:paraId="0AD318B8"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b/>
                <w:bCs/>
              </w:rPr>
              <w:t>Implementation Thresholds</w:t>
            </w:r>
          </w:p>
        </w:tc>
      </w:tr>
      <w:tr w:rsidR="00100C79" w:rsidRPr="008A0812" w14:paraId="2F3EB718"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35912A92"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2017 - 2019</w:t>
            </w:r>
          </w:p>
        </w:tc>
        <w:tc>
          <w:tcPr>
            <w:tcW w:w="7109"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1D1AFBE8"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CalRecycle will initiate formal rulemaking and adopt the regulations</w:t>
            </w:r>
          </w:p>
        </w:tc>
      </w:tr>
      <w:tr w:rsidR="00100C79" w:rsidRPr="008A0812" w14:paraId="0D905998"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1402D5F5"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January 1, 2020</w:t>
            </w:r>
          </w:p>
        </w:tc>
        <w:tc>
          <w:tcPr>
            <w:tcW w:w="7109"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4BD6E15C"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50% statewide reduction of the disposal of organic waste (based on 2014 level)</w:t>
            </w:r>
          </w:p>
        </w:tc>
      </w:tr>
      <w:tr w:rsidR="00100C79" w:rsidRPr="008A0812" w14:paraId="3AE492DD"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75C9E785"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July 1, 2020</w:t>
            </w:r>
          </w:p>
        </w:tc>
        <w:tc>
          <w:tcPr>
            <w:tcW w:w="7109"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5DC3C835"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CalRecycle and Air Resources Board analyzes progress. If significant progress has not been made, CalRecycle may include incentives or additional requirements. Revisions to targets may also be recommended.</w:t>
            </w:r>
          </w:p>
        </w:tc>
      </w:tr>
      <w:tr w:rsidR="00100C79" w:rsidRPr="008A0812" w14:paraId="69BB111D"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6DE2FA8E"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January 1, 2022</w:t>
            </w:r>
          </w:p>
        </w:tc>
        <w:tc>
          <w:tcPr>
            <w:tcW w:w="7109"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37B3045C"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CalRecycle’s regulations to meet the organic waste reduction targets for 2020 and 2025 take effect and are enforceable.</w:t>
            </w:r>
          </w:p>
        </w:tc>
      </w:tr>
      <w:tr w:rsidR="00100C79" w:rsidRPr="008A0812" w14:paraId="52C85748"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488C819E"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January 1, 2024</w:t>
            </w:r>
          </w:p>
        </w:tc>
        <w:tc>
          <w:tcPr>
            <w:tcW w:w="7109"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51555C72"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Regulations may require local jurisdictions to impose penalties for noncompliance on generators within their jurisdiction.</w:t>
            </w:r>
          </w:p>
        </w:tc>
      </w:tr>
      <w:tr w:rsidR="00100C79" w:rsidRPr="008A0812" w14:paraId="0F283120" w14:textId="77777777" w:rsidTr="00965656">
        <w:trPr>
          <w:trHeight w:val="720"/>
        </w:trPr>
        <w:tc>
          <w:tcPr>
            <w:tcW w:w="2235" w:type="dxa"/>
            <w:tcBorders>
              <w:top w:val="nil"/>
              <w:left w:val="single" w:sz="6" w:space="0" w:color="auto"/>
              <w:bottom w:val="single" w:sz="6" w:space="0" w:color="auto"/>
              <w:right w:val="single" w:sz="6" w:space="0" w:color="auto"/>
            </w:tcBorders>
            <w:shd w:val="clear" w:color="auto" w:fill="auto"/>
            <w:vAlign w:val="center"/>
            <w:hideMark/>
          </w:tcPr>
          <w:p w14:paraId="6AC94523" w14:textId="77777777" w:rsidR="00100C79" w:rsidRPr="008A0812" w:rsidRDefault="00100C79" w:rsidP="002868F1">
            <w:pPr>
              <w:overflowPunct/>
              <w:autoSpaceDE/>
              <w:autoSpaceDN/>
              <w:adjustRightInd/>
              <w:jc w:val="center"/>
              <w:rPr>
                <w:rFonts w:ascii="Segoe UI" w:hAnsi="Segoe UI" w:cs="Segoe UI"/>
                <w:sz w:val="18"/>
                <w:szCs w:val="18"/>
              </w:rPr>
            </w:pPr>
            <w:r w:rsidRPr="008A0812">
              <w:rPr>
                <w:rFonts w:cs="Segoe UI"/>
              </w:rPr>
              <w:t>January 1, 2025</w:t>
            </w:r>
          </w:p>
        </w:tc>
        <w:tc>
          <w:tcPr>
            <w:tcW w:w="7109" w:type="dxa"/>
            <w:tcBorders>
              <w:top w:val="nil"/>
              <w:left w:val="nil"/>
              <w:bottom w:val="single" w:sz="6" w:space="0" w:color="auto"/>
              <w:right w:val="single" w:sz="6" w:space="0" w:color="auto"/>
            </w:tcBorders>
            <w:shd w:val="clear" w:color="auto" w:fill="auto"/>
            <w:tcMar>
              <w:left w:w="72" w:type="dxa"/>
              <w:right w:w="72" w:type="dxa"/>
            </w:tcMar>
            <w:hideMark/>
          </w:tcPr>
          <w:p w14:paraId="466E43B4" w14:textId="77777777" w:rsidR="00100C79" w:rsidRPr="008A0812" w:rsidRDefault="00100C79" w:rsidP="002868F1">
            <w:pPr>
              <w:overflowPunct/>
              <w:autoSpaceDE/>
              <w:autoSpaceDN/>
              <w:adjustRightInd/>
              <w:rPr>
                <w:rFonts w:ascii="Segoe UI" w:hAnsi="Segoe UI" w:cs="Segoe UI"/>
                <w:sz w:val="18"/>
                <w:szCs w:val="18"/>
              </w:rPr>
            </w:pPr>
            <w:r w:rsidRPr="008A0812">
              <w:rPr>
                <w:rFonts w:cs="Segoe UI"/>
              </w:rPr>
              <w:t>The state must achieve a 75% reduction in the level of the statewide disposal of organic waste (based on 2014 level). Not less than 20% of currently disposed of edible food must be recovered for human consumption.</w:t>
            </w:r>
          </w:p>
        </w:tc>
      </w:tr>
    </w:tbl>
    <w:p w14:paraId="68793658" w14:textId="6A206223" w:rsidR="00CF36BE" w:rsidRDefault="00100C79" w:rsidP="00100C79">
      <w:pPr>
        <w:overflowPunct/>
        <w:autoSpaceDE/>
        <w:autoSpaceDN/>
        <w:adjustRightInd/>
        <w:ind w:left="360"/>
        <w:jc w:val="center"/>
        <w:rPr>
          <w:i/>
          <w:iCs/>
          <w:sz w:val="20"/>
          <w:szCs w:val="20"/>
        </w:rPr>
      </w:pPr>
      <w:r w:rsidRPr="008A0812">
        <w:rPr>
          <w:rFonts w:cs="Segoe UI"/>
          <w:i/>
          <w:iCs/>
          <w:sz w:val="20"/>
          <w:szCs w:val="20"/>
        </w:rPr>
        <w:t>Source</w:t>
      </w:r>
      <w:r w:rsidR="00965656" w:rsidRPr="008A0812">
        <w:rPr>
          <w:rFonts w:cs="Segoe UI"/>
          <w:i/>
          <w:iCs/>
          <w:sz w:val="20"/>
          <w:szCs w:val="20"/>
        </w:rPr>
        <w:t>s</w:t>
      </w:r>
      <w:r w:rsidRPr="008A0812">
        <w:rPr>
          <w:rFonts w:cs="Segoe UI"/>
          <w:i/>
          <w:iCs/>
          <w:sz w:val="20"/>
          <w:szCs w:val="20"/>
        </w:rPr>
        <w:t xml:space="preserve">: </w:t>
      </w:r>
      <w:hyperlink r:id="rId94" w:tgtFrame="_blank" w:history="1">
        <w:r w:rsidRPr="008A0812">
          <w:rPr>
            <w:i/>
            <w:iCs/>
            <w:sz w:val="20"/>
            <w:szCs w:val="20"/>
          </w:rPr>
          <w:t>https://www.calrecycle.ca.gov/climate/slcp</w:t>
        </w:r>
      </w:hyperlink>
    </w:p>
    <w:p w14:paraId="2DDE5224" w14:textId="7761B759" w:rsidR="00100C79" w:rsidRPr="008A0812" w:rsidRDefault="00C723CB" w:rsidP="00100C79">
      <w:pPr>
        <w:overflowPunct/>
        <w:autoSpaceDE/>
        <w:autoSpaceDN/>
        <w:adjustRightInd/>
        <w:ind w:left="360"/>
        <w:jc w:val="center"/>
        <w:rPr>
          <w:rFonts w:cs="Segoe UI"/>
          <w:i/>
          <w:iCs/>
          <w:sz w:val="20"/>
          <w:szCs w:val="20"/>
        </w:rPr>
      </w:pPr>
      <w:hyperlink r:id="rId95" w:tgtFrame="_blank" w:history="1">
        <w:r w:rsidR="00100C79" w:rsidRPr="008A0812">
          <w:rPr>
            <w:i/>
            <w:iCs/>
            <w:sz w:val="20"/>
            <w:szCs w:val="20"/>
          </w:rPr>
          <w:t>https://ww3.arb.ca.gov/cc/shortlived/meetings/03142017/final_slcp_report.pdf</w:t>
        </w:r>
      </w:hyperlink>
      <w:r w:rsidR="00100C79" w:rsidRPr="008A0812">
        <w:rPr>
          <w:rFonts w:cs="Segoe UI"/>
          <w:i/>
          <w:iCs/>
          <w:sz w:val="20"/>
          <w:szCs w:val="20"/>
        </w:rPr>
        <w:t xml:space="preserve"> </w:t>
      </w:r>
    </w:p>
    <w:p w14:paraId="4501F968" w14:textId="7AC3BAFA" w:rsidR="00100C79" w:rsidRPr="008A0812" w:rsidRDefault="00C723CB" w:rsidP="00100C79">
      <w:pPr>
        <w:overflowPunct/>
        <w:autoSpaceDE/>
        <w:autoSpaceDN/>
        <w:adjustRightInd/>
        <w:ind w:left="360"/>
        <w:jc w:val="center"/>
        <w:rPr>
          <w:rFonts w:cs="Segoe UI"/>
          <w:i/>
          <w:iCs/>
          <w:sz w:val="20"/>
          <w:szCs w:val="20"/>
        </w:rPr>
      </w:pPr>
      <w:hyperlink r:id="rId96" w:tgtFrame="_blank" w:history="1">
        <w:r w:rsidR="00100C79" w:rsidRPr="008A0812">
          <w:rPr>
            <w:i/>
            <w:iCs/>
            <w:sz w:val="20"/>
            <w:szCs w:val="20"/>
          </w:rPr>
          <w:t>https://www2.calrecycle.ca.gov/PublicNotices/Details/2462</w:t>
        </w:r>
      </w:hyperlink>
      <w:r w:rsidR="00100C79" w:rsidRPr="008A0812">
        <w:rPr>
          <w:rFonts w:cs="Segoe UI"/>
          <w:i/>
          <w:iCs/>
          <w:sz w:val="20"/>
          <w:szCs w:val="20"/>
        </w:rPr>
        <w:t xml:space="preserve"> </w:t>
      </w:r>
    </w:p>
    <w:p w14:paraId="77C9EBCF" w14:textId="77777777" w:rsidR="00100C79" w:rsidRPr="008A0812" w:rsidRDefault="00100C79" w:rsidP="00100C79">
      <w:pPr>
        <w:pStyle w:val="BodyText"/>
      </w:pPr>
      <w:r w:rsidRPr="008A0812">
        <w:t xml:space="preserve">Decomposition of organic matter in landfills is a significant source of methane emissions in the state. SB 1838 may limit biosolids disposal options to landfills and drive up the cost for composting biosolids. The legislation could also result in organics being diverted from landfills to WRPs that have capacity to beneficially use fat, oil, and grease (FOG) and other anaerobically digestible material (ADM) as sources of energy for wastewater treatment. </w:t>
      </w:r>
    </w:p>
    <w:p w14:paraId="18686D05" w14:textId="77777777" w:rsidR="00100C79" w:rsidRPr="008A0812" w:rsidRDefault="00100C79" w:rsidP="00100C79">
      <w:pPr>
        <w:pStyle w:val="BodyText"/>
      </w:pPr>
      <w:r w:rsidRPr="008A0812">
        <w:t xml:space="preserve">SB 1383 could result in significant impacts to biosolids disposal and digester gas facilities at the SBWRP. The existing biosolids contract expires in 2027 (see Section 7.2.2) and no backup contract is in place. Costs for composting Class B biosolids produced at the SBWRP could potentially increase significantly upon expiration of the current contract. Further, the potential for additional FOG/ADM diversion to the SBWRP should be considered when planning digester replacement and maintenance. There are currently four digesters at the SBWRP, one of which is currently inoperable (Digester B). See further discussion in Section 10.5. </w:t>
      </w:r>
    </w:p>
    <w:p w14:paraId="076BBDEB" w14:textId="33BBCD8D" w:rsidR="00100C79" w:rsidRPr="008A0812" w:rsidRDefault="00100C79" w:rsidP="00100C79">
      <w:pPr>
        <w:pStyle w:val="CommentText"/>
        <w:rPr>
          <w:sz w:val="22"/>
          <w:szCs w:val="22"/>
        </w:rPr>
      </w:pPr>
      <w:r w:rsidRPr="008A0812">
        <w:rPr>
          <w:sz w:val="22"/>
          <w:szCs w:val="22"/>
        </w:rPr>
        <w:t>The adoption of R1118.1 also included a resolution that directs SCAQMD staff to “</w:t>
      </w:r>
      <w:r w:rsidRPr="008A0812">
        <w:rPr>
          <w:i/>
          <w:sz w:val="22"/>
          <w:szCs w:val="22"/>
        </w:rPr>
        <w:t>work with the California Air Pollution Control Officers Association, California Department of Resources Recycling and Recovery, California Association of Sanitation Agencies and Southern California Alliance of Publicly Owned Treatment Works in an effort to balance air quality requirements with the state-wide effort to divert organics from landfills as required under Senate Bill 1383, and shall report back to the Stationary Source Committee within 12 months of rule adoption to present findings and potential recommendations</w:t>
      </w:r>
      <w:r w:rsidRPr="008A0812">
        <w:rPr>
          <w:sz w:val="22"/>
          <w:szCs w:val="22"/>
        </w:rPr>
        <w:t>;” and to “</w:t>
      </w:r>
      <w:r w:rsidRPr="008A0812">
        <w:rPr>
          <w:i/>
          <w:sz w:val="22"/>
          <w:szCs w:val="22"/>
        </w:rPr>
        <w:t>conduct a BACT technical assessment for flares receiving biogas derived from advanced digestion and/or organic waste digestion or codigestion that considers costs, review the current scientific literature, existing measurement methods, technology achieved in practice, reliability issues, and if necessary, field testing</w:t>
      </w:r>
      <w:r w:rsidRPr="008A0812">
        <w:rPr>
          <w:sz w:val="22"/>
          <w:szCs w:val="22"/>
        </w:rPr>
        <w:t>”</w:t>
      </w:r>
    </w:p>
    <w:p w14:paraId="4B6184DC" w14:textId="77777777" w:rsidR="00100C79" w:rsidRPr="008A0812" w:rsidRDefault="00100C79" w:rsidP="00100C79">
      <w:pPr>
        <w:pStyle w:val="Heading3"/>
      </w:pPr>
      <w:bookmarkStart w:id="461" w:name="_Toc20825395"/>
      <w:bookmarkStart w:id="462" w:name="_Toc41680893"/>
      <w:r w:rsidRPr="008A0812">
        <w:t>Odor Control</w:t>
      </w:r>
      <w:bookmarkEnd w:id="461"/>
      <w:bookmarkEnd w:id="462"/>
    </w:p>
    <w:p w14:paraId="7732D75E" w14:textId="6FCF607F" w:rsidR="00100C79" w:rsidRPr="008A0812" w:rsidRDefault="00100C79" w:rsidP="00100C79">
      <w:pPr>
        <w:pStyle w:val="BodyText"/>
      </w:pPr>
      <w:r w:rsidRPr="008A0812">
        <w:t xml:space="preserve">Controlling odor emissions is an important consideration in the operation of the SBWRP and the design of new </w:t>
      </w:r>
      <w:r w:rsidR="00CF36BE" w:rsidRPr="008A0812">
        <w:t>facilities</w:t>
      </w:r>
      <w:r w:rsidRPr="008A0812">
        <w:t xml:space="preserve">. Sensitive receptors include hospitals, schools, residences and daycare centers. Nearby sensitive receptors </w:t>
      </w:r>
      <w:r w:rsidR="00EA4328" w:rsidRPr="008A0812">
        <w:t xml:space="preserve">shown on </w:t>
      </w:r>
      <w:r w:rsidR="001565BE" w:rsidRPr="008A0812">
        <w:fldChar w:fldCharType="begin"/>
      </w:r>
      <w:r w:rsidR="001565BE" w:rsidRPr="008A0812">
        <w:instrText xml:space="preserve"> REF _Ref36399442 \h </w:instrText>
      </w:r>
      <w:r w:rsidR="008A0812">
        <w:instrText xml:space="preserve"> \* MERGEFORMAT </w:instrText>
      </w:r>
      <w:r w:rsidR="001565BE" w:rsidRPr="008A0812">
        <w:fldChar w:fldCharType="separate"/>
      </w:r>
      <w:r w:rsidR="00AA68F8" w:rsidRPr="008A0812">
        <w:t xml:space="preserve">Figure </w:t>
      </w:r>
      <w:r w:rsidR="00AA68F8">
        <w:rPr>
          <w:noProof/>
        </w:rPr>
        <w:t>7</w:t>
      </w:r>
      <w:r w:rsidR="00AA68F8">
        <w:rPr>
          <w:noProof/>
        </w:rPr>
        <w:noBreakHyphen/>
        <w:t>2</w:t>
      </w:r>
      <w:r w:rsidR="001565BE" w:rsidRPr="008A0812">
        <w:fldChar w:fldCharType="end"/>
      </w:r>
      <w:r w:rsidR="00EA4328" w:rsidRPr="008A0812">
        <w:t xml:space="preserve"> </w:t>
      </w:r>
      <w:r w:rsidRPr="008A0812">
        <w:t xml:space="preserve">include the Burbank Elementary School and Norton Science and Language Academy, located approximately 1 mile north of the SBWRP; the Alice Birney Elementary School, Washington High School, the Abraham Lincoln Elementary School located approximately 1-1/4 miles west of the SBWRP, and the Cooley Ranch Elementary School and Loma Linda University Children’s Hospital located less than 2 miles south of the SBWRP. </w:t>
      </w:r>
      <w:r w:rsidR="00EA4328" w:rsidRPr="008A0812">
        <w:t>The nearest residence is located on East Dumas Street east of the SBWRP.</w:t>
      </w:r>
    </w:p>
    <w:p w14:paraId="5FEAD333" w14:textId="010808BC" w:rsidR="00100C79" w:rsidRPr="008A0812" w:rsidRDefault="00100C79" w:rsidP="00100C79">
      <w:pPr>
        <w:pStyle w:val="BodyText"/>
      </w:pPr>
      <w:r w:rsidRPr="008A0812">
        <w:t xml:space="preserve">Odorous emissions are regulated by the SCAQMD and the NPDES Permit. SCAQMD Rule No. 402 stipulates that no odorous discharge shall create a public nuisance. The SCAQMD permit limits hydrogen sulfide exhaust from scrubbers to 1 ppm. </w:t>
      </w:r>
      <w:r w:rsidR="00EA4328" w:rsidRPr="008A0812">
        <w:t>The SBWRP’s SCAQMD sewage treatment permit limits the facility’s cumulative total sulfur compounds as H</w:t>
      </w:r>
      <w:r w:rsidR="00EA4328" w:rsidRPr="008A0812">
        <w:rPr>
          <w:vertAlign w:val="subscript"/>
        </w:rPr>
        <w:t>2</w:t>
      </w:r>
      <w:r w:rsidR="00EA4328" w:rsidRPr="008A0812">
        <w:t>S from all sources to less than 5 pounds per day. To comply with Rule 1179, the Department submitted an Odor Evaluation Report to SCAQMD in 1993. At that time, SCAQMD and the Department determined that the reported odors were not excessive or a nuisance.</w:t>
      </w:r>
      <w:r w:rsidR="001565BE" w:rsidRPr="008A0812">
        <w:t xml:space="preserve"> </w:t>
      </w:r>
      <w:r w:rsidRPr="008A0812">
        <w:t>NPDES Permit No. CA0105392 for the SBWRP states that neither the treatment nor the discharge of wastes shall create a nuisance or pollution as defined by Section 13050 of the California Water Code. Odor control systems can minimize odor complaints from the surrounding communities and create a good working environment for treatment plant staff.</w:t>
      </w:r>
    </w:p>
    <w:p w14:paraId="4D64FA5D" w14:textId="23A0357E" w:rsidR="001565BE" w:rsidRPr="008A0812" w:rsidRDefault="001565BE" w:rsidP="00AF40CB">
      <w:pPr>
        <w:pStyle w:val="FigureHeading"/>
      </w:pPr>
      <w:bookmarkStart w:id="463" w:name="_Ref36399442"/>
      <w:bookmarkStart w:id="464" w:name="_Toc36414088"/>
      <w:bookmarkStart w:id="465" w:name="_Toc41684710"/>
      <w:r w:rsidRPr="008A0812">
        <w:t xml:space="preserve">Figure </w:t>
      </w:r>
      <w:fldSimple w:instr=" STYLEREF 1 \s ">
        <w:r w:rsidR="00AA68F8">
          <w:rPr>
            <w:noProof/>
          </w:rPr>
          <w:t>7</w:t>
        </w:r>
      </w:fldSimple>
      <w:r w:rsidR="00B233D1">
        <w:noBreakHyphen/>
      </w:r>
      <w:fldSimple w:instr=" SEQ Figure \* ARABIC \s 1 ">
        <w:r w:rsidR="00AA68F8">
          <w:rPr>
            <w:noProof/>
          </w:rPr>
          <w:t>2</w:t>
        </w:r>
      </w:fldSimple>
      <w:bookmarkEnd w:id="463"/>
      <w:r w:rsidRPr="008A0812">
        <w:t>: Sensitive Receptors</w:t>
      </w:r>
      <w:bookmarkEnd w:id="464"/>
      <w:bookmarkEnd w:id="465"/>
    </w:p>
    <w:p w14:paraId="11180A76" w14:textId="7D3D880B" w:rsidR="00CE2B08" w:rsidRPr="008A0812" w:rsidRDefault="00AA2BAE" w:rsidP="00190E5E">
      <w:pPr>
        <w:pStyle w:val="BodyText"/>
      </w:pPr>
      <w:r w:rsidRPr="008A0812">
        <w:rPr>
          <w:noProof/>
        </w:rPr>
        <w:drawing>
          <wp:inline distT="0" distB="0" distL="0" distR="0" wp14:anchorId="3C98FF10" wp14:editId="6365EBA1">
            <wp:extent cx="5943600" cy="3886835"/>
            <wp:effectExtent l="19050" t="19050" r="19050"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886835"/>
                    </a:xfrm>
                    <a:prstGeom prst="rect">
                      <a:avLst/>
                    </a:prstGeom>
                    <a:ln>
                      <a:solidFill>
                        <a:schemeClr val="accent1"/>
                      </a:solidFill>
                    </a:ln>
                  </pic:spPr>
                </pic:pic>
              </a:graphicData>
            </a:graphic>
          </wp:inline>
        </w:drawing>
      </w:r>
    </w:p>
    <w:p w14:paraId="6422098B" w14:textId="4991AB4D" w:rsidR="007F3DC5" w:rsidRPr="008A0812" w:rsidRDefault="007F3DC5" w:rsidP="007F3DC5">
      <w:pPr>
        <w:pStyle w:val="Heading2"/>
      </w:pPr>
      <w:bookmarkStart w:id="466" w:name="_Toc41680894"/>
      <w:r w:rsidRPr="008A0812">
        <w:t>Federal Aviation Administration</w:t>
      </w:r>
      <w:bookmarkEnd w:id="466"/>
    </w:p>
    <w:p w14:paraId="3E1E14FA" w14:textId="77777777" w:rsidR="007F3DC5" w:rsidRPr="008A0812" w:rsidRDefault="007F3DC5" w:rsidP="007F3DC5">
      <w:pPr>
        <w:pStyle w:val="BodyText"/>
      </w:pPr>
      <w:r w:rsidRPr="008A0812">
        <w:t xml:space="preserve">The San Bernardino International Airport Authority oversees the development and reuse of the aviation portions of the former Norton Air Force Base, now known as the San Bernardino International Airport. The San Bernardino International Airport Authority is a regional Joint Powers Authority comprised of local member agencies: City of Colton, City of Highland, City of San Bernardino, City of Loma Linda, and County of San Bernardino. </w:t>
      </w:r>
    </w:p>
    <w:p w14:paraId="5C6F54E4" w14:textId="58DE46DA" w:rsidR="007F3DC5" w:rsidRPr="008A0812" w:rsidRDefault="007F3DC5" w:rsidP="007F3DC5">
      <w:pPr>
        <w:pStyle w:val="BodyText"/>
      </w:pPr>
      <w:r w:rsidRPr="008A0812">
        <w:t xml:space="preserve">The northeast corner of the SBWRP property is approximately 11,000 feet from the southwest edge of the runway at the San Bernardino International Airport. If any construction or alteration between 10,000 and 20,000 feet from the nearest point of the nearest runway exceeds an imaginary surface extending outward and upward at a 100 to 1 slope, a notice shall be filed with the FAA. Based on the approximately elevations of the SBWRP at 995 feet and the runway a 1070 ft, a new structure of approximately 185 feet in height at the SBWRP would require a notice to be filed with the FAA. A notice for construction or alteration does not need to be filed for any antenna structure of 20 feet or less in height, except one that would increase the height of another antenna structure (US Department of Transportation, Federal Aviation Administration, 2012). </w:t>
      </w:r>
    </w:p>
    <w:p w14:paraId="3BF65187" w14:textId="70C7D27B" w:rsidR="007F3DC5" w:rsidRPr="008A0812" w:rsidRDefault="007F3DC5" w:rsidP="007F3DC5">
      <w:pPr>
        <w:pStyle w:val="BodyText"/>
      </w:pPr>
      <w:r w:rsidRPr="008A0812">
        <w:t xml:space="preserve">For airports serving turbine-powered aircraft, the FAA recommends a separation of 10,000 feet between the farthest edge of the airport’s air operations area and an area that could potentially attract hazardous wildlife. At 11,000 feet, the SBWRP is just outside this separation; however, the FAA recommends that airport operators be notified of any potential changes to land use within 5 miles of the airport, including expansion of wastewater treatment facilities. If future facilities could potentially attract wildlife that are hazardous to aircraft, the SBWRP should notify the airport operator to provide an opportunity for plan review. </w:t>
      </w:r>
      <w:r w:rsidR="003A5EFD" w:rsidRPr="008A0812">
        <w:fldChar w:fldCharType="begin"/>
      </w:r>
      <w:r w:rsidR="003A5EFD" w:rsidRPr="008A0812">
        <w:instrText xml:space="preserve"> REF _Ref36399359 \h </w:instrText>
      </w:r>
      <w:r w:rsidR="008A0812">
        <w:instrText xml:space="preserve"> \* MERGEFORMAT </w:instrText>
      </w:r>
      <w:r w:rsidR="003A5EFD" w:rsidRPr="008A0812">
        <w:fldChar w:fldCharType="separate"/>
      </w:r>
      <w:r w:rsidR="00AA68F8" w:rsidRPr="008A0812">
        <w:t xml:space="preserve">Table </w:t>
      </w:r>
      <w:r w:rsidR="00AA68F8">
        <w:rPr>
          <w:noProof/>
        </w:rPr>
        <w:t>7</w:t>
      </w:r>
      <w:r w:rsidR="00AA68F8" w:rsidRPr="008A0812">
        <w:rPr>
          <w:noProof/>
        </w:rPr>
        <w:noBreakHyphen/>
      </w:r>
      <w:r w:rsidR="00AA68F8">
        <w:rPr>
          <w:noProof/>
        </w:rPr>
        <w:t>11</w:t>
      </w:r>
      <w:r w:rsidR="003A5EFD" w:rsidRPr="008A0812">
        <w:fldChar w:fldCharType="end"/>
      </w:r>
      <w:r w:rsidR="003A5EFD" w:rsidRPr="008A0812">
        <w:t xml:space="preserve"> </w:t>
      </w:r>
      <w:r w:rsidRPr="008A0812">
        <w:t>lists ten wildlife species groups that are most hazardous to aircraft (U.S. Department of Transportation, Federal Aviation Administration, 2007).</w:t>
      </w:r>
    </w:p>
    <w:p w14:paraId="2A38EB03" w14:textId="7C544698" w:rsidR="003A5EFD" w:rsidRPr="008A0812" w:rsidRDefault="003A5EFD" w:rsidP="003A5EFD">
      <w:pPr>
        <w:pStyle w:val="TableHeading"/>
      </w:pPr>
      <w:bookmarkStart w:id="467" w:name="_Ref36399359"/>
      <w:bookmarkStart w:id="468" w:name="_Toc36414089"/>
      <w:bookmarkStart w:id="469" w:name="_Toc41684777"/>
      <w:r w:rsidRPr="008A0812">
        <w:t xml:space="preserve">Table </w:t>
      </w:r>
      <w:r>
        <w:fldChar w:fldCharType="begin"/>
      </w:r>
      <w:r>
        <w:instrText>STYLEREF 1 \s</w:instrText>
      </w:r>
      <w:r>
        <w:fldChar w:fldCharType="separate"/>
      </w:r>
      <w:r w:rsidR="00AA68F8">
        <w:rPr>
          <w:noProof/>
        </w:rPr>
        <w:t>7</w:t>
      </w:r>
      <w:r>
        <w:fldChar w:fldCharType="end"/>
      </w:r>
      <w:r w:rsidR="00524B10" w:rsidRPr="008A0812">
        <w:noBreakHyphen/>
      </w:r>
      <w:r>
        <w:fldChar w:fldCharType="begin"/>
      </w:r>
      <w:r>
        <w:instrText>SEQ Table \* ARABIC \s 1</w:instrText>
      </w:r>
      <w:r>
        <w:fldChar w:fldCharType="separate"/>
      </w:r>
      <w:r w:rsidR="00AA68F8">
        <w:rPr>
          <w:noProof/>
        </w:rPr>
        <w:t>11</w:t>
      </w:r>
      <w:r>
        <w:fldChar w:fldCharType="end"/>
      </w:r>
      <w:bookmarkEnd w:id="467"/>
      <w:r w:rsidRPr="008A0812">
        <w:t>: Most Hazardous Wildlife Species to Aircraft</w:t>
      </w:r>
      <w:bookmarkEnd w:id="468"/>
      <w:bookmarkEnd w:id="469"/>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62"/>
        <w:gridCol w:w="5469"/>
      </w:tblGrid>
      <w:tr w:rsidR="007F3DC5" w:rsidRPr="008A0812" w14:paraId="5379CC12" w14:textId="77777777" w:rsidTr="007F3DC5">
        <w:tc>
          <w:tcPr>
            <w:tcW w:w="386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4D68E280" w14:textId="7D88FE23"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b/>
                <w:bCs/>
              </w:rPr>
              <w:t>Species Group</w:t>
            </w:r>
          </w:p>
        </w:tc>
        <w:tc>
          <w:tcPr>
            <w:tcW w:w="5469" w:type="dxa"/>
            <w:tcBorders>
              <w:top w:val="single" w:sz="6" w:space="0" w:color="auto"/>
              <w:left w:val="nil"/>
              <w:bottom w:val="single" w:sz="6" w:space="0" w:color="auto"/>
              <w:right w:val="single" w:sz="6" w:space="0" w:color="auto"/>
            </w:tcBorders>
            <w:shd w:val="clear" w:color="auto" w:fill="BFBFBF"/>
            <w:vAlign w:val="center"/>
            <w:hideMark/>
          </w:tcPr>
          <w:p w14:paraId="0EA10CEE" w14:textId="487AF478"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b/>
                <w:bCs/>
              </w:rPr>
              <w:t>Relative Hazard Score (100 = greatest potential hazard)</w:t>
            </w:r>
          </w:p>
        </w:tc>
      </w:tr>
      <w:tr w:rsidR="007F3DC5" w:rsidRPr="008A0812" w14:paraId="2FC52E5C"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02969E91" w14:textId="0B8A89DE"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Deer</w:t>
            </w:r>
          </w:p>
        </w:tc>
        <w:tc>
          <w:tcPr>
            <w:tcW w:w="5469" w:type="dxa"/>
            <w:tcBorders>
              <w:top w:val="nil"/>
              <w:left w:val="nil"/>
              <w:bottom w:val="single" w:sz="6" w:space="0" w:color="auto"/>
              <w:right w:val="single" w:sz="6" w:space="0" w:color="auto"/>
            </w:tcBorders>
            <w:shd w:val="clear" w:color="auto" w:fill="auto"/>
            <w:vAlign w:val="center"/>
            <w:hideMark/>
          </w:tcPr>
          <w:p w14:paraId="674DD3DA" w14:textId="0DEAC526"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100</w:t>
            </w:r>
          </w:p>
        </w:tc>
      </w:tr>
      <w:tr w:rsidR="007F3DC5" w:rsidRPr="008A0812" w14:paraId="2B87D27F"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3A9059F0" w14:textId="5CD7B495"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Vultures</w:t>
            </w:r>
          </w:p>
        </w:tc>
        <w:tc>
          <w:tcPr>
            <w:tcW w:w="5469" w:type="dxa"/>
            <w:tcBorders>
              <w:top w:val="nil"/>
              <w:left w:val="nil"/>
              <w:bottom w:val="single" w:sz="6" w:space="0" w:color="auto"/>
              <w:right w:val="single" w:sz="6" w:space="0" w:color="auto"/>
            </w:tcBorders>
            <w:shd w:val="clear" w:color="auto" w:fill="auto"/>
            <w:vAlign w:val="center"/>
            <w:hideMark/>
          </w:tcPr>
          <w:p w14:paraId="4ED70FD9" w14:textId="0299EC65"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64</w:t>
            </w:r>
          </w:p>
        </w:tc>
      </w:tr>
      <w:tr w:rsidR="007F3DC5" w:rsidRPr="008A0812" w14:paraId="50AE2630"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14A323BD" w14:textId="5A37950A"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Geese</w:t>
            </w:r>
          </w:p>
        </w:tc>
        <w:tc>
          <w:tcPr>
            <w:tcW w:w="5469" w:type="dxa"/>
            <w:tcBorders>
              <w:top w:val="nil"/>
              <w:left w:val="nil"/>
              <w:bottom w:val="single" w:sz="6" w:space="0" w:color="auto"/>
              <w:right w:val="single" w:sz="6" w:space="0" w:color="auto"/>
            </w:tcBorders>
            <w:shd w:val="clear" w:color="auto" w:fill="auto"/>
            <w:vAlign w:val="center"/>
            <w:hideMark/>
          </w:tcPr>
          <w:p w14:paraId="519EB5B8" w14:textId="660E8AE6"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55</w:t>
            </w:r>
          </w:p>
        </w:tc>
      </w:tr>
      <w:tr w:rsidR="007F3DC5" w:rsidRPr="008A0812" w14:paraId="0EB283BF"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43FBF12E" w14:textId="215D8377"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Cormorants/Pelicans</w:t>
            </w:r>
          </w:p>
        </w:tc>
        <w:tc>
          <w:tcPr>
            <w:tcW w:w="5469" w:type="dxa"/>
            <w:tcBorders>
              <w:top w:val="nil"/>
              <w:left w:val="nil"/>
              <w:bottom w:val="single" w:sz="6" w:space="0" w:color="auto"/>
              <w:right w:val="single" w:sz="6" w:space="0" w:color="auto"/>
            </w:tcBorders>
            <w:shd w:val="clear" w:color="auto" w:fill="auto"/>
            <w:vAlign w:val="center"/>
            <w:hideMark/>
          </w:tcPr>
          <w:p w14:paraId="33604136" w14:textId="56F379D7"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54</w:t>
            </w:r>
          </w:p>
        </w:tc>
      </w:tr>
      <w:tr w:rsidR="007F3DC5" w:rsidRPr="008A0812" w14:paraId="2DC39F0A"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7174E2AB" w14:textId="1B89361D"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Cranes</w:t>
            </w:r>
          </w:p>
        </w:tc>
        <w:tc>
          <w:tcPr>
            <w:tcW w:w="5469" w:type="dxa"/>
            <w:tcBorders>
              <w:top w:val="nil"/>
              <w:left w:val="nil"/>
              <w:bottom w:val="single" w:sz="6" w:space="0" w:color="auto"/>
              <w:right w:val="single" w:sz="6" w:space="0" w:color="auto"/>
            </w:tcBorders>
            <w:shd w:val="clear" w:color="auto" w:fill="auto"/>
            <w:vAlign w:val="center"/>
            <w:hideMark/>
          </w:tcPr>
          <w:p w14:paraId="2C28A160" w14:textId="5596073E"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47</w:t>
            </w:r>
          </w:p>
        </w:tc>
      </w:tr>
      <w:tr w:rsidR="007F3DC5" w:rsidRPr="008A0812" w14:paraId="33CC4BFE" w14:textId="77777777" w:rsidTr="007F3DC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44B92131" w14:textId="79EDADC1"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Eagles</w:t>
            </w:r>
          </w:p>
        </w:tc>
        <w:tc>
          <w:tcPr>
            <w:tcW w:w="5469" w:type="dxa"/>
            <w:tcBorders>
              <w:top w:val="nil"/>
              <w:left w:val="nil"/>
              <w:bottom w:val="single" w:sz="6" w:space="0" w:color="auto"/>
              <w:right w:val="single" w:sz="6" w:space="0" w:color="auto"/>
            </w:tcBorders>
            <w:shd w:val="clear" w:color="auto" w:fill="auto"/>
            <w:vAlign w:val="center"/>
            <w:hideMark/>
          </w:tcPr>
          <w:p w14:paraId="0D3B377C" w14:textId="77A0C311"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41</w:t>
            </w:r>
          </w:p>
        </w:tc>
      </w:tr>
      <w:tr w:rsidR="007F3DC5" w:rsidRPr="008A0812" w14:paraId="520CA421" w14:textId="77777777" w:rsidTr="004C0AD5">
        <w:trPr>
          <w:trHeight w:val="285"/>
        </w:trPr>
        <w:tc>
          <w:tcPr>
            <w:tcW w:w="3862" w:type="dxa"/>
            <w:tcBorders>
              <w:top w:val="nil"/>
              <w:left w:val="single" w:sz="6" w:space="0" w:color="auto"/>
              <w:bottom w:val="single" w:sz="6" w:space="0" w:color="auto"/>
              <w:right w:val="single" w:sz="6" w:space="0" w:color="auto"/>
            </w:tcBorders>
            <w:shd w:val="clear" w:color="auto" w:fill="auto"/>
            <w:vAlign w:val="center"/>
            <w:hideMark/>
          </w:tcPr>
          <w:p w14:paraId="3F8C0EBD" w14:textId="2E2FC04C"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Ducks</w:t>
            </w:r>
          </w:p>
        </w:tc>
        <w:tc>
          <w:tcPr>
            <w:tcW w:w="5469" w:type="dxa"/>
            <w:tcBorders>
              <w:top w:val="nil"/>
              <w:left w:val="nil"/>
              <w:bottom w:val="single" w:sz="6" w:space="0" w:color="auto"/>
              <w:right w:val="single" w:sz="6" w:space="0" w:color="auto"/>
            </w:tcBorders>
            <w:shd w:val="clear" w:color="auto" w:fill="auto"/>
            <w:vAlign w:val="center"/>
            <w:hideMark/>
          </w:tcPr>
          <w:p w14:paraId="7B1E3CBA" w14:textId="6D685271"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39</w:t>
            </w:r>
          </w:p>
        </w:tc>
      </w:tr>
      <w:tr w:rsidR="007F3DC5" w:rsidRPr="008A0812" w14:paraId="50AFBBAD" w14:textId="77777777" w:rsidTr="004C0AD5">
        <w:trPr>
          <w:trHeight w:val="285"/>
        </w:trPr>
        <w:tc>
          <w:tcPr>
            <w:tcW w:w="386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0169DE" w14:textId="78F0EEC2"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Osprey</w:t>
            </w:r>
          </w:p>
        </w:tc>
        <w:tc>
          <w:tcPr>
            <w:tcW w:w="5469" w:type="dxa"/>
            <w:tcBorders>
              <w:top w:val="single" w:sz="6" w:space="0" w:color="auto"/>
              <w:left w:val="nil"/>
              <w:bottom w:val="single" w:sz="6" w:space="0" w:color="auto"/>
              <w:right w:val="single" w:sz="6" w:space="0" w:color="auto"/>
            </w:tcBorders>
            <w:shd w:val="clear" w:color="auto" w:fill="auto"/>
            <w:vAlign w:val="center"/>
            <w:hideMark/>
          </w:tcPr>
          <w:p w14:paraId="3347485C" w14:textId="562FAF36"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39</w:t>
            </w:r>
          </w:p>
        </w:tc>
      </w:tr>
      <w:tr w:rsidR="007F3DC5" w:rsidRPr="008A0812" w14:paraId="3EA061BC" w14:textId="77777777" w:rsidTr="004C0AD5">
        <w:trPr>
          <w:trHeight w:val="285"/>
        </w:trPr>
        <w:tc>
          <w:tcPr>
            <w:tcW w:w="386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BFB5EA" w14:textId="4E048FCC" w:rsidR="007F3DC5" w:rsidRPr="008A0812" w:rsidRDefault="007F3DC5" w:rsidP="00EF56F6">
            <w:pPr>
              <w:overflowPunct/>
              <w:autoSpaceDE/>
              <w:autoSpaceDN/>
              <w:adjustRightInd/>
              <w:jc w:val="center"/>
              <w:rPr>
                <w:rFonts w:ascii="Segoe UI" w:hAnsi="Segoe UI" w:cs="Segoe UI"/>
                <w:sz w:val="18"/>
                <w:szCs w:val="18"/>
              </w:rPr>
            </w:pPr>
            <w:r w:rsidRPr="008A0812">
              <w:rPr>
                <w:rFonts w:cs="Segoe UI"/>
              </w:rPr>
              <w:t>Turkey/Pheasants</w:t>
            </w:r>
          </w:p>
        </w:tc>
        <w:tc>
          <w:tcPr>
            <w:tcW w:w="5469" w:type="dxa"/>
            <w:tcBorders>
              <w:top w:val="single" w:sz="6" w:space="0" w:color="auto"/>
              <w:left w:val="nil"/>
              <w:bottom w:val="single" w:sz="6" w:space="0" w:color="auto"/>
              <w:right w:val="single" w:sz="6" w:space="0" w:color="auto"/>
            </w:tcBorders>
            <w:shd w:val="clear" w:color="auto" w:fill="auto"/>
            <w:vAlign w:val="center"/>
            <w:hideMark/>
          </w:tcPr>
          <w:p w14:paraId="55B29238" w14:textId="7E6195B0"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33</w:t>
            </w:r>
          </w:p>
        </w:tc>
      </w:tr>
      <w:tr w:rsidR="007F3DC5" w:rsidRPr="008A0812" w14:paraId="472C7AEF" w14:textId="77777777" w:rsidTr="004C0AD5">
        <w:trPr>
          <w:trHeight w:val="285"/>
        </w:trPr>
        <w:tc>
          <w:tcPr>
            <w:tcW w:w="386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D2441D" w14:textId="734DE22D" w:rsidR="007F3DC5" w:rsidRPr="008A0812" w:rsidRDefault="007F3DC5" w:rsidP="00EF56F6">
            <w:pPr>
              <w:overflowPunct/>
              <w:autoSpaceDE/>
              <w:autoSpaceDN/>
              <w:adjustRightInd/>
              <w:jc w:val="center"/>
              <w:rPr>
                <w:rFonts w:ascii="Segoe UI" w:hAnsi="Segoe UI" w:cs="Segoe UI"/>
                <w:sz w:val="18"/>
                <w:szCs w:val="18"/>
              </w:rPr>
            </w:pPr>
            <w:r w:rsidRPr="008A0812">
              <w:rPr>
                <w:rFonts w:cs="Segoe UI"/>
              </w:rPr>
              <w:t>Herons</w:t>
            </w:r>
          </w:p>
        </w:tc>
        <w:tc>
          <w:tcPr>
            <w:tcW w:w="5469" w:type="dxa"/>
            <w:tcBorders>
              <w:top w:val="single" w:sz="6" w:space="0" w:color="auto"/>
              <w:left w:val="nil"/>
              <w:bottom w:val="single" w:sz="6" w:space="0" w:color="auto"/>
              <w:right w:val="single" w:sz="6" w:space="0" w:color="auto"/>
            </w:tcBorders>
            <w:shd w:val="clear" w:color="auto" w:fill="auto"/>
            <w:vAlign w:val="center"/>
            <w:hideMark/>
          </w:tcPr>
          <w:p w14:paraId="028BC5B6" w14:textId="00B8706F" w:rsidR="007F3DC5" w:rsidRPr="008A0812" w:rsidRDefault="007F3DC5" w:rsidP="007F3DC5">
            <w:pPr>
              <w:overflowPunct/>
              <w:autoSpaceDE/>
              <w:autoSpaceDN/>
              <w:adjustRightInd/>
              <w:jc w:val="center"/>
              <w:rPr>
                <w:rFonts w:ascii="Segoe UI" w:hAnsi="Segoe UI" w:cs="Segoe UI"/>
                <w:sz w:val="18"/>
                <w:szCs w:val="18"/>
              </w:rPr>
            </w:pPr>
            <w:r w:rsidRPr="008A0812">
              <w:rPr>
                <w:rFonts w:cs="Segoe UI"/>
              </w:rPr>
              <w:t>27</w:t>
            </w:r>
          </w:p>
        </w:tc>
      </w:tr>
    </w:tbl>
    <w:p w14:paraId="6A5B6E76" w14:textId="66D3E4EF" w:rsidR="007F3DC5" w:rsidRPr="008A0812" w:rsidRDefault="007F3DC5" w:rsidP="007F3DC5">
      <w:pPr>
        <w:pStyle w:val="BodyText"/>
      </w:pPr>
      <w:r w:rsidRPr="008A0812">
        <w:t>The FAA strongly recommends that airport operators immediately correct any wildlife hazards arising from existing wastewater treatment facilities near airports (U.S. Department of Transportation, Federal Aviation Administration, 2007). Accordingly, the SBWRP should incorporate reasonable measures to minimize hazardous wildlife attractants in consultation with a wildlife damage management biologist if deemed necessary by the airport operator.</w:t>
      </w:r>
    </w:p>
    <w:p w14:paraId="6A029870" w14:textId="36AC6378" w:rsidR="007F3DC5" w:rsidRPr="008A0812" w:rsidRDefault="007F3DC5" w:rsidP="007F3DC5">
      <w:pPr>
        <w:pStyle w:val="Heading2"/>
      </w:pPr>
      <w:bookmarkStart w:id="470" w:name="_Toc41680895"/>
      <w:r w:rsidRPr="008A0812">
        <w:t>Safety</w:t>
      </w:r>
      <w:bookmarkEnd w:id="470"/>
    </w:p>
    <w:p w14:paraId="2D3B0E4F" w14:textId="40B5546B" w:rsidR="007F3DC5" w:rsidRPr="008A0812" w:rsidRDefault="007F3DC5" w:rsidP="007F3DC5">
      <w:pPr>
        <w:pStyle w:val="BodyText"/>
      </w:pPr>
      <w:r w:rsidRPr="008A0812">
        <w:t>New facilities and projects recommended as part of the Master Plan shall comply with all safety and health and environmental standards as outlined in the City of San Bernardino Municipal Water Department Safety Manual and required by relevant agencies including Cal/OSHA</w:t>
      </w:r>
      <w:r w:rsidR="005026B7" w:rsidRPr="008A0812">
        <w:t>, the National Electrical Code</w:t>
      </w:r>
      <w:r w:rsidRPr="008A0812">
        <w:t xml:space="preserve"> and the San Bernardino County Fire Protection District.</w:t>
      </w:r>
      <w:r w:rsidR="00EF56F6" w:rsidRPr="008A0812">
        <w:t xml:space="preserve"> The SBMWD is currently working with a consultant that is preparing a Hazard Mitigation Plan that covers, among many other areas, the SBWRP. This document should be reviewed for conformance with </w:t>
      </w:r>
      <w:r w:rsidR="003066CF" w:rsidRPr="008A0812">
        <w:t>safety regulations</w:t>
      </w:r>
      <w:r w:rsidR="00EF56F6" w:rsidRPr="008A0812">
        <w:t>/codes.</w:t>
      </w:r>
    </w:p>
    <w:p w14:paraId="4130D570" w14:textId="3990E76C" w:rsidR="007F3DC5" w:rsidRPr="008A0812" w:rsidRDefault="007F3DC5" w:rsidP="007F3DC5">
      <w:pPr>
        <w:pStyle w:val="Heading3"/>
      </w:pPr>
      <w:bookmarkStart w:id="471" w:name="_Toc41680896"/>
      <w:r w:rsidRPr="008A0812">
        <w:t>Cal/OSHA</w:t>
      </w:r>
      <w:bookmarkEnd w:id="471"/>
    </w:p>
    <w:p w14:paraId="419308AC" w14:textId="768AE47C" w:rsidR="007F3DC5" w:rsidRPr="008A0812" w:rsidRDefault="007F3DC5" w:rsidP="004C0AD5">
      <w:pPr>
        <w:pStyle w:val="BodyText"/>
      </w:pPr>
      <w:r w:rsidRPr="008A0812">
        <w:t>Detailed review of Cal/OSHA requirements and identification of specific safety requirements shall occur as part of the preliminary design of all recommended projects. Applicable safety considerations shall include but not be limited to providing handrails and appropriate fall protection measures, identifying and marking confined spaces, providing emergency equipment such as eye washes required for chemical storage and handling, implementing lockout/tagout procedures, attenuating occupational noise exposure and providing means of egress in buildings and structures.</w:t>
      </w:r>
    </w:p>
    <w:p w14:paraId="012171E0" w14:textId="3D4CB32C" w:rsidR="007F3DC5" w:rsidRPr="008A0812" w:rsidRDefault="007F3DC5" w:rsidP="004C0AD5">
      <w:pPr>
        <w:pStyle w:val="Heading3"/>
        <w:jc w:val="both"/>
      </w:pPr>
      <w:bookmarkStart w:id="472" w:name="_Toc41680897"/>
      <w:r w:rsidRPr="008A0812">
        <w:t>San Bernardino County Fire Protection District</w:t>
      </w:r>
      <w:bookmarkEnd w:id="472"/>
    </w:p>
    <w:p w14:paraId="09F3BD45" w14:textId="77B705B3" w:rsidR="00DE07B2" w:rsidRPr="008A0812" w:rsidRDefault="007F3DC5" w:rsidP="004C0AD5">
      <w:pPr>
        <w:pStyle w:val="BodyText"/>
      </w:pPr>
      <w:r w:rsidRPr="008A0812">
        <w:t>Coordination with the San Bernardino County Fire Protection District (SBCFPD) shall occur during the preliminary design stages of recommended facility improvement projects as needed. Specific fire and life safety requirements shall be identified at that time. Considerations shall include but not be limited to providing hydrants, sprinkler systems, sufficient water pressure for hydrants and sprinkler systems, fire alarms, and access for emergency vehicles.</w:t>
      </w:r>
      <w:r w:rsidR="00DE07B2" w:rsidRPr="008A0812">
        <w:t xml:space="preserve"> </w:t>
      </w:r>
    </w:p>
    <w:p w14:paraId="0EC1D492" w14:textId="0A075867" w:rsidR="005026B7" w:rsidRPr="008A0812" w:rsidRDefault="005026B7" w:rsidP="004C0AD5">
      <w:pPr>
        <w:pStyle w:val="Heading3"/>
        <w:jc w:val="both"/>
      </w:pPr>
      <w:bookmarkStart w:id="473" w:name="_Toc41680898"/>
      <w:r w:rsidRPr="008A0812">
        <w:t>National Electrical Code</w:t>
      </w:r>
      <w:bookmarkEnd w:id="473"/>
    </w:p>
    <w:p w14:paraId="288FF6F9" w14:textId="50C84076" w:rsidR="005026B7" w:rsidRPr="008A0812" w:rsidRDefault="005026B7" w:rsidP="004C0AD5">
      <w:pPr>
        <w:pStyle w:val="BodyText"/>
      </w:pPr>
      <w:r w:rsidRPr="008A0812">
        <w:t>The National Electrical Code (NEC) or National Fire Protection Agency (NFPA) 70 is a regionally adopted standard for the safe installation of wiring and electrical equipment in the United States.</w:t>
      </w:r>
      <w:r w:rsidR="000D2D44" w:rsidRPr="008A0812">
        <w:t xml:space="preserve"> </w:t>
      </w:r>
      <w:r w:rsidRPr="008A0812">
        <w:t>The California Electrical Code (CEC) has adopted the NEC 2017 version.</w:t>
      </w:r>
      <w:r w:rsidR="000D2D44" w:rsidRPr="008A0812">
        <w:t xml:space="preserve"> </w:t>
      </w:r>
      <w:r w:rsidR="005178F0" w:rsidRPr="008A0812">
        <w:t>As of November 2019, the NEC 2020 is available;</w:t>
      </w:r>
      <w:r w:rsidRPr="008A0812">
        <w:t xml:space="preserve"> </w:t>
      </w:r>
      <w:r w:rsidR="009B53C9" w:rsidRPr="008A0812">
        <w:t>typically,</w:t>
      </w:r>
      <w:r w:rsidRPr="008A0812">
        <w:t xml:space="preserve"> the NEC is updated every three years.</w:t>
      </w:r>
    </w:p>
    <w:p w14:paraId="085DF221" w14:textId="0D46B0B7" w:rsidR="005026B7" w:rsidRPr="008A0812" w:rsidRDefault="005026B7" w:rsidP="004C0AD5">
      <w:pPr>
        <w:pStyle w:val="BodyText"/>
      </w:pPr>
      <w:r w:rsidRPr="008A0812">
        <w:t>The NEC is used as a basis for all electrical design including master planning to determine the equipment and installation required to maintain safety and a reliable system.</w:t>
      </w:r>
      <w:r w:rsidR="000D2D44" w:rsidRPr="008A0812">
        <w:t xml:space="preserve"> </w:t>
      </w:r>
      <w:r w:rsidRPr="008A0812">
        <w:t>Additionally, NFPA 70E, Standard for Electrical Safety in the Workplace</w:t>
      </w:r>
      <w:r w:rsidR="004C0AD5" w:rsidRPr="008A0812">
        <w:t>,</w:t>
      </w:r>
      <w:r w:rsidRPr="008A0812">
        <w:t xml:space="preserve"> </w:t>
      </w:r>
      <w:r w:rsidR="00C50448" w:rsidRPr="008A0812">
        <w:t>is referred to as it pertains to arc flash hazards and engineering controls to provide safety when maintaining and working with electrical equipment.</w:t>
      </w:r>
    </w:p>
    <w:p w14:paraId="2A639017" w14:textId="480EBF09" w:rsidR="007F3DC5" w:rsidRPr="008A0812" w:rsidRDefault="007F3DC5" w:rsidP="004C0AD5">
      <w:pPr>
        <w:pStyle w:val="Heading2"/>
        <w:jc w:val="both"/>
      </w:pPr>
      <w:bookmarkStart w:id="474" w:name="_Toc41680899"/>
      <w:r w:rsidRPr="008A0812">
        <w:t>Utility Considerations</w:t>
      </w:r>
      <w:bookmarkEnd w:id="474"/>
    </w:p>
    <w:p w14:paraId="7F84A7A9" w14:textId="4D0603E5" w:rsidR="001C1BFB" w:rsidRPr="008A0812" w:rsidRDefault="00D507A9" w:rsidP="00D507A9">
      <w:pPr>
        <w:pStyle w:val="BodyText"/>
      </w:pPr>
      <w:r w:rsidRPr="008A0812">
        <w:t>Utility providers include So Cal Gas</w:t>
      </w:r>
      <w:r w:rsidR="001C1BFB" w:rsidRPr="008A0812">
        <w:t xml:space="preserve">, </w:t>
      </w:r>
      <w:r w:rsidRPr="008A0812">
        <w:t>Verizon</w:t>
      </w:r>
      <w:r w:rsidR="001C1BFB" w:rsidRPr="008A0812">
        <w:t xml:space="preserve">, and </w:t>
      </w:r>
      <w:r w:rsidRPr="008A0812">
        <w:t>Southern California Edison (SCE)</w:t>
      </w:r>
      <w:r w:rsidR="001C1BFB" w:rsidRPr="008A0812">
        <w:t>. SCE</w:t>
      </w:r>
      <w:r w:rsidRPr="008A0812">
        <w:t xml:space="preserve"> currently provides six electrical services for the SBWRP. </w:t>
      </w:r>
      <w:bookmarkStart w:id="475" w:name="_Hlk20150743"/>
      <w:r w:rsidR="001C1BFB" w:rsidRPr="008A0812">
        <w:t xml:space="preserve">There is one 4160V service at BLM, and five 480V services at Hoffman, </w:t>
      </w:r>
      <w:bookmarkEnd w:id="475"/>
      <w:r w:rsidRPr="008A0812">
        <w:t>Administration Building, Century Well, Chandler Well, and the Orange Show Well. Century Well is tapped off the transformer that feeds Hoffman. SBMWD is currently working with SCE to get one combined 4</w:t>
      </w:r>
      <w:r w:rsidR="00FB5FDD" w:rsidRPr="008A0812">
        <w:t>.</w:t>
      </w:r>
      <w:r w:rsidRPr="008A0812">
        <w:t>16</w:t>
      </w:r>
      <w:r w:rsidR="00FB5FDD" w:rsidRPr="008A0812">
        <w:t>k</w:t>
      </w:r>
      <w:r w:rsidRPr="008A0812">
        <w:t xml:space="preserve">V service at the existing BLM Switchgear such that Hoffman and Century Well will be fed from BLM for one combined service, which will reduce the number of utility services from six to four. </w:t>
      </w:r>
    </w:p>
    <w:p w14:paraId="3C74962C" w14:textId="06848510" w:rsidR="00D507A9" w:rsidRPr="008A0812" w:rsidRDefault="00D507A9" w:rsidP="00D507A9">
      <w:pPr>
        <w:pStyle w:val="BodyText"/>
      </w:pPr>
      <w:r w:rsidRPr="008A0812">
        <w:t>Currently, the largest transformer that SCE can provide is rated at 3750</w:t>
      </w:r>
      <w:r w:rsidR="001C1BFB" w:rsidRPr="008A0812">
        <w:t xml:space="preserve"> </w:t>
      </w:r>
      <w:r w:rsidRPr="008A0812">
        <w:t>kVA (3.75</w:t>
      </w:r>
      <w:r w:rsidR="001C1BFB" w:rsidRPr="008A0812">
        <w:t xml:space="preserve"> MW)</w:t>
      </w:r>
      <w:r w:rsidRPr="008A0812">
        <w:t>. Future load estimates are currently calculated at 3.8</w:t>
      </w:r>
      <w:r w:rsidR="001C1BFB" w:rsidRPr="008A0812">
        <w:t xml:space="preserve"> </w:t>
      </w:r>
      <w:r w:rsidRPr="008A0812">
        <w:t>MW. Onsite generation is expected to increase by 1.4</w:t>
      </w:r>
      <w:r w:rsidR="001C1BFB" w:rsidRPr="008A0812">
        <w:t xml:space="preserve"> </w:t>
      </w:r>
      <w:r w:rsidRPr="008A0812">
        <w:t xml:space="preserve">MW with the addition of a fuel cell system to offset possible overloading of the substation transformer. Presently, SCE </w:t>
      </w:r>
      <w:r w:rsidR="00CF36BE">
        <w:t>has approved allowing</w:t>
      </w:r>
      <w:r w:rsidRPr="008A0812">
        <w:t xml:space="preserve"> the projected overload on the utility transformer assuming the fuel cell system will supplement plant power needs. </w:t>
      </w:r>
    </w:p>
    <w:p w14:paraId="6340CCDE" w14:textId="277CFCE4" w:rsidR="00D507A9" w:rsidRPr="008A0812" w:rsidRDefault="00D507A9" w:rsidP="00C64744">
      <w:pPr>
        <w:pStyle w:val="BodyText"/>
        <w:sectPr w:rsidR="00D507A9"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22601D25" w14:textId="7FEA136E" w:rsidR="00C64744" w:rsidRPr="008A0812" w:rsidRDefault="00C64744" w:rsidP="00C64744">
      <w:pPr>
        <w:pStyle w:val="Heading1"/>
      </w:pPr>
      <w:bookmarkStart w:id="476" w:name="_Toc41680900"/>
      <w:r w:rsidRPr="008A0812">
        <w:t>Existing Process Performance and Capacity</w:t>
      </w:r>
      <w:bookmarkEnd w:id="476"/>
    </w:p>
    <w:p w14:paraId="01F3AF92" w14:textId="0674ED14" w:rsidR="00C64744" w:rsidRPr="008A0812" w:rsidRDefault="00C64744" w:rsidP="00C64744">
      <w:pPr>
        <w:pStyle w:val="BodyText"/>
      </w:pPr>
      <w:r w:rsidRPr="008A0812">
        <w:t xml:space="preserve">This </w:t>
      </w:r>
      <w:r w:rsidR="004C0AD5" w:rsidRPr="008A0812">
        <w:t>S</w:t>
      </w:r>
      <w:r w:rsidRPr="008A0812">
        <w:t>ection evaluates performance of the major treatment process</w:t>
      </w:r>
      <w:r w:rsidR="00FB77EB" w:rsidRPr="008A0812">
        <w:t>es</w:t>
      </w:r>
      <w:r w:rsidRPr="008A0812">
        <w:t>. Plant data from the 3-year period of March 2016 through February 2019 is compared against SBMWD goals</w:t>
      </w:r>
      <w:r w:rsidR="00B12FA2" w:rsidRPr="008A0812">
        <w:t>, discharge requirements</w:t>
      </w:r>
      <w:r w:rsidRPr="008A0812">
        <w:t xml:space="preserve"> and industry standards.</w:t>
      </w:r>
    </w:p>
    <w:p w14:paraId="555CAF0C" w14:textId="0B8CBB12" w:rsidR="00C64744" w:rsidRPr="008A0812" w:rsidRDefault="00C64744" w:rsidP="00C64744">
      <w:pPr>
        <w:pStyle w:val="Heading2"/>
      </w:pPr>
      <w:bookmarkStart w:id="477" w:name="_Toc41680901"/>
      <w:r w:rsidRPr="008A0812">
        <w:t>Hydraulic Capacity</w:t>
      </w:r>
      <w:bookmarkEnd w:id="477"/>
    </w:p>
    <w:p w14:paraId="67A6C1B0" w14:textId="6C0E45D6" w:rsidR="00C64744" w:rsidRPr="008A0812" w:rsidRDefault="00C64744" w:rsidP="00C64744">
      <w:pPr>
        <w:pStyle w:val="BodyText"/>
      </w:pPr>
      <w:r w:rsidRPr="008A0812">
        <w:t xml:space="preserve">According to the </w:t>
      </w:r>
      <w:r w:rsidR="002F5213" w:rsidRPr="008A0812">
        <w:t>SB</w:t>
      </w:r>
      <w:r w:rsidR="00FB77EB" w:rsidRPr="008A0812">
        <w:t>WRP</w:t>
      </w:r>
      <w:r w:rsidRPr="008A0812">
        <w:t xml:space="preserve"> Operations and Maintenance </w:t>
      </w:r>
      <w:r w:rsidR="00C808D1" w:rsidRPr="008A0812">
        <w:t xml:space="preserve">(O&amp;M) </w:t>
      </w:r>
      <w:r w:rsidRPr="008A0812">
        <w:t xml:space="preserve">Manual (Carollo, </w:t>
      </w:r>
      <w:r w:rsidR="00E47BA7" w:rsidRPr="008A0812">
        <w:t>2000</w:t>
      </w:r>
      <w:r w:rsidRPr="008A0812">
        <w:t>), the peak hydraulic capacity of the plant was intended to be 90 mgd with Unit 3 fully operational. The headworks and grit removal systems were constructed with 90 mgd of capacity with provisions for future expansion. Unit 3 was intended to have a capacity of 30 mgd when fully constructed, but the secondary treatment portion was never built. It currently serves to back up the Unit 1 primary clarifier if necessary, and therefore does not add to the overall plant peak hydraulic capacity.</w:t>
      </w:r>
    </w:p>
    <w:p w14:paraId="4D7DC616" w14:textId="24F1627F" w:rsidR="00C64744" w:rsidRPr="008A0812" w:rsidRDefault="00C64744" w:rsidP="00C64744">
      <w:pPr>
        <w:pStyle w:val="BodyText"/>
      </w:pPr>
      <w:r w:rsidRPr="008A0812">
        <w:t>The 1995 O&amp;M manual listed the hydraulic capacity of Unit 1 as 38 mgd. Recent hydraulic modeling suggests that its capacity may be much less. In 2011, Carollo modeled the hydraulic capacity of Units 1 and 3 as part of their planning for Unit 1 upgrades (</w:t>
      </w:r>
      <w:r w:rsidR="003066CF" w:rsidRPr="008A0812">
        <w:t>Carollo, 2011)</w:t>
      </w:r>
      <w:r w:rsidRPr="008A0812">
        <w:t xml:space="preserve">. They found that using either the Unit 1 or the Unit 3 primary clarifier, flow was limited to 20 mgd of forward flow, assuming mixed liquor recycle (MLR) and 6 mgd of RAS. Higher flows would submerge the primary clarifier </w:t>
      </w:r>
      <w:r w:rsidR="002C3E81" w:rsidRPr="008A0812">
        <w:t>weirs</w:t>
      </w:r>
      <w:r w:rsidRPr="008A0812">
        <w:t xml:space="preserve">. At this flow the Unit 1 secondary clarifier flow split weirs would be submerged but this was not expected to significantly impact the flow split. Carollo recommended increasing the size of the mixed liquor pipe from the Unit 1 aeration basin to the flow splitter to help improve capacity. Black </w:t>
      </w:r>
      <w:r w:rsidR="00581F5F" w:rsidRPr="008A0812">
        <w:t>&amp;</w:t>
      </w:r>
      <w:r w:rsidRPr="008A0812">
        <w:t xml:space="preserve"> Veatch performed a similar analysis in their 2012 Preliminary</w:t>
      </w:r>
      <w:r w:rsidRPr="008A0812">
        <w:rPr>
          <w:rFonts w:ascii="Arial" w:hAnsi="Arial" w:cs="Arial"/>
        </w:rPr>
        <w:t> </w:t>
      </w:r>
      <w:r w:rsidRPr="008A0812">
        <w:t>Design</w:t>
      </w:r>
      <w:r w:rsidRPr="008A0812">
        <w:rPr>
          <w:rFonts w:ascii="Arial" w:hAnsi="Arial" w:cs="Arial"/>
        </w:rPr>
        <w:t> </w:t>
      </w:r>
      <w:r w:rsidRPr="008A0812">
        <w:t xml:space="preserve">Report, </w:t>
      </w:r>
      <w:r w:rsidR="002D4131" w:rsidRPr="008A0812">
        <w:t>“</w:t>
      </w:r>
      <w:r w:rsidRPr="008A0812">
        <w:t>Overhaul of Unit 1 Primary and Aeration System Project</w:t>
      </w:r>
      <w:r w:rsidR="002D4131" w:rsidRPr="008A0812">
        <w:t>.”</w:t>
      </w:r>
      <w:r w:rsidRPr="008A0812">
        <w:t xml:space="preserve"> They concluded that the Unit 1 hydraulic capacity would be 20 mgd with a parallel mixed liquor pipe. They also found that RAS could be increased to 12 mgd with MLR turned off.</w:t>
      </w:r>
    </w:p>
    <w:p w14:paraId="43E9735E" w14:textId="4B7B8CD4" w:rsidR="00C64744" w:rsidRPr="008A0812" w:rsidRDefault="00C64744" w:rsidP="00C64744">
      <w:pPr>
        <w:pStyle w:val="BodyText"/>
      </w:pPr>
      <w:r w:rsidRPr="008A0812">
        <w:t xml:space="preserve">Capacities of the major treatment units are summarized in </w:t>
      </w:r>
      <w:r w:rsidR="00524B10" w:rsidRPr="008A0812">
        <w:fldChar w:fldCharType="begin"/>
      </w:r>
      <w:r w:rsidR="00524B10" w:rsidRPr="008A0812">
        <w:instrText xml:space="preserve"> REF _Ref36649334 \h </w:instrText>
      </w:r>
      <w:r w:rsidR="008A0812">
        <w:instrText xml:space="preserve"> \* MERGEFORMAT </w:instrText>
      </w:r>
      <w:r w:rsidR="00524B10" w:rsidRPr="008A0812">
        <w:fldChar w:fldCharType="separate"/>
      </w:r>
      <w:r w:rsidR="00AA68F8" w:rsidRPr="008A0812">
        <w:t xml:space="preserve">Table </w:t>
      </w:r>
      <w:r w:rsidR="00AA68F8">
        <w:rPr>
          <w:noProof/>
        </w:rPr>
        <w:t>8</w:t>
      </w:r>
      <w:r w:rsidR="00AA68F8" w:rsidRPr="008A0812">
        <w:rPr>
          <w:noProof/>
        </w:rPr>
        <w:noBreakHyphen/>
      </w:r>
      <w:r w:rsidR="00AA68F8">
        <w:rPr>
          <w:noProof/>
        </w:rPr>
        <w:t>1</w:t>
      </w:r>
      <w:r w:rsidR="00524B10" w:rsidRPr="008A0812">
        <w:fldChar w:fldCharType="end"/>
      </w:r>
      <w:r w:rsidRPr="008A0812">
        <w:t xml:space="preserve">. The total plant hydraulic capacity (Unit 1, 2 and NRC) based on the 1995 O&amp;M manual is 67 mgd. With the lower capacity of 20 mgd for Unit 1, the total plant capacity is </w:t>
      </w:r>
      <w:r w:rsidR="00DF417B" w:rsidRPr="008A0812">
        <w:t xml:space="preserve">48 </w:t>
      </w:r>
      <w:r w:rsidRPr="008A0812">
        <w:t>mgd.</w:t>
      </w:r>
    </w:p>
    <w:p w14:paraId="30679780" w14:textId="34BEBF1A" w:rsidR="00C64744" w:rsidRPr="008A0812" w:rsidRDefault="00C64744" w:rsidP="00524B10">
      <w:pPr>
        <w:pStyle w:val="BodyText"/>
      </w:pPr>
      <w:r w:rsidRPr="008A0812">
        <w:t>The Nitrogen Removal Carousel is designed for a consistent influent flow of 3 mgd to provide a carbon source for denitrifying recycle from dewatering. It is not designed to accept higher flows during wet weather.</w:t>
      </w:r>
    </w:p>
    <w:p w14:paraId="03568FFB" w14:textId="07F34541" w:rsidR="00524B10" w:rsidRPr="008A0812" w:rsidRDefault="00524B10" w:rsidP="00524B10">
      <w:pPr>
        <w:pStyle w:val="TableHeading"/>
      </w:pPr>
      <w:bookmarkStart w:id="478" w:name="_Ref36649334"/>
      <w:bookmarkStart w:id="479" w:name="_Toc41684778"/>
      <w:r w:rsidRPr="008A0812">
        <w:t xml:space="preserve">Table </w:t>
      </w:r>
      <w:r>
        <w:fldChar w:fldCharType="begin"/>
      </w:r>
      <w:r>
        <w:instrText>STYLEREF 1 \s</w:instrText>
      </w:r>
      <w:r>
        <w:fldChar w:fldCharType="separate"/>
      </w:r>
      <w:r w:rsidR="00AA68F8">
        <w:rPr>
          <w:noProof/>
        </w:rPr>
        <w:t>8</w:t>
      </w:r>
      <w:r>
        <w:fldChar w:fldCharType="end"/>
      </w:r>
      <w:r w:rsidRPr="008A0812">
        <w:noBreakHyphen/>
      </w:r>
      <w:r>
        <w:fldChar w:fldCharType="begin"/>
      </w:r>
      <w:r>
        <w:instrText>SEQ Table \* ARABIC \s 1</w:instrText>
      </w:r>
      <w:r>
        <w:fldChar w:fldCharType="separate"/>
      </w:r>
      <w:r w:rsidR="00AA68F8">
        <w:rPr>
          <w:noProof/>
        </w:rPr>
        <w:t>1</w:t>
      </w:r>
      <w:r>
        <w:fldChar w:fldCharType="end"/>
      </w:r>
      <w:bookmarkEnd w:id="478"/>
      <w:r w:rsidRPr="008A0812">
        <w:t>: Peak Hydraulic Capacity of Treatment Units</w:t>
      </w:r>
      <w:bookmarkEnd w:id="479"/>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72"/>
        <w:gridCol w:w="3759"/>
      </w:tblGrid>
      <w:tr w:rsidR="00C64744" w:rsidRPr="008A0812" w14:paraId="775A457C" w14:textId="77777777" w:rsidTr="00C64744">
        <w:tc>
          <w:tcPr>
            <w:tcW w:w="5572" w:type="dxa"/>
            <w:tcBorders>
              <w:top w:val="single" w:sz="6" w:space="0" w:color="auto"/>
              <w:left w:val="single" w:sz="6" w:space="0" w:color="auto"/>
              <w:bottom w:val="single" w:sz="6" w:space="0" w:color="auto"/>
              <w:right w:val="single" w:sz="6" w:space="0" w:color="auto"/>
            </w:tcBorders>
            <w:shd w:val="clear" w:color="auto" w:fill="BFBFBF"/>
            <w:hideMark/>
          </w:tcPr>
          <w:p w14:paraId="27E49D81" w14:textId="43BFE69D" w:rsidR="00C64744" w:rsidRPr="008A0812" w:rsidRDefault="00C64744" w:rsidP="00C808D1">
            <w:pPr>
              <w:overflowPunct/>
              <w:autoSpaceDE/>
              <w:autoSpaceDN/>
              <w:adjustRightInd/>
              <w:jc w:val="center"/>
              <w:rPr>
                <w:rFonts w:ascii="Segoe UI" w:hAnsi="Segoe UI" w:cs="Segoe UI"/>
                <w:sz w:val="18"/>
                <w:szCs w:val="18"/>
              </w:rPr>
            </w:pPr>
            <w:r w:rsidRPr="008A0812">
              <w:rPr>
                <w:rFonts w:cs="Segoe UI"/>
                <w:b/>
                <w:bCs/>
              </w:rPr>
              <w:t>Treatment Unit</w:t>
            </w:r>
          </w:p>
        </w:tc>
        <w:tc>
          <w:tcPr>
            <w:tcW w:w="3759" w:type="dxa"/>
            <w:tcBorders>
              <w:top w:val="single" w:sz="6" w:space="0" w:color="auto"/>
              <w:left w:val="nil"/>
              <w:bottom w:val="single" w:sz="6" w:space="0" w:color="auto"/>
              <w:right w:val="single" w:sz="6" w:space="0" w:color="auto"/>
            </w:tcBorders>
            <w:shd w:val="clear" w:color="auto" w:fill="BFBFBF"/>
            <w:hideMark/>
          </w:tcPr>
          <w:p w14:paraId="087B2580" w14:textId="23D8E741" w:rsidR="00C64744" w:rsidRPr="008A0812" w:rsidRDefault="00C64744" w:rsidP="00C808D1">
            <w:pPr>
              <w:overflowPunct/>
              <w:autoSpaceDE/>
              <w:autoSpaceDN/>
              <w:adjustRightInd/>
              <w:jc w:val="center"/>
              <w:rPr>
                <w:rFonts w:ascii="Segoe UI" w:hAnsi="Segoe UI" w:cs="Segoe UI"/>
                <w:sz w:val="18"/>
                <w:szCs w:val="18"/>
              </w:rPr>
            </w:pPr>
            <w:r w:rsidRPr="008A0812">
              <w:rPr>
                <w:rFonts w:cs="Segoe UI"/>
                <w:b/>
                <w:bCs/>
              </w:rPr>
              <w:t>Peak Hydraulic Capacity</w:t>
            </w:r>
          </w:p>
        </w:tc>
      </w:tr>
      <w:tr w:rsidR="00C64744" w:rsidRPr="008A0812" w14:paraId="062F85BB"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5D28A9C5" w14:textId="33FF0042"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Headworks &amp; Grit (existing)</w:t>
            </w:r>
          </w:p>
        </w:tc>
        <w:tc>
          <w:tcPr>
            <w:tcW w:w="3759" w:type="dxa"/>
            <w:tcBorders>
              <w:top w:val="nil"/>
              <w:left w:val="nil"/>
              <w:bottom w:val="single" w:sz="6" w:space="0" w:color="auto"/>
              <w:right w:val="single" w:sz="6" w:space="0" w:color="auto"/>
            </w:tcBorders>
            <w:shd w:val="clear" w:color="auto" w:fill="auto"/>
            <w:tcMar>
              <w:left w:w="72" w:type="dxa"/>
            </w:tcMar>
            <w:hideMark/>
          </w:tcPr>
          <w:p w14:paraId="7C05D0FD" w14:textId="1FCB5BAF"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90 mgd</w:t>
            </w:r>
          </w:p>
        </w:tc>
      </w:tr>
      <w:tr w:rsidR="00C64744" w:rsidRPr="008A0812" w14:paraId="6A29A960"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682A084F" w14:textId="58B9BB0B"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Unit 1</w:t>
            </w:r>
          </w:p>
        </w:tc>
        <w:tc>
          <w:tcPr>
            <w:tcW w:w="3759" w:type="dxa"/>
            <w:tcBorders>
              <w:top w:val="nil"/>
              <w:left w:val="nil"/>
              <w:bottom w:val="single" w:sz="6" w:space="0" w:color="auto"/>
              <w:right w:val="single" w:sz="6" w:space="0" w:color="auto"/>
            </w:tcBorders>
            <w:shd w:val="clear" w:color="auto" w:fill="auto"/>
            <w:tcMar>
              <w:left w:w="72" w:type="dxa"/>
            </w:tcMar>
            <w:hideMark/>
          </w:tcPr>
          <w:p w14:paraId="2F8DB370" w14:textId="5789142D"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38 mgd / 20 mgd </w:t>
            </w:r>
            <w:r w:rsidRPr="008A0812">
              <w:rPr>
                <w:rFonts w:cs="Segoe UI"/>
                <w:vertAlign w:val="superscript"/>
              </w:rPr>
              <w:t>(1)</w:t>
            </w:r>
          </w:p>
        </w:tc>
      </w:tr>
      <w:tr w:rsidR="00C64744" w:rsidRPr="008A0812" w14:paraId="7D1B62D4"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5B53B1F9" w14:textId="68497161"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Unit 2</w:t>
            </w:r>
          </w:p>
        </w:tc>
        <w:tc>
          <w:tcPr>
            <w:tcW w:w="3759" w:type="dxa"/>
            <w:tcBorders>
              <w:top w:val="nil"/>
              <w:left w:val="nil"/>
              <w:bottom w:val="single" w:sz="6" w:space="0" w:color="auto"/>
              <w:right w:val="single" w:sz="6" w:space="0" w:color="auto"/>
            </w:tcBorders>
            <w:shd w:val="clear" w:color="auto" w:fill="auto"/>
            <w:tcMar>
              <w:left w:w="72" w:type="dxa"/>
            </w:tcMar>
            <w:hideMark/>
          </w:tcPr>
          <w:p w14:paraId="34DF7F17" w14:textId="40D7E6C0"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25 mgd</w:t>
            </w:r>
          </w:p>
        </w:tc>
      </w:tr>
      <w:tr w:rsidR="00C64744" w:rsidRPr="008A0812" w14:paraId="149EA5FE"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1EAB582D" w14:textId="648F9504"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Unit 3 (only the primaries were constructed)</w:t>
            </w:r>
          </w:p>
        </w:tc>
        <w:tc>
          <w:tcPr>
            <w:tcW w:w="3759" w:type="dxa"/>
            <w:tcBorders>
              <w:top w:val="nil"/>
              <w:left w:val="nil"/>
              <w:bottom w:val="single" w:sz="6" w:space="0" w:color="auto"/>
              <w:right w:val="single" w:sz="6" w:space="0" w:color="auto"/>
            </w:tcBorders>
            <w:shd w:val="clear" w:color="auto" w:fill="auto"/>
            <w:tcMar>
              <w:left w:w="72" w:type="dxa"/>
            </w:tcMar>
            <w:hideMark/>
          </w:tcPr>
          <w:p w14:paraId="2E628540" w14:textId="35BC3CE0"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30 mgd</w:t>
            </w:r>
          </w:p>
        </w:tc>
      </w:tr>
      <w:tr w:rsidR="00C64744" w:rsidRPr="008A0812" w14:paraId="7D148202"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2552CE87" w14:textId="13760FFF"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Nitrogen Removal Carousel (NRC)</w:t>
            </w:r>
          </w:p>
        </w:tc>
        <w:tc>
          <w:tcPr>
            <w:tcW w:w="3759" w:type="dxa"/>
            <w:tcBorders>
              <w:top w:val="nil"/>
              <w:left w:val="nil"/>
              <w:bottom w:val="single" w:sz="6" w:space="0" w:color="auto"/>
              <w:right w:val="single" w:sz="6" w:space="0" w:color="auto"/>
            </w:tcBorders>
            <w:shd w:val="clear" w:color="auto" w:fill="auto"/>
            <w:tcMar>
              <w:left w:w="72" w:type="dxa"/>
            </w:tcMar>
            <w:hideMark/>
          </w:tcPr>
          <w:p w14:paraId="74C9CEEE" w14:textId="11783126"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rPr>
              <w:t>3 mgd</w:t>
            </w:r>
          </w:p>
        </w:tc>
      </w:tr>
      <w:tr w:rsidR="00C64744" w:rsidRPr="008A0812" w14:paraId="79DD7C54" w14:textId="77777777" w:rsidTr="002902FB">
        <w:tc>
          <w:tcPr>
            <w:tcW w:w="5572" w:type="dxa"/>
            <w:tcBorders>
              <w:top w:val="nil"/>
              <w:left w:val="single" w:sz="6" w:space="0" w:color="auto"/>
              <w:bottom w:val="single" w:sz="6" w:space="0" w:color="auto"/>
              <w:right w:val="single" w:sz="6" w:space="0" w:color="auto"/>
            </w:tcBorders>
            <w:shd w:val="clear" w:color="auto" w:fill="auto"/>
            <w:tcMar>
              <w:left w:w="72" w:type="dxa"/>
            </w:tcMar>
            <w:hideMark/>
          </w:tcPr>
          <w:p w14:paraId="16CC892E" w14:textId="10B83CAD"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b/>
                <w:bCs/>
              </w:rPr>
              <w:t>Total Current Plant</w:t>
            </w:r>
          </w:p>
        </w:tc>
        <w:tc>
          <w:tcPr>
            <w:tcW w:w="3759" w:type="dxa"/>
            <w:tcBorders>
              <w:top w:val="nil"/>
              <w:left w:val="nil"/>
              <w:bottom w:val="single" w:sz="6" w:space="0" w:color="auto"/>
              <w:right w:val="single" w:sz="6" w:space="0" w:color="auto"/>
            </w:tcBorders>
            <w:shd w:val="clear" w:color="auto" w:fill="auto"/>
            <w:tcMar>
              <w:left w:w="72" w:type="dxa"/>
            </w:tcMar>
            <w:hideMark/>
          </w:tcPr>
          <w:p w14:paraId="3FB76654" w14:textId="4B023521" w:rsidR="00C64744" w:rsidRPr="008A0812" w:rsidRDefault="00C64744" w:rsidP="00C64744">
            <w:pPr>
              <w:overflowPunct/>
              <w:autoSpaceDE/>
              <w:autoSpaceDN/>
              <w:adjustRightInd/>
              <w:jc w:val="both"/>
              <w:rPr>
                <w:rFonts w:ascii="Segoe UI" w:hAnsi="Segoe UI" w:cs="Segoe UI"/>
                <w:sz w:val="18"/>
                <w:szCs w:val="18"/>
              </w:rPr>
            </w:pPr>
            <w:r w:rsidRPr="008A0812">
              <w:rPr>
                <w:rFonts w:cs="Segoe UI"/>
                <w:b/>
                <w:bCs/>
              </w:rPr>
              <w:t>66 mgd / 48 mgd</w:t>
            </w:r>
          </w:p>
        </w:tc>
      </w:tr>
    </w:tbl>
    <w:p w14:paraId="24D4AD9A" w14:textId="2709E5C6" w:rsidR="006B1C9B" w:rsidRPr="008A0812" w:rsidRDefault="006B1C9B" w:rsidP="006B1C9B">
      <w:pPr>
        <w:pStyle w:val="BodyText"/>
        <w:spacing w:after="0"/>
        <w:ind w:left="720"/>
        <w:rPr>
          <w:rFonts w:cs="Segoe UI"/>
          <w:sz w:val="20"/>
          <w:szCs w:val="20"/>
        </w:rPr>
      </w:pPr>
      <w:r w:rsidRPr="008A0812">
        <w:rPr>
          <w:rFonts w:cs="Segoe UI"/>
          <w:sz w:val="20"/>
          <w:szCs w:val="20"/>
        </w:rPr>
        <w:t xml:space="preserve">Notes: </w:t>
      </w:r>
    </w:p>
    <w:p w14:paraId="0E14AEE3" w14:textId="5C787036" w:rsidR="006B1C9B" w:rsidRPr="008A0812" w:rsidRDefault="006B1C9B" w:rsidP="00B40B9B">
      <w:pPr>
        <w:pStyle w:val="BodyText"/>
        <w:numPr>
          <w:ilvl w:val="0"/>
          <w:numId w:val="9"/>
        </w:numPr>
        <w:spacing w:before="0" w:after="0"/>
        <w:rPr>
          <w:rFonts w:cs="Segoe UI"/>
          <w:sz w:val="20"/>
          <w:szCs w:val="20"/>
        </w:rPr>
      </w:pPr>
      <w:r w:rsidRPr="008A0812">
        <w:rPr>
          <w:rFonts w:cs="Segoe UI"/>
          <w:sz w:val="20"/>
          <w:szCs w:val="20"/>
        </w:rPr>
        <w:t>Capacities are from O&amp;M Manual Design Criteria (Carollo, 2000), except (1) is from 2011 and 2012 studies mentioned above.</w:t>
      </w:r>
    </w:p>
    <w:p w14:paraId="11F431C4" w14:textId="4AB13019" w:rsidR="00C64744" w:rsidRPr="008A0812" w:rsidRDefault="00440418" w:rsidP="00440418">
      <w:pPr>
        <w:pStyle w:val="BodyText"/>
      </w:pPr>
      <w:r w:rsidRPr="008A0812">
        <w:t>During three significant storms in January and February of 2019, instantaneous plant flows reached</w:t>
      </w:r>
      <w:r w:rsidR="0083595C" w:rsidRPr="008A0812">
        <w:t xml:space="preserve"> between</w:t>
      </w:r>
      <w:r w:rsidRPr="008A0812">
        <w:t xml:space="preserve"> 47 to 64 mgd as measured by the two effluent flow meters. Operators observed that there were no overflows or significant hydraulic issues during this event</w:t>
      </w:r>
      <w:r w:rsidR="00E51FAC" w:rsidRPr="008A0812">
        <w:t>. This is</w:t>
      </w:r>
      <w:r w:rsidR="00C808D1" w:rsidRPr="008A0812">
        <w:t xml:space="preserve"> not</w:t>
      </w:r>
      <w:r w:rsidR="00E51FAC" w:rsidRPr="008A0812">
        <w:t xml:space="preserve"> necessarily inconsistent with</w:t>
      </w:r>
      <w:r w:rsidRPr="008A0812">
        <w:t xml:space="preserve"> the </w:t>
      </w:r>
      <w:r w:rsidR="006D0FF1" w:rsidRPr="008A0812">
        <w:t>48 mgd total capacity reported above</w:t>
      </w:r>
      <w:r w:rsidR="00C808D1" w:rsidRPr="008A0812">
        <w:t xml:space="preserve">, as </w:t>
      </w:r>
      <w:r w:rsidR="00DC7FC3" w:rsidRPr="008A0812">
        <w:t>the</w:t>
      </w:r>
      <w:r w:rsidRPr="008A0812">
        <w:t xml:space="preserve"> primary clarifier </w:t>
      </w:r>
      <w:r w:rsidR="00DC7FC3" w:rsidRPr="008A0812">
        <w:t xml:space="preserve">weirs could have been </w:t>
      </w:r>
      <w:r w:rsidR="006D0FF1" w:rsidRPr="008A0812">
        <w:t>submerged</w:t>
      </w:r>
      <w:r w:rsidR="00B12F39" w:rsidRPr="008A0812">
        <w:t xml:space="preserve"> during the higher flow events</w:t>
      </w:r>
      <w:r w:rsidR="002C0148" w:rsidRPr="008A0812">
        <w:t xml:space="preserve"> without causing any other significant hydraulic issues</w:t>
      </w:r>
      <w:r w:rsidRPr="008A0812">
        <w:t>.</w:t>
      </w:r>
    </w:p>
    <w:p w14:paraId="2A02070D" w14:textId="0114F37A" w:rsidR="00440418" w:rsidRPr="008A0812" w:rsidRDefault="00440418" w:rsidP="00440418">
      <w:pPr>
        <w:pStyle w:val="Heading2"/>
      </w:pPr>
      <w:bookmarkStart w:id="480" w:name="_Toc41680902"/>
      <w:r w:rsidRPr="008A0812">
        <w:t>Influent Distribution Performance</w:t>
      </w:r>
      <w:bookmarkEnd w:id="480"/>
    </w:p>
    <w:p w14:paraId="544B525F" w14:textId="0C4A64A0" w:rsidR="00440418" w:rsidRPr="008A0812" w:rsidRDefault="00B76FA3" w:rsidP="00440418">
      <w:pPr>
        <w:pStyle w:val="BodyText"/>
      </w:pPr>
      <w:r w:rsidRPr="008A0812">
        <w:fldChar w:fldCharType="begin"/>
      </w:r>
      <w:r w:rsidRPr="008A0812">
        <w:instrText xml:space="preserve"> REF _Ref36400220 \h </w:instrText>
      </w:r>
      <w:r w:rsidR="008A0812">
        <w:instrText xml:space="preserve"> \* MERGEFORMAT </w:instrText>
      </w:r>
      <w:r w:rsidRPr="008A0812">
        <w:fldChar w:fldCharType="separate"/>
      </w:r>
      <w:r w:rsidR="00AA68F8" w:rsidRPr="008A0812">
        <w:t xml:space="preserve">Table </w:t>
      </w:r>
      <w:r w:rsidR="00AA68F8">
        <w:rPr>
          <w:noProof/>
        </w:rPr>
        <w:t>8</w:t>
      </w:r>
      <w:r w:rsidR="00AA68F8" w:rsidRPr="008A0812">
        <w:rPr>
          <w:noProof/>
        </w:rPr>
        <w:noBreakHyphen/>
      </w:r>
      <w:r w:rsidR="00AA68F8">
        <w:rPr>
          <w:noProof/>
        </w:rPr>
        <w:t>2</w:t>
      </w:r>
      <w:r w:rsidRPr="008A0812">
        <w:fldChar w:fldCharType="end"/>
      </w:r>
      <w:r w:rsidR="00440418" w:rsidRPr="008A0812">
        <w:t xml:space="preserve"> shows influent flow statistics for each of the major treatment units. The headworks flow splitter and Unit 2 flow splitter work together </w:t>
      </w:r>
      <w:r w:rsidR="00C808D1" w:rsidRPr="008A0812">
        <w:t xml:space="preserve">and </w:t>
      </w:r>
      <w:r w:rsidR="00440418" w:rsidRPr="008A0812">
        <w:t xml:space="preserve">divide flows </w:t>
      </w:r>
      <w:r w:rsidR="001B0FF8" w:rsidRPr="008A0812">
        <w:t xml:space="preserve">among </w:t>
      </w:r>
      <w:r w:rsidR="00440418" w:rsidRPr="008A0812">
        <w:t xml:space="preserve">the four treatment trains. </w:t>
      </w:r>
      <w:r w:rsidR="00880532" w:rsidRPr="008A0812">
        <w:t>NRC</w:t>
      </w:r>
      <w:r w:rsidR="00440418" w:rsidRPr="008A0812">
        <w:t xml:space="preserve"> is design</w:t>
      </w:r>
      <w:r w:rsidR="009C7E93" w:rsidRPr="008A0812">
        <w:t>ed</w:t>
      </w:r>
      <w:r w:rsidR="00440418" w:rsidRPr="008A0812">
        <w:t xml:space="preserve"> for a stable raw wastewater influent flow of 3.0 to 3.6 to provide a carbon source for denitrification of centrate. The recorded average flow of 2.4 mgd is less than </w:t>
      </w:r>
      <w:r w:rsidR="00AB4258" w:rsidRPr="008A0812">
        <w:t>the design flow</w:t>
      </w:r>
      <w:r w:rsidR="00440418" w:rsidRPr="008A0812">
        <w:t>. The remainder of the flow is intended to be split 50 percent to Unit 1, and 25 percent to each of the Unit 2 trains, in accordance with the ratio of their design capacities. The data shows that on average</w:t>
      </w:r>
      <w:r w:rsidR="00512675" w:rsidRPr="008A0812">
        <w:t>,</w:t>
      </w:r>
      <w:r w:rsidR="00440418" w:rsidRPr="008A0812">
        <w:t xml:space="preserve"> the flow split works well: Unit 1 receives 48 percent of the non-NRC flow, with Units 2N and 2S each receiving 27 and 25 percent respectively.</w:t>
      </w:r>
    </w:p>
    <w:p w14:paraId="5AAB1A8B" w14:textId="007CCB1C" w:rsidR="00B76FA3" w:rsidRPr="008A0812" w:rsidRDefault="00B76FA3" w:rsidP="00B76FA3">
      <w:pPr>
        <w:pStyle w:val="TableHeading"/>
      </w:pPr>
      <w:bookmarkStart w:id="481" w:name="_Ref36400220"/>
      <w:bookmarkStart w:id="482" w:name="_Toc36414091"/>
      <w:bookmarkStart w:id="483" w:name="_Toc41684779"/>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481"/>
      <w:r w:rsidRPr="008A0812">
        <w:t>: WRP Flow Distribution</w:t>
      </w:r>
      <w:bookmarkEnd w:id="482"/>
      <w:bookmarkEnd w:id="483"/>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12"/>
        <w:gridCol w:w="1472"/>
        <w:gridCol w:w="1608"/>
        <w:gridCol w:w="1503"/>
        <w:gridCol w:w="1518"/>
        <w:gridCol w:w="1518"/>
      </w:tblGrid>
      <w:tr w:rsidR="00440418" w:rsidRPr="008A0812" w14:paraId="69B52B07" w14:textId="77777777" w:rsidTr="00440418">
        <w:tc>
          <w:tcPr>
            <w:tcW w:w="1712"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57C49EF1" w14:textId="470AF98C" w:rsidR="00440418" w:rsidRPr="008A0812" w:rsidRDefault="00440418" w:rsidP="00440418">
            <w:pPr>
              <w:overflowPunct/>
              <w:autoSpaceDE/>
              <w:autoSpaceDN/>
              <w:adjustRightInd/>
              <w:jc w:val="center"/>
              <w:rPr>
                <w:rFonts w:asciiTheme="majorHAnsi" w:hAnsiTheme="majorHAnsi" w:cs="Segoe UI"/>
              </w:rPr>
            </w:pPr>
          </w:p>
        </w:tc>
        <w:tc>
          <w:tcPr>
            <w:tcW w:w="1472" w:type="dxa"/>
            <w:tcBorders>
              <w:top w:val="single" w:sz="6" w:space="0" w:color="auto"/>
              <w:left w:val="nil"/>
              <w:bottom w:val="single" w:sz="6" w:space="0" w:color="auto"/>
              <w:right w:val="single" w:sz="6" w:space="0" w:color="auto"/>
            </w:tcBorders>
            <w:shd w:val="clear" w:color="auto" w:fill="BFBFBF"/>
            <w:vAlign w:val="bottom"/>
            <w:hideMark/>
          </w:tcPr>
          <w:p w14:paraId="2D1279DD" w14:textId="0B1450E5"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b/>
                <w:bCs/>
              </w:rPr>
              <w:t>Units</w:t>
            </w:r>
          </w:p>
        </w:tc>
        <w:tc>
          <w:tcPr>
            <w:tcW w:w="1608" w:type="dxa"/>
            <w:tcBorders>
              <w:top w:val="single" w:sz="6" w:space="0" w:color="auto"/>
              <w:left w:val="nil"/>
              <w:bottom w:val="single" w:sz="6" w:space="0" w:color="auto"/>
              <w:right w:val="single" w:sz="6" w:space="0" w:color="auto"/>
            </w:tcBorders>
            <w:shd w:val="clear" w:color="auto" w:fill="BFBFBF"/>
            <w:vAlign w:val="bottom"/>
            <w:hideMark/>
          </w:tcPr>
          <w:p w14:paraId="38D9E5DB" w14:textId="25701D49"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b/>
                <w:bCs/>
              </w:rPr>
              <w:t>Unit 1</w:t>
            </w:r>
          </w:p>
        </w:tc>
        <w:tc>
          <w:tcPr>
            <w:tcW w:w="1503" w:type="dxa"/>
            <w:tcBorders>
              <w:top w:val="single" w:sz="6" w:space="0" w:color="auto"/>
              <w:left w:val="nil"/>
              <w:bottom w:val="single" w:sz="6" w:space="0" w:color="auto"/>
              <w:right w:val="single" w:sz="6" w:space="0" w:color="auto"/>
            </w:tcBorders>
            <w:shd w:val="clear" w:color="auto" w:fill="BFBFBF"/>
            <w:vAlign w:val="bottom"/>
            <w:hideMark/>
          </w:tcPr>
          <w:p w14:paraId="1A53E2D8" w14:textId="592046EB"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b/>
                <w:bCs/>
              </w:rPr>
              <w:t>Unit 2 North</w:t>
            </w:r>
          </w:p>
        </w:tc>
        <w:tc>
          <w:tcPr>
            <w:tcW w:w="1518" w:type="dxa"/>
            <w:tcBorders>
              <w:top w:val="single" w:sz="6" w:space="0" w:color="auto"/>
              <w:left w:val="nil"/>
              <w:bottom w:val="single" w:sz="6" w:space="0" w:color="auto"/>
              <w:right w:val="single" w:sz="6" w:space="0" w:color="auto"/>
            </w:tcBorders>
            <w:shd w:val="clear" w:color="auto" w:fill="BFBFBF"/>
            <w:vAlign w:val="bottom"/>
            <w:hideMark/>
          </w:tcPr>
          <w:p w14:paraId="1F323B9B" w14:textId="464D9790"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b/>
                <w:bCs/>
              </w:rPr>
              <w:t>Unit 2 South</w:t>
            </w:r>
          </w:p>
        </w:tc>
        <w:tc>
          <w:tcPr>
            <w:tcW w:w="1518" w:type="dxa"/>
            <w:tcBorders>
              <w:top w:val="single" w:sz="6" w:space="0" w:color="auto"/>
              <w:left w:val="nil"/>
              <w:bottom w:val="single" w:sz="6" w:space="0" w:color="auto"/>
              <w:right w:val="single" w:sz="6" w:space="0" w:color="auto"/>
            </w:tcBorders>
            <w:shd w:val="clear" w:color="auto" w:fill="BFBFBF"/>
            <w:vAlign w:val="bottom"/>
            <w:hideMark/>
          </w:tcPr>
          <w:p w14:paraId="6525798E" w14:textId="125F5391"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b/>
                <w:bCs/>
              </w:rPr>
              <w:t>Nitrogen Removal Carousel</w:t>
            </w:r>
          </w:p>
        </w:tc>
      </w:tr>
      <w:tr w:rsidR="00440418" w:rsidRPr="008A0812" w14:paraId="387FE180" w14:textId="77777777" w:rsidTr="00440418">
        <w:trPr>
          <w:trHeight w:val="285"/>
        </w:trPr>
        <w:tc>
          <w:tcPr>
            <w:tcW w:w="1712" w:type="dxa"/>
            <w:tcBorders>
              <w:top w:val="nil"/>
              <w:left w:val="single" w:sz="6" w:space="0" w:color="auto"/>
              <w:bottom w:val="single" w:sz="6" w:space="0" w:color="auto"/>
              <w:right w:val="single" w:sz="6" w:space="0" w:color="auto"/>
            </w:tcBorders>
            <w:shd w:val="clear" w:color="auto" w:fill="auto"/>
            <w:vAlign w:val="center"/>
            <w:hideMark/>
          </w:tcPr>
          <w:p w14:paraId="6640A1B4" w14:textId="6AEAA6B9"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rPr>
              <w:t>Average Flow</w:t>
            </w:r>
          </w:p>
        </w:tc>
        <w:tc>
          <w:tcPr>
            <w:tcW w:w="1472" w:type="dxa"/>
            <w:tcBorders>
              <w:top w:val="nil"/>
              <w:left w:val="nil"/>
              <w:bottom w:val="single" w:sz="6" w:space="0" w:color="auto"/>
              <w:right w:val="single" w:sz="6" w:space="0" w:color="auto"/>
            </w:tcBorders>
            <w:shd w:val="clear" w:color="auto" w:fill="auto"/>
            <w:vAlign w:val="center"/>
            <w:hideMark/>
          </w:tcPr>
          <w:p w14:paraId="58886163" w14:textId="410D3319" w:rsidR="00440418" w:rsidRPr="008A0812" w:rsidRDefault="006C3D4C" w:rsidP="00440418">
            <w:pPr>
              <w:overflowPunct/>
              <w:autoSpaceDE/>
              <w:autoSpaceDN/>
              <w:adjustRightInd/>
              <w:jc w:val="center"/>
              <w:rPr>
                <w:rFonts w:asciiTheme="majorHAnsi" w:hAnsiTheme="majorHAnsi" w:cs="Segoe UI"/>
              </w:rPr>
            </w:pPr>
            <w:r w:rsidRPr="008A0812">
              <w:rPr>
                <w:rFonts w:asciiTheme="majorHAnsi" w:hAnsiTheme="majorHAnsi" w:cs="Arial"/>
              </w:rPr>
              <w:t>mgd</w:t>
            </w:r>
          </w:p>
        </w:tc>
        <w:tc>
          <w:tcPr>
            <w:tcW w:w="1608" w:type="dxa"/>
            <w:tcBorders>
              <w:top w:val="nil"/>
              <w:left w:val="nil"/>
              <w:bottom w:val="single" w:sz="6" w:space="0" w:color="auto"/>
              <w:right w:val="single" w:sz="6" w:space="0" w:color="auto"/>
            </w:tcBorders>
            <w:shd w:val="clear" w:color="auto" w:fill="auto"/>
            <w:vAlign w:val="center"/>
            <w:hideMark/>
          </w:tcPr>
          <w:p w14:paraId="030CFB7E" w14:textId="597BE5F6"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9.22</w:t>
            </w:r>
          </w:p>
        </w:tc>
        <w:tc>
          <w:tcPr>
            <w:tcW w:w="1503" w:type="dxa"/>
            <w:tcBorders>
              <w:top w:val="nil"/>
              <w:left w:val="nil"/>
              <w:bottom w:val="single" w:sz="6" w:space="0" w:color="auto"/>
              <w:right w:val="single" w:sz="6" w:space="0" w:color="auto"/>
            </w:tcBorders>
            <w:shd w:val="clear" w:color="auto" w:fill="auto"/>
            <w:vAlign w:val="center"/>
            <w:hideMark/>
          </w:tcPr>
          <w:p w14:paraId="2418D329" w14:textId="4732BFCE"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5.08</w:t>
            </w:r>
          </w:p>
        </w:tc>
        <w:tc>
          <w:tcPr>
            <w:tcW w:w="1518" w:type="dxa"/>
            <w:tcBorders>
              <w:top w:val="nil"/>
              <w:left w:val="nil"/>
              <w:bottom w:val="single" w:sz="6" w:space="0" w:color="auto"/>
              <w:right w:val="single" w:sz="6" w:space="0" w:color="auto"/>
            </w:tcBorders>
            <w:shd w:val="clear" w:color="auto" w:fill="auto"/>
            <w:vAlign w:val="center"/>
            <w:hideMark/>
          </w:tcPr>
          <w:p w14:paraId="6769A330" w14:textId="5D177B63"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4.75</w:t>
            </w:r>
          </w:p>
        </w:tc>
        <w:tc>
          <w:tcPr>
            <w:tcW w:w="1518" w:type="dxa"/>
            <w:tcBorders>
              <w:top w:val="nil"/>
              <w:left w:val="nil"/>
              <w:bottom w:val="single" w:sz="6" w:space="0" w:color="auto"/>
              <w:right w:val="single" w:sz="6" w:space="0" w:color="auto"/>
            </w:tcBorders>
            <w:shd w:val="clear" w:color="auto" w:fill="auto"/>
            <w:vAlign w:val="center"/>
            <w:hideMark/>
          </w:tcPr>
          <w:p w14:paraId="5AA64A5E" w14:textId="5276B98E"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2.35</w:t>
            </w:r>
          </w:p>
        </w:tc>
      </w:tr>
      <w:tr w:rsidR="00440418" w:rsidRPr="008A0812" w14:paraId="23665B9F" w14:textId="77777777" w:rsidTr="00440418">
        <w:trPr>
          <w:trHeight w:val="285"/>
        </w:trPr>
        <w:tc>
          <w:tcPr>
            <w:tcW w:w="1712" w:type="dxa"/>
            <w:tcBorders>
              <w:top w:val="nil"/>
              <w:left w:val="single" w:sz="6" w:space="0" w:color="auto"/>
              <w:bottom w:val="single" w:sz="6" w:space="0" w:color="auto"/>
              <w:right w:val="single" w:sz="6" w:space="0" w:color="auto"/>
            </w:tcBorders>
            <w:shd w:val="clear" w:color="auto" w:fill="auto"/>
            <w:vAlign w:val="center"/>
            <w:hideMark/>
          </w:tcPr>
          <w:p w14:paraId="1CFAADD0" w14:textId="1AF02E85"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rPr>
              <w:t>Maximum Flow</w:t>
            </w:r>
          </w:p>
        </w:tc>
        <w:tc>
          <w:tcPr>
            <w:tcW w:w="1472" w:type="dxa"/>
            <w:tcBorders>
              <w:top w:val="nil"/>
              <w:left w:val="nil"/>
              <w:bottom w:val="single" w:sz="6" w:space="0" w:color="auto"/>
              <w:right w:val="single" w:sz="6" w:space="0" w:color="auto"/>
            </w:tcBorders>
            <w:shd w:val="clear" w:color="auto" w:fill="auto"/>
            <w:vAlign w:val="center"/>
            <w:hideMark/>
          </w:tcPr>
          <w:p w14:paraId="57EAD4E2" w14:textId="0B9E1109" w:rsidR="00440418" w:rsidRPr="008A0812" w:rsidRDefault="006C3D4C" w:rsidP="00440418">
            <w:pPr>
              <w:overflowPunct/>
              <w:autoSpaceDE/>
              <w:autoSpaceDN/>
              <w:adjustRightInd/>
              <w:jc w:val="center"/>
              <w:rPr>
                <w:rFonts w:asciiTheme="majorHAnsi" w:hAnsiTheme="majorHAnsi" w:cs="Segoe UI"/>
              </w:rPr>
            </w:pPr>
            <w:r w:rsidRPr="008A0812">
              <w:rPr>
                <w:rFonts w:asciiTheme="majorHAnsi" w:hAnsiTheme="majorHAnsi" w:cs="Segoe UI"/>
              </w:rPr>
              <w:t>mgd</w:t>
            </w:r>
          </w:p>
        </w:tc>
        <w:tc>
          <w:tcPr>
            <w:tcW w:w="1608" w:type="dxa"/>
            <w:tcBorders>
              <w:top w:val="nil"/>
              <w:left w:val="nil"/>
              <w:bottom w:val="single" w:sz="6" w:space="0" w:color="auto"/>
              <w:right w:val="single" w:sz="6" w:space="0" w:color="auto"/>
            </w:tcBorders>
            <w:shd w:val="clear" w:color="auto" w:fill="auto"/>
            <w:vAlign w:val="center"/>
            <w:hideMark/>
          </w:tcPr>
          <w:p w14:paraId="66F5D783" w14:textId="581183D1"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16.13</w:t>
            </w:r>
          </w:p>
        </w:tc>
        <w:tc>
          <w:tcPr>
            <w:tcW w:w="1503" w:type="dxa"/>
            <w:tcBorders>
              <w:top w:val="nil"/>
              <w:left w:val="nil"/>
              <w:bottom w:val="single" w:sz="6" w:space="0" w:color="auto"/>
              <w:right w:val="single" w:sz="6" w:space="0" w:color="auto"/>
            </w:tcBorders>
            <w:shd w:val="clear" w:color="auto" w:fill="auto"/>
            <w:vAlign w:val="center"/>
            <w:hideMark/>
          </w:tcPr>
          <w:p w14:paraId="0059AEA3" w14:textId="539B8B65"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9.50</w:t>
            </w:r>
          </w:p>
        </w:tc>
        <w:tc>
          <w:tcPr>
            <w:tcW w:w="1518" w:type="dxa"/>
            <w:tcBorders>
              <w:top w:val="nil"/>
              <w:left w:val="nil"/>
              <w:bottom w:val="single" w:sz="6" w:space="0" w:color="auto"/>
              <w:right w:val="single" w:sz="6" w:space="0" w:color="auto"/>
            </w:tcBorders>
            <w:shd w:val="clear" w:color="auto" w:fill="auto"/>
            <w:vAlign w:val="center"/>
            <w:hideMark/>
          </w:tcPr>
          <w:p w14:paraId="0B8D41DD" w14:textId="7B430301"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9.28</w:t>
            </w:r>
          </w:p>
        </w:tc>
        <w:tc>
          <w:tcPr>
            <w:tcW w:w="1518" w:type="dxa"/>
            <w:tcBorders>
              <w:top w:val="nil"/>
              <w:left w:val="nil"/>
              <w:bottom w:val="single" w:sz="6" w:space="0" w:color="auto"/>
              <w:right w:val="single" w:sz="6" w:space="0" w:color="auto"/>
            </w:tcBorders>
            <w:shd w:val="clear" w:color="auto" w:fill="auto"/>
            <w:vAlign w:val="center"/>
            <w:hideMark/>
          </w:tcPr>
          <w:p w14:paraId="452479ED" w14:textId="730D5296"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3.19</w:t>
            </w:r>
          </w:p>
        </w:tc>
      </w:tr>
      <w:tr w:rsidR="00440418" w:rsidRPr="008A0812" w14:paraId="587DA880" w14:textId="77777777" w:rsidTr="00440418">
        <w:trPr>
          <w:trHeight w:val="285"/>
        </w:trPr>
        <w:tc>
          <w:tcPr>
            <w:tcW w:w="1712" w:type="dxa"/>
            <w:tcBorders>
              <w:top w:val="nil"/>
              <w:left w:val="single" w:sz="6" w:space="0" w:color="auto"/>
              <w:bottom w:val="single" w:sz="6" w:space="0" w:color="auto"/>
              <w:right w:val="single" w:sz="6" w:space="0" w:color="auto"/>
            </w:tcBorders>
            <w:shd w:val="clear" w:color="auto" w:fill="auto"/>
            <w:vAlign w:val="center"/>
            <w:hideMark/>
          </w:tcPr>
          <w:p w14:paraId="28D5A7D9" w14:textId="0B355F37"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Segoe UI"/>
              </w:rPr>
              <w:t>Minimum Flow</w:t>
            </w:r>
          </w:p>
        </w:tc>
        <w:tc>
          <w:tcPr>
            <w:tcW w:w="1472" w:type="dxa"/>
            <w:tcBorders>
              <w:top w:val="nil"/>
              <w:left w:val="nil"/>
              <w:bottom w:val="single" w:sz="6" w:space="0" w:color="auto"/>
              <w:right w:val="single" w:sz="6" w:space="0" w:color="auto"/>
            </w:tcBorders>
            <w:shd w:val="clear" w:color="auto" w:fill="auto"/>
            <w:vAlign w:val="center"/>
            <w:hideMark/>
          </w:tcPr>
          <w:p w14:paraId="2794F571" w14:textId="4189BF17" w:rsidR="00440418" w:rsidRPr="008A0812" w:rsidRDefault="006C3D4C" w:rsidP="00440418">
            <w:pPr>
              <w:overflowPunct/>
              <w:autoSpaceDE/>
              <w:autoSpaceDN/>
              <w:adjustRightInd/>
              <w:jc w:val="center"/>
              <w:rPr>
                <w:rFonts w:asciiTheme="majorHAnsi" w:hAnsiTheme="majorHAnsi" w:cs="Segoe UI"/>
              </w:rPr>
            </w:pPr>
            <w:r w:rsidRPr="008A0812">
              <w:rPr>
                <w:rFonts w:asciiTheme="majorHAnsi" w:hAnsiTheme="majorHAnsi" w:cs="Segoe UI"/>
              </w:rPr>
              <w:t>mgd</w:t>
            </w:r>
          </w:p>
        </w:tc>
        <w:tc>
          <w:tcPr>
            <w:tcW w:w="1608" w:type="dxa"/>
            <w:tcBorders>
              <w:top w:val="nil"/>
              <w:left w:val="nil"/>
              <w:bottom w:val="single" w:sz="6" w:space="0" w:color="auto"/>
              <w:right w:val="single" w:sz="6" w:space="0" w:color="auto"/>
            </w:tcBorders>
            <w:shd w:val="clear" w:color="auto" w:fill="auto"/>
            <w:vAlign w:val="center"/>
            <w:hideMark/>
          </w:tcPr>
          <w:p w14:paraId="1898C014" w14:textId="10FE8A0D"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7.35</w:t>
            </w:r>
          </w:p>
        </w:tc>
        <w:tc>
          <w:tcPr>
            <w:tcW w:w="1503" w:type="dxa"/>
            <w:tcBorders>
              <w:top w:val="nil"/>
              <w:left w:val="nil"/>
              <w:bottom w:val="single" w:sz="6" w:space="0" w:color="auto"/>
              <w:right w:val="single" w:sz="6" w:space="0" w:color="auto"/>
            </w:tcBorders>
            <w:shd w:val="clear" w:color="auto" w:fill="auto"/>
            <w:vAlign w:val="center"/>
            <w:hideMark/>
          </w:tcPr>
          <w:p w14:paraId="370D7271" w14:textId="4A509A9B"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3.87</w:t>
            </w:r>
          </w:p>
        </w:tc>
        <w:tc>
          <w:tcPr>
            <w:tcW w:w="1518" w:type="dxa"/>
            <w:tcBorders>
              <w:top w:val="nil"/>
              <w:left w:val="nil"/>
              <w:bottom w:val="single" w:sz="6" w:space="0" w:color="auto"/>
              <w:right w:val="single" w:sz="6" w:space="0" w:color="auto"/>
            </w:tcBorders>
            <w:shd w:val="clear" w:color="auto" w:fill="auto"/>
            <w:vAlign w:val="center"/>
            <w:hideMark/>
          </w:tcPr>
          <w:p w14:paraId="19EC3537" w14:textId="4DE6EC55"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3.30</w:t>
            </w:r>
          </w:p>
        </w:tc>
        <w:tc>
          <w:tcPr>
            <w:tcW w:w="1518" w:type="dxa"/>
            <w:tcBorders>
              <w:top w:val="nil"/>
              <w:left w:val="nil"/>
              <w:bottom w:val="single" w:sz="6" w:space="0" w:color="auto"/>
              <w:right w:val="single" w:sz="6" w:space="0" w:color="auto"/>
            </w:tcBorders>
            <w:shd w:val="clear" w:color="auto" w:fill="auto"/>
            <w:vAlign w:val="center"/>
            <w:hideMark/>
          </w:tcPr>
          <w:p w14:paraId="15C2427E" w14:textId="1473CEFF" w:rsidR="00440418" w:rsidRPr="008A0812" w:rsidRDefault="00440418" w:rsidP="00440418">
            <w:pPr>
              <w:overflowPunct/>
              <w:autoSpaceDE/>
              <w:autoSpaceDN/>
              <w:adjustRightInd/>
              <w:jc w:val="center"/>
              <w:rPr>
                <w:rFonts w:asciiTheme="majorHAnsi" w:hAnsiTheme="majorHAnsi" w:cs="Segoe UI"/>
              </w:rPr>
            </w:pPr>
            <w:r w:rsidRPr="008A0812">
              <w:rPr>
                <w:rFonts w:asciiTheme="majorHAnsi" w:hAnsiTheme="majorHAnsi" w:cs="Arial"/>
              </w:rPr>
              <w:t>0.64</w:t>
            </w:r>
          </w:p>
        </w:tc>
      </w:tr>
    </w:tbl>
    <w:p w14:paraId="5C1B65A6" w14:textId="51615BF8" w:rsidR="003B5C7B" w:rsidRPr="008A0812" w:rsidRDefault="00440418" w:rsidP="00440418">
      <w:pPr>
        <w:pStyle w:val="BodyText"/>
        <w:spacing w:after="0"/>
        <w:ind w:left="720"/>
        <w:rPr>
          <w:rFonts w:cs="Segoe UI"/>
          <w:sz w:val="20"/>
          <w:szCs w:val="20"/>
        </w:rPr>
      </w:pPr>
      <w:r w:rsidRPr="008A0812">
        <w:rPr>
          <w:rFonts w:cs="Segoe UI"/>
          <w:sz w:val="20"/>
          <w:szCs w:val="20"/>
        </w:rPr>
        <w:t>Note</w:t>
      </w:r>
      <w:r w:rsidR="00AD2172" w:rsidRPr="008A0812">
        <w:rPr>
          <w:rFonts w:cs="Segoe UI"/>
          <w:sz w:val="20"/>
          <w:szCs w:val="20"/>
        </w:rPr>
        <w:t>s</w:t>
      </w:r>
      <w:r w:rsidRPr="008A0812">
        <w:rPr>
          <w:rFonts w:cs="Segoe UI"/>
          <w:sz w:val="20"/>
          <w:szCs w:val="20"/>
        </w:rPr>
        <w:t xml:space="preserve">: </w:t>
      </w:r>
    </w:p>
    <w:p w14:paraId="20BD2FAE" w14:textId="17A0E434" w:rsidR="00440418" w:rsidRPr="008A0812" w:rsidRDefault="003B5C7B" w:rsidP="00B40B9B">
      <w:pPr>
        <w:pStyle w:val="BodyText"/>
        <w:numPr>
          <w:ilvl w:val="0"/>
          <w:numId w:val="19"/>
        </w:numPr>
        <w:spacing w:before="0" w:after="0"/>
        <w:rPr>
          <w:rFonts w:cs="Segoe UI"/>
          <w:sz w:val="20"/>
          <w:szCs w:val="20"/>
        </w:rPr>
      </w:pPr>
      <w:r w:rsidRPr="008A0812">
        <w:rPr>
          <w:rFonts w:cs="Segoe UI"/>
          <w:sz w:val="20"/>
          <w:szCs w:val="20"/>
        </w:rPr>
        <w:t>NRC influent flow does not include centrate, which add</w:t>
      </w:r>
      <w:r w:rsidR="00512675" w:rsidRPr="008A0812">
        <w:rPr>
          <w:rFonts w:cs="Segoe UI"/>
          <w:sz w:val="20"/>
          <w:szCs w:val="20"/>
        </w:rPr>
        <w:t>s</w:t>
      </w:r>
      <w:r w:rsidRPr="008A0812">
        <w:rPr>
          <w:rFonts w:cs="Segoe UI"/>
          <w:sz w:val="20"/>
          <w:szCs w:val="20"/>
        </w:rPr>
        <w:t xml:space="preserve"> an average of 0.2- to </w:t>
      </w:r>
      <w:r w:rsidR="00FB5FDD" w:rsidRPr="008A0812">
        <w:rPr>
          <w:rFonts w:cs="Segoe UI"/>
          <w:sz w:val="20"/>
          <w:szCs w:val="20"/>
        </w:rPr>
        <w:t>0.6</w:t>
      </w:r>
      <w:r w:rsidRPr="008A0812">
        <w:rPr>
          <w:rFonts w:cs="Segoe UI"/>
          <w:sz w:val="20"/>
          <w:szCs w:val="20"/>
        </w:rPr>
        <w:t xml:space="preserve"> mgd of flow</w:t>
      </w:r>
      <w:r w:rsidR="00440418" w:rsidRPr="008A0812">
        <w:rPr>
          <w:rFonts w:cs="Segoe UI"/>
          <w:sz w:val="20"/>
          <w:szCs w:val="20"/>
        </w:rPr>
        <w:t>.</w:t>
      </w:r>
    </w:p>
    <w:p w14:paraId="72B11313" w14:textId="2149E232" w:rsidR="00440418" w:rsidRPr="008A0812" w:rsidRDefault="00AD2172" w:rsidP="00AD2172">
      <w:pPr>
        <w:pStyle w:val="Heading2"/>
      </w:pPr>
      <w:bookmarkStart w:id="484" w:name="_Toc41680903"/>
      <w:r w:rsidRPr="008A0812">
        <w:t>Primary Process Performance</w:t>
      </w:r>
      <w:bookmarkEnd w:id="484"/>
    </w:p>
    <w:p w14:paraId="73803322" w14:textId="1405F1CD" w:rsidR="00524B10" w:rsidRPr="008A0812" w:rsidRDefault="00AD2172" w:rsidP="00AD2172">
      <w:pPr>
        <w:pStyle w:val="BodyText"/>
      </w:pPr>
      <w:r w:rsidRPr="008A0812">
        <w:t xml:space="preserve">Primary clarifier performance is summarized in </w:t>
      </w:r>
      <w:r w:rsidR="00B76FA3" w:rsidRPr="008A0812">
        <w:fldChar w:fldCharType="begin"/>
      </w:r>
      <w:r w:rsidR="00B76FA3" w:rsidRPr="008A0812">
        <w:instrText xml:space="preserve"> REF _Ref36400242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3</w:t>
      </w:r>
      <w:r w:rsidR="00B76FA3" w:rsidRPr="008A0812">
        <w:fldChar w:fldCharType="end"/>
      </w:r>
      <w:r w:rsidRPr="008A0812">
        <w:t xml:space="preserve">. Average performance of the Unit 1 and 2 primary clarifiers is similar, with COD removal ranging from 40 to 46 percent, and TSS removal between 61 and 65 percent. These removals are at the high end of typical ranges and indicate that the primary clarifiers are working well. TSS removal in primary clarifiers commonly ranges from 40 to 70 percent, with 60 percent being typical. BOD removals are typically 25 to 40-percent, </w:t>
      </w:r>
      <w:r w:rsidR="00524B10" w:rsidRPr="008A0812">
        <w:t xml:space="preserve">it is assumed that COD removal would typically be higher. </w:t>
      </w:r>
    </w:p>
    <w:p w14:paraId="6D131FD6" w14:textId="3A7613D3" w:rsidR="00AD2172" w:rsidRPr="008A0812" w:rsidRDefault="00AD2172" w:rsidP="00AD2172">
      <w:pPr>
        <w:pStyle w:val="BodyText"/>
      </w:pPr>
      <w:r w:rsidRPr="008A0812">
        <w:t>The high observed removals are most likely a result of the low overflow rates. Average overflow rates of 400 to 600 gpd/sf are low compared with the typical design range of 800 to 1200 gpd/sf (M</w:t>
      </w:r>
      <w:r w:rsidR="003066CF" w:rsidRPr="008A0812">
        <w:t xml:space="preserve">etcalf </w:t>
      </w:r>
      <w:r w:rsidRPr="008A0812">
        <w:t>&amp;</w:t>
      </w:r>
      <w:r w:rsidR="003066CF" w:rsidRPr="008A0812">
        <w:t xml:space="preserve"> </w:t>
      </w:r>
      <w:r w:rsidRPr="008A0812">
        <w:t>E</w:t>
      </w:r>
      <w:r w:rsidR="003066CF" w:rsidRPr="008A0812">
        <w:t>ddy</w:t>
      </w:r>
      <w:r w:rsidR="00451DC5" w:rsidRPr="008A0812">
        <w:t>,</w:t>
      </w:r>
      <w:r w:rsidRPr="008A0812">
        <w:t xml:space="preserve"> p.394). The addition of ferric chloride at the headworks may also play a roll. Ferric </w:t>
      </w:r>
      <w:r w:rsidR="00743EF1" w:rsidRPr="008A0812">
        <w:t xml:space="preserve">chloride </w:t>
      </w:r>
      <w:r w:rsidRPr="008A0812">
        <w:t>is added to precipitate sulfur and minimize hydrogen sulfide formation in the digesters but may also help with coagulation and settling of fine particles.</w:t>
      </w:r>
      <w:r w:rsidR="000D2D44" w:rsidRPr="008A0812">
        <w:t xml:space="preserve"> </w:t>
      </w:r>
    </w:p>
    <w:p w14:paraId="17803F96" w14:textId="13721395" w:rsidR="00AD2172" w:rsidRPr="008A0812" w:rsidRDefault="00AD2172" w:rsidP="00B76FA3">
      <w:pPr>
        <w:pStyle w:val="BodyText"/>
      </w:pPr>
      <w:r w:rsidRPr="008A0812">
        <w:t xml:space="preserve">It is desirable for </w:t>
      </w:r>
      <w:r w:rsidR="00B66B26" w:rsidRPr="008A0812">
        <w:t xml:space="preserve">the </w:t>
      </w:r>
      <w:r w:rsidRPr="008A0812">
        <w:t xml:space="preserve">SBWRP to remove as much of the organic load as possible in the primary </w:t>
      </w:r>
      <w:r w:rsidR="00A94BE3" w:rsidRPr="008A0812">
        <w:t>sludge</w:t>
      </w:r>
      <w:r w:rsidRPr="008A0812">
        <w:t xml:space="preserve"> for a couple of reasons.</w:t>
      </w:r>
      <w:r w:rsidR="000D2D44" w:rsidRPr="008A0812">
        <w:t xml:space="preserve"> </w:t>
      </w:r>
      <w:r w:rsidR="00A94BE3" w:rsidRPr="008A0812">
        <w:t>Primary sludge</w:t>
      </w:r>
      <w:r w:rsidRPr="008A0812">
        <w:t xml:space="preserve"> is sent directly to the digester where it is converted to biogas </w:t>
      </w:r>
      <w:r w:rsidR="00F6799E" w:rsidRPr="008A0812">
        <w:t>and</w:t>
      </w:r>
      <w:r w:rsidRPr="008A0812">
        <w:t xml:space="preserve"> used as an energy source in the existing reciprocal engines and in the fuel cells which are planned to replace them. Load removed in primary treatment also does not require secondary treatment, reducing the energy used for aeration and freeing up capacity in Units 1 and 2.</w:t>
      </w:r>
    </w:p>
    <w:p w14:paraId="4EB77516" w14:textId="37ADD5C8" w:rsidR="00B76FA3" w:rsidRPr="008A0812" w:rsidRDefault="00B76FA3" w:rsidP="00B76FA3">
      <w:pPr>
        <w:pStyle w:val="TableHeading"/>
      </w:pPr>
      <w:bookmarkStart w:id="485" w:name="_Ref36400242"/>
      <w:bookmarkStart w:id="486" w:name="_Toc36414092"/>
      <w:bookmarkStart w:id="487" w:name="_Toc41684780"/>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485"/>
      <w:r w:rsidRPr="008A0812">
        <w:t>: Primary Treatment Average Performance</w:t>
      </w:r>
      <w:bookmarkEnd w:id="486"/>
      <w:bookmarkEnd w:id="487"/>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42"/>
        <w:gridCol w:w="1170"/>
        <w:gridCol w:w="1673"/>
        <w:gridCol w:w="1673"/>
        <w:gridCol w:w="1673"/>
      </w:tblGrid>
      <w:tr w:rsidR="00AD2172" w:rsidRPr="008A0812" w14:paraId="765B6D12" w14:textId="77777777" w:rsidTr="00624496">
        <w:tc>
          <w:tcPr>
            <w:tcW w:w="314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2596F717" w14:textId="77777777" w:rsidR="00AD2172" w:rsidRPr="008A0812" w:rsidRDefault="00AD2172" w:rsidP="00AD2172">
            <w:pPr>
              <w:overflowPunct/>
              <w:autoSpaceDE/>
              <w:autoSpaceDN/>
              <w:adjustRightInd/>
              <w:jc w:val="center"/>
              <w:rPr>
                <w:rFonts w:asciiTheme="majorHAnsi" w:hAnsiTheme="majorHAnsi" w:cs="Segoe UI"/>
              </w:rPr>
            </w:pPr>
            <w:r w:rsidRPr="008A0812">
              <w:rPr>
                <w:rFonts w:ascii="Arial" w:hAnsi="Arial" w:cs="Arial"/>
              </w:rPr>
              <w:t> </w:t>
            </w:r>
            <w:r w:rsidRPr="008A0812">
              <w:rPr>
                <w:rFonts w:asciiTheme="majorHAnsi" w:hAnsiTheme="majorHAnsi" w:cs="Arial"/>
              </w:rPr>
              <w:t> </w:t>
            </w:r>
          </w:p>
        </w:tc>
        <w:tc>
          <w:tcPr>
            <w:tcW w:w="1170" w:type="dxa"/>
            <w:tcBorders>
              <w:top w:val="single" w:sz="6" w:space="0" w:color="auto"/>
              <w:left w:val="nil"/>
              <w:bottom w:val="single" w:sz="6" w:space="0" w:color="auto"/>
              <w:right w:val="single" w:sz="6" w:space="0" w:color="auto"/>
            </w:tcBorders>
            <w:shd w:val="clear" w:color="auto" w:fill="BFBFBF"/>
            <w:vAlign w:val="center"/>
            <w:hideMark/>
          </w:tcPr>
          <w:p w14:paraId="2B92053F" w14:textId="76840CB9"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Segoe UI"/>
                <w:b/>
                <w:bCs/>
              </w:rPr>
              <w:t>Units</w:t>
            </w:r>
          </w:p>
        </w:tc>
        <w:tc>
          <w:tcPr>
            <w:tcW w:w="1673" w:type="dxa"/>
            <w:tcBorders>
              <w:top w:val="single" w:sz="6" w:space="0" w:color="auto"/>
              <w:left w:val="nil"/>
              <w:bottom w:val="single" w:sz="6" w:space="0" w:color="auto"/>
              <w:right w:val="single" w:sz="6" w:space="0" w:color="auto"/>
            </w:tcBorders>
            <w:shd w:val="clear" w:color="auto" w:fill="BFBFBF"/>
            <w:vAlign w:val="center"/>
            <w:hideMark/>
          </w:tcPr>
          <w:p w14:paraId="1BE01E33" w14:textId="3C6172E3"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Unit 1</w:t>
            </w:r>
          </w:p>
        </w:tc>
        <w:tc>
          <w:tcPr>
            <w:tcW w:w="1673" w:type="dxa"/>
            <w:tcBorders>
              <w:top w:val="single" w:sz="6" w:space="0" w:color="auto"/>
              <w:left w:val="nil"/>
              <w:bottom w:val="single" w:sz="6" w:space="0" w:color="auto"/>
              <w:right w:val="single" w:sz="6" w:space="0" w:color="auto"/>
            </w:tcBorders>
            <w:shd w:val="clear" w:color="auto" w:fill="BFBFBF"/>
            <w:vAlign w:val="center"/>
            <w:hideMark/>
          </w:tcPr>
          <w:p w14:paraId="7FF35BF9" w14:textId="71A2CE1E"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Unit 2N</w:t>
            </w:r>
          </w:p>
        </w:tc>
        <w:tc>
          <w:tcPr>
            <w:tcW w:w="1673" w:type="dxa"/>
            <w:tcBorders>
              <w:top w:val="single" w:sz="6" w:space="0" w:color="auto"/>
              <w:left w:val="nil"/>
              <w:bottom w:val="single" w:sz="6" w:space="0" w:color="auto"/>
              <w:right w:val="single" w:sz="6" w:space="0" w:color="auto"/>
            </w:tcBorders>
            <w:shd w:val="clear" w:color="auto" w:fill="BFBFBF"/>
            <w:vAlign w:val="center"/>
            <w:hideMark/>
          </w:tcPr>
          <w:p w14:paraId="361C4A4E" w14:textId="55067DDD"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Unit 2S</w:t>
            </w:r>
          </w:p>
        </w:tc>
      </w:tr>
      <w:tr w:rsidR="00AD2172" w:rsidRPr="008A0812" w14:paraId="6443B91A"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2C744A78" w14:textId="77777777"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Overflow Rate</w:t>
            </w:r>
            <w:r w:rsidRPr="008A0812">
              <w:rPr>
                <w:rFonts w:asciiTheme="majorHAnsi" w:hAnsiTheme="majorHAnsi" w:cs="Arial"/>
              </w:rPr>
              <w:t> </w:t>
            </w:r>
          </w:p>
        </w:tc>
        <w:tc>
          <w:tcPr>
            <w:tcW w:w="1170" w:type="dxa"/>
            <w:tcBorders>
              <w:top w:val="nil"/>
              <w:left w:val="nil"/>
              <w:bottom w:val="single" w:sz="6" w:space="0" w:color="auto"/>
              <w:right w:val="single" w:sz="6" w:space="0" w:color="auto"/>
            </w:tcBorders>
            <w:shd w:val="clear" w:color="auto" w:fill="auto"/>
            <w:vAlign w:val="center"/>
            <w:hideMark/>
          </w:tcPr>
          <w:p w14:paraId="0459AC0C" w14:textId="42E90B25"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i/>
                <w:iCs/>
              </w:rPr>
              <w:t>gpd/sf</w:t>
            </w:r>
          </w:p>
        </w:tc>
        <w:tc>
          <w:tcPr>
            <w:tcW w:w="1673" w:type="dxa"/>
            <w:tcBorders>
              <w:top w:val="nil"/>
              <w:left w:val="nil"/>
              <w:bottom w:val="single" w:sz="6" w:space="0" w:color="auto"/>
              <w:right w:val="single" w:sz="6" w:space="0" w:color="auto"/>
            </w:tcBorders>
            <w:shd w:val="clear" w:color="auto" w:fill="auto"/>
            <w:vAlign w:val="center"/>
            <w:hideMark/>
          </w:tcPr>
          <w:p w14:paraId="7F2A02A6" w14:textId="01814FBA"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599</w:t>
            </w:r>
          </w:p>
        </w:tc>
        <w:tc>
          <w:tcPr>
            <w:tcW w:w="1673" w:type="dxa"/>
            <w:tcBorders>
              <w:top w:val="nil"/>
              <w:left w:val="nil"/>
              <w:bottom w:val="single" w:sz="6" w:space="0" w:color="auto"/>
              <w:right w:val="single" w:sz="6" w:space="0" w:color="auto"/>
            </w:tcBorders>
            <w:shd w:val="clear" w:color="auto" w:fill="auto"/>
            <w:vAlign w:val="center"/>
            <w:hideMark/>
          </w:tcPr>
          <w:p w14:paraId="09B4A6A6" w14:textId="0DCA563A"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449</w:t>
            </w:r>
          </w:p>
        </w:tc>
        <w:tc>
          <w:tcPr>
            <w:tcW w:w="1673" w:type="dxa"/>
            <w:tcBorders>
              <w:top w:val="nil"/>
              <w:left w:val="nil"/>
              <w:bottom w:val="single" w:sz="6" w:space="0" w:color="auto"/>
              <w:right w:val="single" w:sz="6" w:space="0" w:color="auto"/>
            </w:tcBorders>
            <w:shd w:val="clear" w:color="auto" w:fill="auto"/>
            <w:vAlign w:val="center"/>
            <w:hideMark/>
          </w:tcPr>
          <w:p w14:paraId="7269EA05" w14:textId="75177BE8"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420</w:t>
            </w:r>
          </w:p>
        </w:tc>
      </w:tr>
      <w:tr w:rsidR="00AD2172" w:rsidRPr="008A0812" w14:paraId="1608B85B"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1520FAE2" w14:textId="77777777"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COD Removal</w:t>
            </w:r>
            <w:r w:rsidRPr="008A0812">
              <w:rPr>
                <w:rFonts w:asciiTheme="majorHAnsi" w:hAnsiTheme="majorHAnsi" w:cs="Arial"/>
              </w:rPr>
              <w:t> </w:t>
            </w:r>
          </w:p>
        </w:tc>
        <w:tc>
          <w:tcPr>
            <w:tcW w:w="1170" w:type="dxa"/>
            <w:tcBorders>
              <w:top w:val="nil"/>
              <w:left w:val="nil"/>
              <w:bottom w:val="single" w:sz="6" w:space="0" w:color="auto"/>
              <w:right w:val="single" w:sz="6" w:space="0" w:color="auto"/>
            </w:tcBorders>
            <w:shd w:val="clear" w:color="auto" w:fill="auto"/>
            <w:vAlign w:val="center"/>
            <w:hideMark/>
          </w:tcPr>
          <w:p w14:paraId="2D455AD0" w14:textId="015D60B0"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i/>
                <w:iCs/>
              </w:rPr>
              <w:t>%</w:t>
            </w:r>
          </w:p>
        </w:tc>
        <w:tc>
          <w:tcPr>
            <w:tcW w:w="1673" w:type="dxa"/>
            <w:tcBorders>
              <w:top w:val="nil"/>
              <w:left w:val="nil"/>
              <w:bottom w:val="single" w:sz="6" w:space="0" w:color="auto"/>
              <w:right w:val="single" w:sz="6" w:space="0" w:color="auto"/>
            </w:tcBorders>
            <w:shd w:val="clear" w:color="auto" w:fill="auto"/>
            <w:vAlign w:val="center"/>
            <w:hideMark/>
          </w:tcPr>
          <w:p w14:paraId="58B9A591" w14:textId="58DC3D34"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40%</w:t>
            </w:r>
          </w:p>
        </w:tc>
        <w:tc>
          <w:tcPr>
            <w:tcW w:w="1673" w:type="dxa"/>
            <w:tcBorders>
              <w:top w:val="nil"/>
              <w:left w:val="nil"/>
              <w:bottom w:val="single" w:sz="6" w:space="0" w:color="auto"/>
              <w:right w:val="single" w:sz="6" w:space="0" w:color="auto"/>
            </w:tcBorders>
            <w:shd w:val="clear" w:color="auto" w:fill="auto"/>
            <w:vAlign w:val="center"/>
            <w:hideMark/>
          </w:tcPr>
          <w:p w14:paraId="65119ADE" w14:textId="265AB654"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43%</w:t>
            </w:r>
          </w:p>
        </w:tc>
        <w:tc>
          <w:tcPr>
            <w:tcW w:w="1673" w:type="dxa"/>
            <w:tcBorders>
              <w:top w:val="nil"/>
              <w:left w:val="nil"/>
              <w:bottom w:val="single" w:sz="6" w:space="0" w:color="auto"/>
              <w:right w:val="single" w:sz="6" w:space="0" w:color="auto"/>
            </w:tcBorders>
            <w:shd w:val="clear" w:color="auto" w:fill="auto"/>
            <w:vAlign w:val="center"/>
            <w:hideMark/>
          </w:tcPr>
          <w:p w14:paraId="6F6F25C4" w14:textId="20F97C1A"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46%</w:t>
            </w:r>
          </w:p>
        </w:tc>
      </w:tr>
      <w:tr w:rsidR="00AD2172" w:rsidRPr="008A0812" w14:paraId="5DD376A2"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6795411D" w14:textId="77777777"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TSS Removal</w:t>
            </w:r>
            <w:r w:rsidRPr="008A0812">
              <w:rPr>
                <w:rFonts w:asciiTheme="majorHAnsi" w:hAnsiTheme="majorHAnsi" w:cs="Arial"/>
              </w:rPr>
              <w:t> </w:t>
            </w:r>
          </w:p>
        </w:tc>
        <w:tc>
          <w:tcPr>
            <w:tcW w:w="1170" w:type="dxa"/>
            <w:tcBorders>
              <w:top w:val="nil"/>
              <w:left w:val="nil"/>
              <w:bottom w:val="single" w:sz="6" w:space="0" w:color="auto"/>
              <w:right w:val="single" w:sz="6" w:space="0" w:color="auto"/>
            </w:tcBorders>
            <w:shd w:val="clear" w:color="auto" w:fill="auto"/>
            <w:vAlign w:val="center"/>
            <w:hideMark/>
          </w:tcPr>
          <w:p w14:paraId="63EFEF5E" w14:textId="7652F608"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i/>
                <w:iCs/>
              </w:rPr>
              <w:t>%</w:t>
            </w:r>
          </w:p>
        </w:tc>
        <w:tc>
          <w:tcPr>
            <w:tcW w:w="1673" w:type="dxa"/>
            <w:tcBorders>
              <w:top w:val="nil"/>
              <w:left w:val="nil"/>
              <w:bottom w:val="single" w:sz="6" w:space="0" w:color="auto"/>
              <w:right w:val="single" w:sz="6" w:space="0" w:color="auto"/>
            </w:tcBorders>
            <w:shd w:val="clear" w:color="auto" w:fill="auto"/>
            <w:vAlign w:val="center"/>
            <w:hideMark/>
          </w:tcPr>
          <w:p w14:paraId="06BED054" w14:textId="1424DB4C"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61%</w:t>
            </w:r>
          </w:p>
        </w:tc>
        <w:tc>
          <w:tcPr>
            <w:tcW w:w="1673" w:type="dxa"/>
            <w:tcBorders>
              <w:top w:val="nil"/>
              <w:left w:val="nil"/>
              <w:bottom w:val="single" w:sz="6" w:space="0" w:color="auto"/>
              <w:right w:val="single" w:sz="6" w:space="0" w:color="auto"/>
            </w:tcBorders>
            <w:shd w:val="clear" w:color="auto" w:fill="auto"/>
            <w:vAlign w:val="center"/>
            <w:hideMark/>
          </w:tcPr>
          <w:p w14:paraId="614ADE8F" w14:textId="01118465"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63%</w:t>
            </w:r>
          </w:p>
        </w:tc>
        <w:tc>
          <w:tcPr>
            <w:tcW w:w="1673" w:type="dxa"/>
            <w:tcBorders>
              <w:top w:val="nil"/>
              <w:left w:val="nil"/>
              <w:bottom w:val="single" w:sz="6" w:space="0" w:color="auto"/>
              <w:right w:val="single" w:sz="6" w:space="0" w:color="auto"/>
            </w:tcBorders>
            <w:shd w:val="clear" w:color="auto" w:fill="auto"/>
            <w:vAlign w:val="center"/>
            <w:hideMark/>
          </w:tcPr>
          <w:p w14:paraId="10490F0F" w14:textId="2294C2C9"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65%</w:t>
            </w:r>
          </w:p>
        </w:tc>
      </w:tr>
      <w:tr w:rsidR="00AD2172" w:rsidRPr="008A0812" w14:paraId="1F7CEEE9"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147B09EF" w14:textId="64758399"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b/>
                <w:bCs/>
              </w:rPr>
              <w:t>Primary Sludge % Total Solids</w:t>
            </w:r>
            <w:r w:rsidRPr="008A0812">
              <w:rPr>
                <w:rFonts w:asciiTheme="majorHAnsi" w:hAnsiTheme="majorHAnsi" w:cs="Arial"/>
              </w:rPr>
              <w:t> </w:t>
            </w:r>
          </w:p>
        </w:tc>
        <w:tc>
          <w:tcPr>
            <w:tcW w:w="1170" w:type="dxa"/>
            <w:tcBorders>
              <w:top w:val="nil"/>
              <w:left w:val="nil"/>
              <w:bottom w:val="single" w:sz="6" w:space="0" w:color="auto"/>
              <w:right w:val="single" w:sz="6" w:space="0" w:color="auto"/>
            </w:tcBorders>
            <w:shd w:val="clear" w:color="auto" w:fill="auto"/>
            <w:vAlign w:val="center"/>
            <w:hideMark/>
          </w:tcPr>
          <w:p w14:paraId="4F38CA93" w14:textId="67B596A7"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i/>
                <w:iCs/>
              </w:rPr>
              <w:t>%</w:t>
            </w:r>
          </w:p>
        </w:tc>
        <w:tc>
          <w:tcPr>
            <w:tcW w:w="1673" w:type="dxa"/>
            <w:tcBorders>
              <w:top w:val="nil"/>
              <w:left w:val="nil"/>
              <w:bottom w:val="single" w:sz="6" w:space="0" w:color="auto"/>
              <w:right w:val="single" w:sz="6" w:space="0" w:color="auto"/>
            </w:tcBorders>
            <w:shd w:val="clear" w:color="auto" w:fill="auto"/>
            <w:vAlign w:val="center"/>
            <w:hideMark/>
          </w:tcPr>
          <w:p w14:paraId="50C03E72" w14:textId="64FDA4A9"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4.0%</w:t>
            </w:r>
          </w:p>
        </w:tc>
        <w:tc>
          <w:tcPr>
            <w:tcW w:w="1673" w:type="dxa"/>
            <w:tcBorders>
              <w:top w:val="nil"/>
              <w:left w:val="nil"/>
              <w:bottom w:val="single" w:sz="6" w:space="0" w:color="auto"/>
              <w:right w:val="single" w:sz="6" w:space="0" w:color="auto"/>
            </w:tcBorders>
            <w:shd w:val="clear" w:color="auto" w:fill="auto"/>
            <w:vAlign w:val="center"/>
            <w:hideMark/>
          </w:tcPr>
          <w:p w14:paraId="7A287B78" w14:textId="1810BBEF"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4.3%</w:t>
            </w:r>
          </w:p>
        </w:tc>
        <w:tc>
          <w:tcPr>
            <w:tcW w:w="1673" w:type="dxa"/>
            <w:tcBorders>
              <w:top w:val="nil"/>
              <w:left w:val="nil"/>
              <w:bottom w:val="single" w:sz="6" w:space="0" w:color="auto"/>
              <w:right w:val="single" w:sz="6" w:space="0" w:color="auto"/>
            </w:tcBorders>
            <w:shd w:val="clear" w:color="auto" w:fill="auto"/>
            <w:vAlign w:val="center"/>
            <w:hideMark/>
          </w:tcPr>
          <w:p w14:paraId="7E15A58C" w14:textId="40015F3A" w:rsidR="00AD2172" w:rsidRPr="008A0812" w:rsidRDefault="00AD2172" w:rsidP="00AD2172">
            <w:pPr>
              <w:overflowPunct/>
              <w:autoSpaceDE/>
              <w:autoSpaceDN/>
              <w:adjustRightInd/>
              <w:jc w:val="center"/>
              <w:rPr>
                <w:rFonts w:asciiTheme="majorHAnsi" w:hAnsiTheme="majorHAnsi" w:cs="Segoe UI"/>
              </w:rPr>
            </w:pPr>
            <w:r w:rsidRPr="008A0812">
              <w:rPr>
                <w:rFonts w:asciiTheme="majorHAnsi" w:hAnsiTheme="majorHAnsi" w:cs="Arial"/>
              </w:rPr>
              <w:t>4.2%</w:t>
            </w:r>
          </w:p>
        </w:tc>
      </w:tr>
    </w:tbl>
    <w:p w14:paraId="6B44308F" w14:textId="139F5496" w:rsidR="00AD2172" w:rsidRPr="008A0812" w:rsidRDefault="00AD2172" w:rsidP="00AD2172">
      <w:pPr>
        <w:pStyle w:val="Heading2"/>
      </w:pPr>
      <w:bookmarkStart w:id="488" w:name="_Ref20745578"/>
      <w:bookmarkStart w:id="489" w:name="_Toc41680904"/>
      <w:bookmarkStart w:id="490" w:name="_Hlk41482168"/>
      <w:r w:rsidRPr="008A0812">
        <w:t>Secondary Process Overall Performance</w:t>
      </w:r>
      <w:bookmarkEnd w:id="488"/>
      <w:bookmarkEnd w:id="489"/>
    </w:p>
    <w:p w14:paraId="18D0BC28" w14:textId="52DF6F19" w:rsidR="00AD2172" w:rsidRPr="008A0812" w:rsidRDefault="00A75626" w:rsidP="00AD2172">
      <w:pPr>
        <w:pStyle w:val="BodyText"/>
      </w:pPr>
      <w:r w:rsidRPr="008A0812">
        <w:t xml:space="preserve">As discussed in Section </w:t>
      </w:r>
      <w:r w:rsidR="00875D8E" w:rsidRPr="008A0812">
        <w:fldChar w:fldCharType="begin"/>
      </w:r>
      <w:r w:rsidR="00875D8E" w:rsidRPr="008A0812">
        <w:instrText xml:space="preserve"> REF _Ref20239107 \r \h </w:instrText>
      </w:r>
      <w:r w:rsidR="008A0812">
        <w:instrText xml:space="preserve"> \* MERGEFORMAT </w:instrText>
      </w:r>
      <w:r w:rsidR="00875D8E" w:rsidRPr="008A0812">
        <w:fldChar w:fldCharType="separate"/>
      </w:r>
      <w:r w:rsidR="00AA68F8">
        <w:t>7.1.1</w:t>
      </w:r>
      <w:r w:rsidR="00875D8E" w:rsidRPr="008A0812">
        <w:fldChar w:fldCharType="end"/>
      </w:r>
      <w:r w:rsidRPr="008A0812">
        <w:t xml:space="preserve">, the main goals of secondary treatment are to remove BOD and TSS to less than 20 mg/L each on a monthly average basis, and TIN to 10 mg/L on a 12-month average. </w:t>
      </w:r>
      <w:r w:rsidR="00B76FA3" w:rsidRPr="008A0812">
        <w:fldChar w:fldCharType="begin"/>
      </w:r>
      <w:r w:rsidR="00B76FA3" w:rsidRPr="008A0812">
        <w:instrText xml:space="preserve"> REF _Ref36400272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4</w:t>
      </w:r>
      <w:r w:rsidR="00B76FA3" w:rsidRPr="008A0812">
        <w:fldChar w:fldCharType="end"/>
      </w:r>
      <w:r w:rsidRPr="008A0812">
        <w:t xml:space="preserve"> shows on average the plant is below the limit for BOD and TSS, and at the limit for TIN. For </w:t>
      </w:r>
      <w:r w:rsidR="00E47BA7" w:rsidRPr="008A0812">
        <w:t>all</w:t>
      </w:r>
      <w:r w:rsidRPr="008A0812">
        <w:t xml:space="preserve"> these parameters, 95th percentile values are above the limits.</w:t>
      </w:r>
    </w:p>
    <w:p w14:paraId="025539E5" w14:textId="4738DAF4" w:rsidR="00B76FA3" w:rsidRPr="008A0812" w:rsidRDefault="00B76FA3" w:rsidP="00B76FA3">
      <w:pPr>
        <w:pStyle w:val="TableHeading"/>
      </w:pPr>
      <w:bookmarkStart w:id="491" w:name="_Ref36400272"/>
      <w:bookmarkStart w:id="492" w:name="_Toc36414093"/>
      <w:bookmarkStart w:id="493" w:name="_Toc41684781"/>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491"/>
      <w:r w:rsidRPr="008A0812">
        <w:t>: SBWRP Effluent Data</w:t>
      </w:r>
      <w:bookmarkEnd w:id="492"/>
      <w:bookmarkEnd w:id="493"/>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42"/>
        <w:gridCol w:w="1170"/>
        <w:gridCol w:w="2509"/>
        <w:gridCol w:w="2510"/>
      </w:tblGrid>
      <w:tr w:rsidR="00A75626" w:rsidRPr="008A0812" w14:paraId="04F123AA" w14:textId="77777777" w:rsidTr="00624496">
        <w:tc>
          <w:tcPr>
            <w:tcW w:w="314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7AD75704" w14:textId="4FB4CCA7" w:rsidR="00A75626" w:rsidRPr="008A0812" w:rsidRDefault="00A75626" w:rsidP="00A75626">
            <w:pPr>
              <w:overflowPunct/>
              <w:autoSpaceDE/>
              <w:autoSpaceDN/>
              <w:adjustRightInd/>
              <w:jc w:val="center"/>
              <w:rPr>
                <w:rFonts w:asciiTheme="majorHAnsi" w:hAnsiTheme="majorHAnsi" w:cs="Segoe UI"/>
              </w:rPr>
            </w:pPr>
            <w:r w:rsidRPr="008A0812">
              <w:rPr>
                <w:rFonts w:ascii="Arial" w:hAnsi="Arial" w:cs="Arial"/>
              </w:rPr>
              <w:t> </w:t>
            </w:r>
          </w:p>
        </w:tc>
        <w:tc>
          <w:tcPr>
            <w:tcW w:w="1170" w:type="dxa"/>
            <w:tcBorders>
              <w:top w:val="single" w:sz="6" w:space="0" w:color="auto"/>
              <w:left w:val="nil"/>
              <w:bottom w:val="single" w:sz="6" w:space="0" w:color="auto"/>
              <w:right w:val="single" w:sz="6" w:space="0" w:color="auto"/>
            </w:tcBorders>
            <w:shd w:val="clear" w:color="auto" w:fill="BFBFBF"/>
            <w:vAlign w:val="center"/>
            <w:hideMark/>
          </w:tcPr>
          <w:p w14:paraId="32323F5F" w14:textId="490A81DD"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b/>
                <w:bCs/>
              </w:rPr>
              <w:t>Unit</w:t>
            </w:r>
          </w:p>
        </w:tc>
        <w:tc>
          <w:tcPr>
            <w:tcW w:w="2509" w:type="dxa"/>
            <w:tcBorders>
              <w:top w:val="single" w:sz="6" w:space="0" w:color="auto"/>
              <w:left w:val="nil"/>
              <w:bottom w:val="single" w:sz="6" w:space="0" w:color="auto"/>
              <w:right w:val="single" w:sz="6" w:space="0" w:color="auto"/>
            </w:tcBorders>
            <w:shd w:val="clear" w:color="auto" w:fill="BFBFBF"/>
            <w:vAlign w:val="center"/>
            <w:hideMark/>
          </w:tcPr>
          <w:p w14:paraId="4CB5F05C" w14:textId="4E6AE604" w:rsidR="00A75626" w:rsidRPr="008A0812" w:rsidRDefault="00A75626" w:rsidP="00A75626">
            <w:pPr>
              <w:overflowPunct/>
              <w:autoSpaceDE/>
              <w:autoSpaceDN/>
              <w:adjustRightInd/>
              <w:jc w:val="center"/>
              <w:rPr>
                <w:rFonts w:asciiTheme="majorHAnsi" w:hAnsiTheme="majorHAnsi" w:cs="Segoe UI"/>
                <w:b/>
                <w:bCs/>
              </w:rPr>
            </w:pPr>
            <w:r w:rsidRPr="008A0812">
              <w:rPr>
                <w:rFonts w:asciiTheme="majorHAnsi" w:hAnsiTheme="majorHAnsi" w:cs="Arial"/>
                <w:b/>
                <w:bCs/>
              </w:rPr>
              <w:t>Average</w:t>
            </w:r>
          </w:p>
        </w:tc>
        <w:tc>
          <w:tcPr>
            <w:tcW w:w="2510" w:type="dxa"/>
            <w:tcBorders>
              <w:top w:val="single" w:sz="6" w:space="0" w:color="auto"/>
              <w:left w:val="nil"/>
              <w:bottom w:val="single" w:sz="6" w:space="0" w:color="auto"/>
              <w:right w:val="single" w:sz="6" w:space="0" w:color="auto"/>
            </w:tcBorders>
            <w:shd w:val="clear" w:color="auto" w:fill="BFBFBF"/>
            <w:vAlign w:val="center"/>
            <w:hideMark/>
          </w:tcPr>
          <w:p w14:paraId="7AD2D2E2" w14:textId="1C25BFAC" w:rsidR="00A75626" w:rsidRPr="008A0812" w:rsidRDefault="00A75626" w:rsidP="00A75626">
            <w:pPr>
              <w:overflowPunct/>
              <w:autoSpaceDE/>
              <w:autoSpaceDN/>
              <w:adjustRightInd/>
              <w:jc w:val="center"/>
              <w:rPr>
                <w:rFonts w:asciiTheme="majorHAnsi" w:hAnsiTheme="majorHAnsi" w:cs="Segoe UI"/>
                <w:b/>
                <w:bCs/>
              </w:rPr>
            </w:pPr>
            <w:r w:rsidRPr="008A0812">
              <w:rPr>
                <w:rFonts w:asciiTheme="majorHAnsi" w:hAnsiTheme="majorHAnsi" w:cs="Arial"/>
                <w:b/>
                <w:bCs/>
              </w:rPr>
              <w:t>95 Percentile</w:t>
            </w:r>
          </w:p>
        </w:tc>
      </w:tr>
      <w:tr w:rsidR="00A75626" w:rsidRPr="008A0812" w14:paraId="3B183063"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31F1D21A" w14:textId="661C1396"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b/>
                <w:bCs/>
              </w:rPr>
              <w:t>Effluent BOD</w:t>
            </w:r>
          </w:p>
        </w:tc>
        <w:tc>
          <w:tcPr>
            <w:tcW w:w="1170" w:type="dxa"/>
            <w:tcBorders>
              <w:top w:val="nil"/>
              <w:left w:val="nil"/>
              <w:bottom w:val="single" w:sz="6" w:space="0" w:color="auto"/>
              <w:right w:val="single" w:sz="6" w:space="0" w:color="auto"/>
            </w:tcBorders>
            <w:shd w:val="clear" w:color="auto" w:fill="auto"/>
            <w:vAlign w:val="center"/>
            <w:hideMark/>
          </w:tcPr>
          <w:p w14:paraId="251602C4" w14:textId="3324CF81"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2509" w:type="dxa"/>
            <w:tcBorders>
              <w:top w:val="nil"/>
              <w:left w:val="nil"/>
              <w:bottom w:val="single" w:sz="6" w:space="0" w:color="auto"/>
              <w:right w:val="single" w:sz="6" w:space="0" w:color="auto"/>
            </w:tcBorders>
            <w:shd w:val="clear" w:color="auto" w:fill="auto"/>
            <w:vAlign w:val="center"/>
            <w:hideMark/>
          </w:tcPr>
          <w:p w14:paraId="5874F271" w14:textId="76071525"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rPr>
              <w:t>13.3</w:t>
            </w:r>
          </w:p>
        </w:tc>
        <w:tc>
          <w:tcPr>
            <w:tcW w:w="2510" w:type="dxa"/>
            <w:tcBorders>
              <w:top w:val="nil"/>
              <w:left w:val="nil"/>
              <w:bottom w:val="single" w:sz="6" w:space="0" w:color="auto"/>
              <w:right w:val="single" w:sz="6" w:space="0" w:color="auto"/>
            </w:tcBorders>
            <w:shd w:val="clear" w:color="auto" w:fill="auto"/>
            <w:vAlign w:val="center"/>
            <w:hideMark/>
          </w:tcPr>
          <w:p w14:paraId="1985BFB5" w14:textId="6F36E49A"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rPr>
              <w:t>28.3</w:t>
            </w:r>
          </w:p>
        </w:tc>
      </w:tr>
      <w:tr w:rsidR="0083595C" w:rsidRPr="008A0812" w14:paraId="228B1AED"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2A051132" w14:textId="5E283C87" w:rsidR="0083595C" w:rsidRPr="008A0812" w:rsidRDefault="0083595C" w:rsidP="0083595C">
            <w:pPr>
              <w:overflowPunct/>
              <w:autoSpaceDE/>
              <w:autoSpaceDN/>
              <w:adjustRightInd/>
              <w:jc w:val="center"/>
              <w:rPr>
                <w:rFonts w:asciiTheme="majorHAnsi" w:hAnsiTheme="majorHAnsi" w:cs="Segoe UI"/>
              </w:rPr>
            </w:pPr>
            <w:r w:rsidRPr="008A0812">
              <w:rPr>
                <w:rFonts w:asciiTheme="majorHAnsi" w:hAnsiTheme="majorHAnsi" w:cs="Arial"/>
                <w:b/>
                <w:bCs/>
              </w:rPr>
              <w:t>Effluent TSS</w:t>
            </w:r>
          </w:p>
        </w:tc>
        <w:tc>
          <w:tcPr>
            <w:tcW w:w="1170" w:type="dxa"/>
            <w:tcBorders>
              <w:top w:val="nil"/>
              <w:left w:val="nil"/>
              <w:bottom w:val="single" w:sz="6" w:space="0" w:color="auto"/>
              <w:right w:val="single" w:sz="6" w:space="0" w:color="auto"/>
            </w:tcBorders>
            <w:shd w:val="clear" w:color="auto" w:fill="auto"/>
            <w:vAlign w:val="center"/>
            <w:hideMark/>
          </w:tcPr>
          <w:p w14:paraId="1F716CBB" w14:textId="26396800" w:rsidR="0083595C" w:rsidRPr="008A0812" w:rsidRDefault="0083595C" w:rsidP="0083595C">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2509" w:type="dxa"/>
            <w:tcBorders>
              <w:top w:val="nil"/>
              <w:left w:val="nil"/>
              <w:bottom w:val="single" w:sz="6" w:space="0" w:color="auto"/>
              <w:right w:val="single" w:sz="6" w:space="0" w:color="auto"/>
            </w:tcBorders>
            <w:shd w:val="clear" w:color="auto" w:fill="auto"/>
            <w:vAlign w:val="center"/>
            <w:hideMark/>
          </w:tcPr>
          <w:p w14:paraId="5D64F2EF" w14:textId="340F58C1" w:rsidR="0083595C" w:rsidRPr="008A0812" w:rsidRDefault="0083595C" w:rsidP="0083595C">
            <w:pPr>
              <w:overflowPunct/>
              <w:autoSpaceDE/>
              <w:autoSpaceDN/>
              <w:adjustRightInd/>
              <w:jc w:val="center"/>
              <w:rPr>
                <w:rFonts w:asciiTheme="majorHAnsi" w:hAnsiTheme="majorHAnsi" w:cs="Segoe UI"/>
              </w:rPr>
            </w:pPr>
            <w:r w:rsidRPr="008A0812">
              <w:rPr>
                <w:rFonts w:asciiTheme="majorHAnsi" w:hAnsiTheme="majorHAnsi" w:cs="Arial"/>
              </w:rPr>
              <w:t>10.5</w:t>
            </w:r>
          </w:p>
        </w:tc>
        <w:tc>
          <w:tcPr>
            <w:tcW w:w="2510" w:type="dxa"/>
            <w:tcBorders>
              <w:top w:val="nil"/>
              <w:left w:val="nil"/>
              <w:bottom w:val="single" w:sz="6" w:space="0" w:color="auto"/>
              <w:right w:val="single" w:sz="6" w:space="0" w:color="auto"/>
            </w:tcBorders>
            <w:shd w:val="clear" w:color="auto" w:fill="auto"/>
            <w:vAlign w:val="center"/>
            <w:hideMark/>
          </w:tcPr>
          <w:p w14:paraId="04C8B317" w14:textId="6DC0D0E0" w:rsidR="0083595C" w:rsidRPr="008A0812" w:rsidRDefault="0083595C" w:rsidP="0083595C">
            <w:pPr>
              <w:overflowPunct/>
              <w:autoSpaceDE/>
              <w:autoSpaceDN/>
              <w:adjustRightInd/>
              <w:jc w:val="center"/>
              <w:rPr>
                <w:rFonts w:asciiTheme="majorHAnsi" w:hAnsiTheme="majorHAnsi" w:cs="Segoe UI"/>
              </w:rPr>
            </w:pPr>
            <w:r w:rsidRPr="008A0812">
              <w:rPr>
                <w:rFonts w:asciiTheme="majorHAnsi" w:hAnsiTheme="majorHAnsi" w:cs="Arial"/>
              </w:rPr>
              <w:t>22.1</w:t>
            </w:r>
          </w:p>
        </w:tc>
      </w:tr>
      <w:tr w:rsidR="00A75626" w:rsidRPr="008A0812" w14:paraId="036E6B90" w14:textId="77777777" w:rsidTr="00624496">
        <w:trPr>
          <w:trHeight w:val="285"/>
        </w:trPr>
        <w:tc>
          <w:tcPr>
            <w:tcW w:w="3142" w:type="dxa"/>
            <w:tcBorders>
              <w:top w:val="nil"/>
              <w:left w:val="single" w:sz="6" w:space="0" w:color="auto"/>
              <w:bottom w:val="single" w:sz="6" w:space="0" w:color="auto"/>
              <w:right w:val="single" w:sz="6" w:space="0" w:color="auto"/>
            </w:tcBorders>
            <w:shd w:val="clear" w:color="auto" w:fill="auto"/>
            <w:vAlign w:val="center"/>
            <w:hideMark/>
          </w:tcPr>
          <w:p w14:paraId="4D94B7F6" w14:textId="48A6FB7B"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b/>
                <w:bCs/>
              </w:rPr>
              <w:t>Effluent TIN</w:t>
            </w:r>
          </w:p>
        </w:tc>
        <w:tc>
          <w:tcPr>
            <w:tcW w:w="1170" w:type="dxa"/>
            <w:tcBorders>
              <w:top w:val="nil"/>
              <w:left w:val="nil"/>
              <w:bottom w:val="single" w:sz="6" w:space="0" w:color="auto"/>
              <w:right w:val="single" w:sz="6" w:space="0" w:color="auto"/>
            </w:tcBorders>
            <w:shd w:val="clear" w:color="auto" w:fill="auto"/>
            <w:vAlign w:val="center"/>
            <w:hideMark/>
          </w:tcPr>
          <w:p w14:paraId="5D62253E" w14:textId="03577D34"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2509" w:type="dxa"/>
            <w:tcBorders>
              <w:top w:val="nil"/>
              <w:left w:val="nil"/>
              <w:bottom w:val="single" w:sz="6" w:space="0" w:color="auto"/>
              <w:right w:val="single" w:sz="6" w:space="0" w:color="auto"/>
            </w:tcBorders>
            <w:shd w:val="clear" w:color="auto" w:fill="auto"/>
            <w:vAlign w:val="center"/>
            <w:hideMark/>
          </w:tcPr>
          <w:p w14:paraId="193BA34D" w14:textId="42218CDD"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rPr>
              <w:t>9.4</w:t>
            </w:r>
          </w:p>
        </w:tc>
        <w:tc>
          <w:tcPr>
            <w:tcW w:w="2510" w:type="dxa"/>
            <w:tcBorders>
              <w:top w:val="nil"/>
              <w:left w:val="nil"/>
              <w:bottom w:val="single" w:sz="6" w:space="0" w:color="auto"/>
              <w:right w:val="single" w:sz="6" w:space="0" w:color="auto"/>
            </w:tcBorders>
            <w:shd w:val="clear" w:color="auto" w:fill="auto"/>
            <w:vAlign w:val="center"/>
            <w:hideMark/>
          </w:tcPr>
          <w:p w14:paraId="1FF48A68" w14:textId="42A1D8DF" w:rsidR="00A75626" w:rsidRPr="008A0812" w:rsidRDefault="00A75626" w:rsidP="00A75626">
            <w:pPr>
              <w:overflowPunct/>
              <w:autoSpaceDE/>
              <w:autoSpaceDN/>
              <w:adjustRightInd/>
              <w:jc w:val="center"/>
              <w:rPr>
                <w:rFonts w:asciiTheme="majorHAnsi" w:hAnsiTheme="majorHAnsi" w:cs="Segoe UI"/>
              </w:rPr>
            </w:pPr>
            <w:r w:rsidRPr="008A0812">
              <w:rPr>
                <w:rFonts w:asciiTheme="majorHAnsi" w:hAnsiTheme="majorHAnsi" w:cs="Arial"/>
              </w:rPr>
              <w:t>16.4</w:t>
            </w:r>
          </w:p>
        </w:tc>
      </w:tr>
    </w:tbl>
    <w:p w14:paraId="14CBCC35" w14:textId="62BCFBC5" w:rsidR="0083595C" w:rsidRPr="008A0812" w:rsidRDefault="0083595C" w:rsidP="0083595C">
      <w:pPr>
        <w:pStyle w:val="BodyText"/>
        <w:spacing w:after="0"/>
        <w:ind w:left="720"/>
        <w:rPr>
          <w:rFonts w:cs="Segoe UI"/>
          <w:sz w:val="18"/>
          <w:szCs w:val="18"/>
        </w:rPr>
      </w:pPr>
      <w:bookmarkStart w:id="494" w:name="_Ref23752245"/>
      <w:r w:rsidRPr="008A0812">
        <w:rPr>
          <w:rFonts w:cs="Segoe UI"/>
          <w:sz w:val="18"/>
          <w:szCs w:val="18"/>
        </w:rPr>
        <w:t xml:space="preserve">Notes: </w:t>
      </w:r>
    </w:p>
    <w:p w14:paraId="07138E2F" w14:textId="4A991E1E" w:rsidR="0083595C" w:rsidRPr="008A0812" w:rsidRDefault="007318CC" w:rsidP="0083595C">
      <w:pPr>
        <w:pStyle w:val="BodyText"/>
        <w:numPr>
          <w:ilvl w:val="0"/>
          <w:numId w:val="56"/>
        </w:numPr>
        <w:spacing w:after="0"/>
        <w:rPr>
          <w:rFonts w:cs="Segoe UI"/>
          <w:sz w:val="18"/>
          <w:szCs w:val="18"/>
        </w:rPr>
      </w:pPr>
      <w:r w:rsidRPr="008A0812">
        <w:rPr>
          <w:rFonts w:cs="Segoe UI"/>
          <w:sz w:val="18"/>
          <w:szCs w:val="18"/>
        </w:rPr>
        <w:t>Effluent Data is sourced from the SBWRP lab spanning April 2012 to August 2018. Non-detect values are not included the value</w:t>
      </w:r>
      <w:r w:rsidR="00D15A6D">
        <w:rPr>
          <w:rFonts w:cs="Segoe UI"/>
          <w:sz w:val="18"/>
          <w:szCs w:val="18"/>
        </w:rPr>
        <w:t>s</w:t>
      </w:r>
      <w:r w:rsidRPr="008A0812">
        <w:rPr>
          <w:rFonts w:cs="Segoe UI"/>
          <w:sz w:val="18"/>
          <w:szCs w:val="18"/>
        </w:rPr>
        <w:t xml:space="preserve"> presented above.</w:t>
      </w:r>
    </w:p>
    <w:p w14:paraId="58445481" w14:textId="737C9F84" w:rsidR="00A75626" w:rsidRPr="008A0812" w:rsidRDefault="00624496" w:rsidP="00624496">
      <w:pPr>
        <w:pStyle w:val="Heading2"/>
      </w:pPr>
      <w:bookmarkStart w:id="495" w:name="_Ref40435996"/>
      <w:bookmarkStart w:id="496" w:name="_Toc41680905"/>
      <w:r w:rsidRPr="008A0812">
        <w:t>Secondary Process Nitrogen Removal Performance</w:t>
      </w:r>
      <w:bookmarkEnd w:id="494"/>
      <w:bookmarkEnd w:id="495"/>
      <w:bookmarkEnd w:id="496"/>
    </w:p>
    <w:p w14:paraId="4B058DBB" w14:textId="26E4D03B" w:rsidR="00624496" w:rsidRPr="008A0812" w:rsidRDefault="00743EF1" w:rsidP="00624496">
      <w:pPr>
        <w:pStyle w:val="BodyText"/>
      </w:pPr>
      <w:r w:rsidRPr="008A0812">
        <w:t>F</w:t>
      </w:r>
      <w:r w:rsidR="00624496" w:rsidRPr="008A0812">
        <w:t xml:space="preserve">or plants designed to remove nitrogen, </w:t>
      </w:r>
      <w:r w:rsidR="00DC031F" w:rsidRPr="008A0812">
        <w:t xml:space="preserve">solids </w:t>
      </w:r>
      <w:r w:rsidR="00624496" w:rsidRPr="008A0812">
        <w:t xml:space="preserve">residence times are usually long enough that BOD removal is easily achieved. Nitrogen removal </w:t>
      </w:r>
      <w:r w:rsidR="00762E31" w:rsidRPr="008A0812">
        <w:t xml:space="preserve">requires a longer SRT </w:t>
      </w:r>
      <w:r w:rsidR="009F600A" w:rsidRPr="008A0812">
        <w:t xml:space="preserve">and </w:t>
      </w:r>
      <w:r w:rsidR="00624496" w:rsidRPr="008A0812">
        <w:t xml:space="preserve">is </w:t>
      </w:r>
      <w:r w:rsidR="009F600A" w:rsidRPr="008A0812">
        <w:t xml:space="preserve">therefore </w:t>
      </w:r>
      <w:r w:rsidR="00624496" w:rsidRPr="008A0812">
        <w:t xml:space="preserve">the limiting process. It is accomplished by first converting ammonia to nitrate in the aerated zones (nitrification), then using the energy available in a carbon source such as the influent BOD to convert the nitrate to nitrogen gas (denitrification). This section explores nitrogen removal performance of the four treatment units in more detail. </w:t>
      </w:r>
    </w:p>
    <w:p w14:paraId="409D328E" w14:textId="2C688BC1" w:rsidR="00624496" w:rsidRPr="008A0812" w:rsidRDefault="00624496" w:rsidP="00624496">
      <w:pPr>
        <w:pStyle w:val="BodyText"/>
      </w:pPr>
      <w:r w:rsidRPr="008A0812">
        <w:t xml:space="preserve">Average TIN removal performance for each of the four treatment units is shown in </w:t>
      </w:r>
      <w:r w:rsidR="00B76FA3" w:rsidRPr="008A0812">
        <w:fldChar w:fldCharType="begin"/>
      </w:r>
      <w:r w:rsidR="00B76FA3" w:rsidRPr="008A0812">
        <w:instrText xml:space="preserve"> REF _Ref36400313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5</w:t>
      </w:r>
      <w:r w:rsidR="00B76FA3" w:rsidRPr="008A0812">
        <w:fldChar w:fldCharType="end"/>
      </w:r>
      <w:r w:rsidRPr="008A0812">
        <w:t xml:space="preserve">. Only Unit 1 appears to be meeting its average effluent TIN goal of 10 mg/L. Most of the effluent TIN at Unit 2 appears to be nitrate, which suggests that while Unit 2N and 2S are both </w:t>
      </w:r>
      <w:r w:rsidR="000636E8" w:rsidRPr="008A0812">
        <w:t xml:space="preserve">achieving </w:t>
      </w:r>
      <w:r w:rsidR="00FC3D5E" w:rsidRPr="008A0812">
        <w:t>consistent</w:t>
      </w:r>
      <w:r w:rsidRPr="008A0812">
        <w:t xml:space="preserve"> nitrification, denitrification</w:t>
      </w:r>
      <w:r w:rsidR="006F0E23" w:rsidRPr="008A0812">
        <w:t xml:space="preserve"> is </w:t>
      </w:r>
      <w:r w:rsidR="00880716" w:rsidRPr="008A0812">
        <w:t>limited</w:t>
      </w:r>
      <w:r w:rsidRPr="008A0812">
        <w:t>. This is likely due to the lack of internal nitrogen recycle in these units. The last halves of Unit 2N and 2S consist of aerobic bays, which is likely where most of the nitrification takes place. For the nitrate produced in these bays, only the fraction that is returned in the RAS can be denitrified.</w:t>
      </w:r>
      <w:r w:rsidR="000D2D44" w:rsidRPr="008A0812">
        <w:t xml:space="preserve"> </w:t>
      </w:r>
    </w:p>
    <w:p w14:paraId="1E0A4E6B" w14:textId="75CF83A5" w:rsidR="00624496" w:rsidRPr="008A0812" w:rsidRDefault="00624496" w:rsidP="00624496">
      <w:pPr>
        <w:pStyle w:val="BodyText"/>
      </w:pPr>
      <w:r w:rsidRPr="008A0812">
        <w:t>By contrast, Unit 1 does have mixed liquor recycle. This allows more nitrate to be returned to the anoxic zones, and as a result Unit 1 effluent nitrate concentration is half of what is observed at Unit 2, resulting in a lower effluent TIN.</w:t>
      </w:r>
      <w:r w:rsidR="000D2D44" w:rsidRPr="008A0812">
        <w:t xml:space="preserve"> </w:t>
      </w:r>
    </w:p>
    <w:p w14:paraId="0A05E2C7" w14:textId="4AE2E0CC" w:rsidR="00524B10" w:rsidRPr="008A0812" w:rsidRDefault="00624496" w:rsidP="00524B10">
      <w:pPr>
        <w:pStyle w:val="BodyText"/>
      </w:pPr>
      <w:r w:rsidRPr="008A0812">
        <w:t>Unit 1 shows signs of incomplete nitrification</w:t>
      </w:r>
      <w:r w:rsidR="00F07876" w:rsidRPr="008A0812">
        <w:t>,</w:t>
      </w:r>
      <w:r w:rsidRPr="008A0812">
        <w:t xml:space="preserve"> as indicated by its higher effluent ammonia and nitr</w:t>
      </w:r>
      <w:r w:rsidR="003B7B20" w:rsidRPr="008A0812">
        <w:t>i</w:t>
      </w:r>
      <w:r w:rsidRPr="008A0812">
        <w:t>te concentrations. Common causes of incomplete nitrification include insufficient solids residence time and insufficient dissolved oxygen. Nitrifying bacteria are relatively slow to grow</w:t>
      </w:r>
      <w:r w:rsidR="004E6101" w:rsidRPr="008A0812">
        <w:t>. S</w:t>
      </w:r>
      <w:r w:rsidRPr="008A0812">
        <w:t xml:space="preserve">table nitrification requires a minimum SRT to insure a sufficient population. Metcalf and Eddy (2014, p.719) cites a </w:t>
      </w:r>
      <w:r w:rsidR="00880532" w:rsidRPr="008A0812">
        <w:t>wide range of</w:t>
      </w:r>
      <w:r w:rsidR="00B31593" w:rsidRPr="008A0812">
        <w:t xml:space="preserve"> </w:t>
      </w:r>
      <w:r w:rsidRPr="008A0812">
        <w:t>3 to 18 days of SRT as being required for complete nitrification</w:t>
      </w:r>
      <w:r w:rsidR="001E501A" w:rsidRPr="008A0812">
        <w:t>.</w:t>
      </w:r>
      <w:r w:rsidR="00524B10" w:rsidRPr="008A0812">
        <w:t xml:space="preserve"> </w:t>
      </w:r>
      <w:r w:rsidRPr="008A0812">
        <w:t xml:space="preserve">The longer times are required at cooler wastewater temperatures. Given the relatively warm influent temperatures at SBWRP, the </w:t>
      </w:r>
      <w:r w:rsidR="00524B10" w:rsidRPr="008A0812">
        <w:t xml:space="preserve">retention </w:t>
      </w:r>
      <w:r w:rsidRPr="008A0812">
        <w:t xml:space="preserve">times shown in </w:t>
      </w:r>
      <w:r w:rsidR="00B76FA3" w:rsidRPr="008A0812">
        <w:fldChar w:fldCharType="begin"/>
      </w:r>
      <w:r w:rsidR="00B76FA3" w:rsidRPr="008A0812">
        <w:instrText xml:space="preserve"> REF _Ref36400313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5</w:t>
      </w:r>
      <w:r w:rsidR="00B76FA3" w:rsidRPr="008A0812">
        <w:fldChar w:fldCharType="end"/>
      </w:r>
      <w:r w:rsidRPr="008A0812">
        <w:t xml:space="preserve"> should be sufficient and do not alone explain partial nitrification.</w:t>
      </w:r>
    </w:p>
    <w:p w14:paraId="7EF05640" w14:textId="747D67D9" w:rsidR="00F07876" w:rsidRPr="008A0812" w:rsidRDefault="00524B10" w:rsidP="00524B10">
      <w:pPr>
        <w:pStyle w:val="BodyText"/>
      </w:pPr>
      <w:r w:rsidRPr="008A0812">
        <w:t xml:space="preserve">Nitrifying bacteria </w:t>
      </w:r>
      <w:r w:rsidR="00624496" w:rsidRPr="008A0812">
        <w:t xml:space="preserve">grow best within a DO range of 1.5 to 2.0 mg/L (Metcalf and Eddy, 2014, p.729). While plant data shows that DO concentrations in the aerobic bays of Unit 1 are on average greater than 2.0, the levels are inconsistent. During a site visit on </w:t>
      </w:r>
      <w:r w:rsidR="00F07876" w:rsidRPr="008A0812">
        <w:t xml:space="preserve">August 12, </w:t>
      </w:r>
      <w:r w:rsidR="00624496" w:rsidRPr="008A0812">
        <w:t>2019</w:t>
      </w:r>
      <w:r w:rsidR="00F07876" w:rsidRPr="008A0812">
        <w:t>,</w:t>
      </w:r>
      <w:r w:rsidR="00624496" w:rsidRPr="008A0812">
        <w:t xml:space="preserve"> DO levels in bays 1 through 8 were observed to all be less </w:t>
      </w:r>
      <w:r w:rsidR="00880532" w:rsidRPr="008A0812">
        <w:t xml:space="preserve">than </w:t>
      </w:r>
      <w:r w:rsidR="00624496" w:rsidRPr="008A0812">
        <w:t>0.7 mg/L. The blower project currently under design is intended to improve oxygen delivery and control to Units 1 and 2 and should help promote complete nitrification.</w:t>
      </w:r>
    </w:p>
    <w:p w14:paraId="11A1F312" w14:textId="72F752B5" w:rsidR="00B76FA3" w:rsidRPr="008A0812" w:rsidRDefault="00B76FA3" w:rsidP="00B76FA3">
      <w:pPr>
        <w:pStyle w:val="TableHeading"/>
      </w:pPr>
      <w:bookmarkStart w:id="497" w:name="_Ref36400313"/>
      <w:bookmarkStart w:id="498" w:name="_Toc36414094"/>
      <w:bookmarkStart w:id="499" w:name="_Toc41684782"/>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497"/>
      <w:r w:rsidRPr="008A0812">
        <w:t>: Average Secondary Treatment Nitrogen Removal Performance</w:t>
      </w:r>
      <w:bookmarkEnd w:id="498"/>
      <w:bookmarkEnd w:id="499"/>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18"/>
        <w:gridCol w:w="901"/>
        <w:gridCol w:w="1503"/>
        <w:gridCol w:w="1503"/>
        <w:gridCol w:w="1503"/>
        <w:gridCol w:w="1503"/>
      </w:tblGrid>
      <w:tr w:rsidR="00624496" w:rsidRPr="008A0812" w14:paraId="56ADFA16" w14:textId="77777777" w:rsidTr="00624496">
        <w:tc>
          <w:tcPr>
            <w:tcW w:w="2418"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6B47189A" w14:textId="6BDB07F7" w:rsidR="00624496" w:rsidRPr="008A0812" w:rsidRDefault="00624496" w:rsidP="00624496">
            <w:pPr>
              <w:overflowPunct/>
              <w:autoSpaceDE/>
              <w:autoSpaceDN/>
              <w:adjustRightInd/>
              <w:jc w:val="center"/>
              <w:rPr>
                <w:rFonts w:asciiTheme="majorHAnsi" w:hAnsiTheme="majorHAnsi" w:cs="Segoe UI"/>
              </w:rPr>
            </w:pPr>
            <w:r w:rsidRPr="008A0812">
              <w:rPr>
                <w:rFonts w:ascii="Arial" w:hAnsi="Arial" w:cs="Arial"/>
              </w:rPr>
              <w:t> </w:t>
            </w:r>
          </w:p>
        </w:tc>
        <w:tc>
          <w:tcPr>
            <w:tcW w:w="901" w:type="dxa"/>
            <w:tcBorders>
              <w:top w:val="single" w:sz="6" w:space="0" w:color="auto"/>
              <w:left w:val="nil"/>
              <w:bottom w:val="single" w:sz="6" w:space="0" w:color="auto"/>
              <w:right w:val="single" w:sz="6" w:space="0" w:color="auto"/>
            </w:tcBorders>
            <w:shd w:val="clear" w:color="auto" w:fill="BFBFBF"/>
            <w:vAlign w:val="center"/>
            <w:hideMark/>
          </w:tcPr>
          <w:p w14:paraId="2187AA35" w14:textId="04A00EE3" w:rsidR="00624496" w:rsidRPr="008A0812" w:rsidRDefault="00624496" w:rsidP="00624496">
            <w:pPr>
              <w:overflowPunct/>
              <w:autoSpaceDE/>
              <w:autoSpaceDN/>
              <w:adjustRightInd/>
              <w:jc w:val="center"/>
              <w:rPr>
                <w:rFonts w:asciiTheme="majorHAnsi" w:hAnsiTheme="majorHAnsi" w:cs="Segoe UI"/>
              </w:rPr>
            </w:pPr>
            <w:r w:rsidRPr="008A0812">
              <w:rPr>
                <w:rFonts w:asciiTheme="majorHAnsi" w:hAnsiTheme="majorHAnsi" w:cs="Segoe UI"/>
                <w:b/>
                <w:bCs/>
              </w:rPr>
              <w:t>Units</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6C997A35" w14:textId="43D5A965" w:rsidR="00624496" w:rsidRPr="008A0812" w:rsidRDefault="00624496" w:rsidP="00624496">
            <w:pPr>
              <w:overflowPunct/>
              <w:autoSpaceDE/>
              <w:autoSpaceDN/>
              <w:adjustRightInd/>
              <w:jc w:val="center"/>
              <w:rPr>
                <w:rFonts w:asciiTheme="majorHAnsi" w:hAnsiTheme="majorHAnsi" w:cs="Segoe UI"/>
              </w:rPr>
            </w:pPr>
            <w:r w:rsidRPr="008A0812">
              <w:rPr>
                <w:rFonts w:asciiTheme="majorHAnsi" w:hAnsiTheme="majorHAnsi" w:cs="Arial"/>
                <w:b/>
                <w:bCs/>
              </w:rPr>
              <w:t>Unit 1</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56F243FB" w14:textId="66F9DFC6" w:rsidR="00624496" w:rsidRPr="008A0812" w:rsidRDefault="00624496" w:rsidP="00624496">
            <w:pPr>
              <w:overflowPunct/>
              <w:autoSpaceDE/>
              <w:autoSpaceDN/>
              <w:adjustRightInd/>
              <w:jc w:val="center"/>
              <w:rPr>
                <w:rFonts w:asciiTheme="majorHAnsi" w:hAnsiTheme="majorHAnsi" w:cs="Segoe UI"/>
              </w:rPr>
            </w:pPr>
            <w:r w:rsidRPr="008A0812">
              <w:rPr>
                <w:rFonts w:asciiTheme="majorHAnsi" w:hAnsiTheme="majorHAnsi" w:cs="Arial"/>
                <w:b/>
                <w:bCs/>
              </w:rPr>
              <w:t>Unit 2N</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2726D06C" w14:textId="0F47438B" w:rsidR="00624496" w:rsidRPr="008A0812" w:rsidRDefault="00624496" w:rsidP="00624496">
            <w:pPr>
              <w:overflowPunct/>
              <w:autoSpaceDE/>
              <w:autoSpaceDN/>
              <w:adjustRightInd/>
              <w:jc w:val="center"/>
              <w:rPr>
                <w:rFonts w:asciiTheme="majorHAnsi" w:hAnsiTheme="majorHAnsi" w:cs="Segoe UI"/>
              </w:rPr>
            </w:pPr>
            <w:r w:rsidRPr="008A0812">
              <w:rPr>
                <w:rFonts w:asciiTheme="majorHAnsi" w:hAnsiTheme="majorHAnsi" w:cs="Arial"/>
                <w:b/>
                <w:bCs/>
              </w:rPr>
              <w:t>Unit 2S</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171689B7" w14:textId="5A68059E" w:rsidR="00624496" w:rsidRPr="008A0812" w:rsidRDefault="00624496" w:rsidP="00624496">
            <w:pPr>
              <w:overflowPunct/>
              <w:autoSpaceDE/>
              <w:autoSpaceDN/>
              <w:adjustRightInd/>
              <w:jc w:val="center"/>
              <w:rPr>
                <w:rFonts w:asciiTheme="majorHAnsi" w:hAnsiTheme="majorHAnsi" w:cs="Segoe UI"/>
              </w:rPr>
            </w:pPr>
            <w:r w:rsidRPr="008A0812">
              <w:rPr>
                <w:rFonts w:asciiTheme="majorHAnsi" w:hAnsiTheme="majorHAnsi" w:cs="Arial"/>
                <w:b/>
                <w:bCs/>
              </w:rPr>
              <w:t>NRC</w:t>
            </w:r>
          </w:p>
        </w:tc>
      </w:tr>
      <w:tr w:rsidR="00876008" w:rsidRPr="008A0812" w14:paraId="0D40E431"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6B5FF834" w14:textId="03122484"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Aerobic SRT </w:t>
            </w:r>
            <w:r w:rsidRPr="008A0812">
              <w:rPr>
                <w:rFonts w:asciiTheme="majorHAnsi" w:hAnsiTheme="majorHAnsi" w:cs="Arial"/>
                <w:b/>
                <w:bCs/>
                <w:vertAlign w:val="superscript"/>
              </w:rPr>
              <w:t>1</w:t>
            </w:r>
          </w:p>
        </w:tc>
        <w:tc>
          <w:tcPr>
            <w:tcW w:w="901" w:type="dxa"/>
            <w:tcBorders>
              <w:top w:val="nil"/>
              <w:left w:val="nil"/>
              <w:bottom w:val="single" w:sz="6" w:space="0" w:color="auto"/>
              <w:right w:val="single" w:sz="6" w:space="0" w:color="auto"/>
            </w:tcBorders>
            <w:shd w:val="clear" w:color="auto" w:fill="auto"/>
            <w:vAlign w:val="center"/>
            <w:hideMark/>
          </w:tcPr>
          <w:p w14:paraId="5BC1D767" w14:textId="4BAC341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days</w:t>
            </w:r>
          </w:p>
        </w:tc>
        <w:tc>
          <w:tcPr>
            <w:tcW w:w="1503" w:type="dxa"/>
            <w:tcBorders>
              <w:top w:val="nil"/>
              <w:left w:val="nil"/>
              <w:bottom w:val="single" w:sz="6" w:space="0" w:color="auto"/>
              <w:right w:val="single" w:sz="6" w:space="0" w:color="auto"/>
            </w:tcBorders>
            <w:shd w:val="clear" w:color="auto" w:fill="auto"/>
            <w:vAlign w:val="center"/>
            <w:hideMark/>
          </w:tcPr>
          <w:p w14:paraId="367175A4" w14:textId="152DE16A"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6.3</w:t>
            </w:r>
          </w:p>
        </w:tc>
        <w:tc>
          <w:tcPr>
            <w:tcW w:w="1503" w:type="dxa"/>
            <w:tcBorders>
              <w:top w:val="nil"/>
              <w:left w:val="nil"/>
              <w:bottom w:val="single" w:sz="6" w:space="0" w:color="auto"/>
              <w:right w:val="single" w:sz="6" w:space="0" w:color="auto"/>
            </w:tcBorders>
            <w:shd w:val="clear" w:color="auto" w:fill="auto"/>
            <w:vAlign w:val="center"/>
            <w:hideMark/>
          </w:tcPr>
          <w:p w14:paraId="39BAEBA5" w14:textId="15BDB237"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8.7</w:t>
            </w:r>
          </w:p>
        </w:tc>
        <w:tc>
          <w:tcPr>
            <w:tcW w:w="1503" w:type="dxa"/>
            <w:tcBorders>
              <w:top w:val="nil"/>
              <w:left w:val="nil"/>
              <w:bottom w:val="single" w:sz="6" w:space="0" w:color="auto"/>
              <w:right w:val="single" w:sz="6" w:space="0" w:color="auto"/>
            </w:tcBorders>
            <w:shd w:val="clear" w:color="auto" w:fill="auto"/>
            <w:vAlign w:val="center"/>
            <w:hideMark/>
          </w:tcPr>
          <w:p w14:paraId="52EEF554" w14:textId="7D55C115"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6.5</w:t>
            </w:r>
          </w:p>
        </w:tc>
        <w:tc>
          <w:tcPr>
            <w:tcW w:w="1503" w:type="dxa"/>
            <w:tcBorders>
              <w:top w:val="nil"/>
              <w:left w:val="nil"/>
              <w:bottom w:val="single" w:sz="6" w:space="0" w:color="auto"/>
              <w:right w:val="single" w:sz="6" w:space="0" w:color="auto"/>
            </w:tcBorders>
            <w:shd w:val="clear" w:color="auto" w:fill="auto"/>
            <w:vAlign w:val="center"/>
            <w:hideMark/>
          </w:tcPr>
          <w:p w14:paraId="34466FEF" w14:textId="0A8DCBD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12.3</w:t>
            </w:r>
          </w:p>
        </w:tc>
      </w:tr>
      <w:tr w:rsidR="00876008" w:rsidRPr="008A0812" w14:paraId="5CBAC87F"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0D7EE067" w14:textId="77D93B35"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Effluent Ammonia</w:t>
            </w:r>
          </w:p>
        </w:tc>
        <w:tc>
          <w:tcPr>
            <w:tcW w:w="901" w:type="dxa"/>
            <w:tcBorders>
              <w:top w:val="nil"/>
              <w:left w:val="nil"/>
              <w:bottom w:val="single" w:sz="6" w:space="0" w:color="auto"/>
              <w:right w:val="single" w:sz="6" w:space="0" w:color="auto"/>
            </w:tcBorders>
            <w:shd w:val="clear" w:color="auto" w:fill="auto"/>
            <w:vAlign w:val="center"/>
            <w:hideMark/>
          </w:tcPr>
          <w:p w14:paraId="57739686" w14:textId="08C7267C"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08627AFC" w14:textId="5F11CA6E"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1.5</w:t>
            </w:r>
          </w:p>
        </w:tc>
        <w:tc>
          <w:tcPr>
            <w:tcW w:w="1503" w:type="dxa"/>
            <w:tcBorders>
              <w:top w:val="nil"/>
              <w:left w:val="nil"/>
              <w:bottom w:val="single" w:sz="6" w:space="0" w:color="auto"/>
              <w:right w:val="single" w:sz="6" w:space="0" w:color="auto"/>
            </w:tcBorders>
            <w:shd w:val="clear" w:color="auto" w:fill="auto"/>
            <w:vAlign w:val="center"/>
            <w:hideMark/>
          </w:tcPr>
          <w:p w14:paraId="4514C307" w14:textId="4CC1A2B0"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0.7</w:t>
            </w:r>
          </w:p>
        </w:tc>
        <w:tc>
          <w:tcPr>
            <w:tcW w:w="1503" w:type="dxa"/>
            <w:tcBorders>
              <w:top w:val="nil"/>
              <w:left w:val="nil"/>
              <w:bottom w:val="single" w:sz="6" w:space="0" w:color="auto"/>
              <w:right w:val="single" w:sz="6" w:space="0" w:color="auto"/>
            </w:tcBorders>
            <w:shd w:val="clear" w:color="auto" w:fill="auto"/>
            <w:vAlign w:val="center"/>
            <w:hideMark/>
          </w:tcPr>
          <w:p w14:paraId="488AC733" w14:textId="46ACD41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0.5</w:t>
            </w:r>
          </w:p>
        </w:tc>
        <w:tc>
          <w:tcPr>
            <w:tcW w:w="1503" w:type="dxa"/>
            <w:tcBorders>
              <w:top w:val="nil"/>
              <w:left w:val="nil"/>
              <w:bottom w:val="single" w:sz="6" w:space="0" w:color="auto"/>
              <w:right w:val="single" w:sz="6" w:space="0" w:color="auto"/>
            </w:tcBorders>
            <w:shd w:val="clear" w:color="auto" w:fill="auto"/>
            <w:vAlign w:val="center"/>
            <w:hideMark/>
          </w:tcPr>
          <w:p w14:paraId="0F08B956" w14:textId="751C59C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10.9</w:t>
            </w:r>
          </w:p>
        </w:tc>
      </w:tr>
      <w:tr w:rsidR="00876008" w:rsidRPr="008A0812" w14:paraId="52817FAD"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04AA8915" w14:textId="7F4C0FE1"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Effluent Nitrite</w:t>
            </w:r>
          </w:p>
        </w:tc>
        <w:tc>
          <w:tcPr>
            <w:tcW w:w="901" w:type="dxa"/>
            <w:tcBorders>
              <w:top w:val="nil"/>
              <w:left w:val="nil"/>
              <w:bottom w:val="single" w:sz="6" w:space="0" w:color="auto"/>
              <w:right w:val="single" w:sz="6" w:space="0" w:color="auto"/>
            </w:tcBorders>
            <w:shd w:val="clear" w:color="auto" w:fill="auto"/>
            <w:vAlign w:val="center"/>
            <w:hideMark/>
          </w:tcPr>
          <w:p w14:paraId="1D598F0C" w14:textId="371AFA55"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0FD17D7A" w14:textId="7452CE3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1.4</w:t>
            </w:r>
          </w:p>
        </w:tc>
        <w:tc>
          <w:tcPr>
            <w:tcW w:w="1503" w:type="dxa"/>
            <w:tcBorders>
              <w:top w:val="nil"/>
              <w:left w:val="nil"/>
              <w:bottom w:val="single" w:sz="6" w:space="0" w:color="auto"/>
              <w:right w:val="single" w:sz="6" w:space="0" w:color="auto"/>
            </w:tcBorders>
            <w:shd w:val="clear" w:color="auto" w:fill="auto"/>
            <w:vAlign w:val="center"/>
            <w:hideMark/>
          </w:tcPr>
          <w:p w14:paraId="72C77B0C" w14:textId="21D0F48F"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0.0</w:t>
            </w:r>
          </w:p>
        </w:tc>
        <w:tc>
          <w:tcPr>
            <w:tcW w:w="1503" w:type="dxa"/>
            <w:tcBorders>
              <w:top w:val="nil"/>
              <w:left w:val="nil"/>
              <w:bottom w:val="single" w:sz="6" w:space="0" w:color="auto"/>
              <w:right w:val="single" w:sz="6" w:space="0" w:color="auto"/>
            </w:tcBorders>
            <w:shd w:val="clear" w:color="auto" w:fill="auto"/>
            <w:vAlign w:val="center"/>
            <w:hideMark/>
          </w:tcPr>
          <w:p w14:paraId="69C8715F" w14:textId="695CA190"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0.0</w:t>
            </w:r>
          </w:p>
        </w:tc>
        <w:tc>
          <w:tcPr>
            <w:tcW w:w="1503" w:type="dxa"/>
            <w:tcBorders>
              <w:top w:val="nil"/>
              <w:left w:val="nil"/>
              <w:bottom w:val="single" w:sz="6" w:space="0" w:color="auto"/>
              <w:right w:val="single" w:sz="6" w:space="0" w:color="auto"/>
            </w:tcBorders>
            <w:shd w:val="clear" w:color="auto" w:fill="auto"/>
            <w:vAlign w:val="center"/>
            <w:hideMark/>
          </w:tcPr>
          <w:p w14:paraId="49B226A6" w14:textId="51A7C480"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1.5</w:t>
            </w:r>
          </w:p>
        </w:tc>
      </w:tr>
      <w:tr w:rsidR="00876008" w:rsidRPr="008A0812" w14:paraId="75286F21"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4D0BF3BA" w14:textId="6A375456"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Effluent Nitrate</w:t>
            </w:r>
          </w:p>
        </w:tc>
        <w:tc>
          <w:tcPr>
            <w:tcW w:w="901" w:type="dxa"/>
            <w:tcBorders>
              <w:top w:val="nil"/>
              <w:left w:val="nil"/>
              <w:bottom w:val="single" w:sz="6" w:space="0" w:color="auto"/>
              <w:right w:val="single" w:sz="6" w:space="0" w:color="auto"/>
            </w:tcBorders>
            <w:shd w:val="clear" w:color="auto" w:fill="auto"/>
            <w:vAlign w:val="center"/>
            <w:hideMark/>
          </w:tcPr>
          <w:p w14:paraId="5E920547" w14:textId="34BDBCD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22E1656A" w14:textId="4E8F4FFF"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5.1</w:t>
            </w:r>
          </w:p>
        </w:tc>
        <w:tc>
          <w:tcPr>
            <w:tcW w:w="1503" w:type="dxa"/>
            <w:tcBorders>
              <w:top w:val="nil"/>
              <w:left w:val="nil"/>
              <w:bottom w:val="single" w:sz="6" w:space="0" w:color="auto"/>
              <w:right w:val="single" w:sz="6" w:space="0" w:color="auto"/>
            </w:tcBorders>
            <w:shd w:val="clear" w:color="auto" w:fill="auto"/>
            <w:vAlign w:val="center"/>
            <w:hideMark/>
          </w:tcPr>
          <w:p w14:paraId="3BFC4735" w14:textId="7F59A02D"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10.5</w:t>
            </w:r>
          </w:p>
        </w:tc>
        <w:tc>
          <w:tcPr>
            <w:tcW w:w="1503" w:type="dxa"/>
            <w:tcBorders>
              <w:top w:val="nil"/>
              <w:left w:val="nil"/>
              <w:bottom w:val="single" w:sz="6" w:space="0" w:color="auto"/>
              <w:right w:val="single" w:sz="6" w:space="0" w:color="auto"/>
            </w:tcBorders>
            <w:shd w:val="clear" w:color="auto" w:fill="auto"/>
            <w:vAlign w:val="center"/>
            <w:hideMark/>
          </w:tcPr>
          <w:p w14:paraId="5844A2D4" w14:textId="6823176A"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11.5</w:t>
            </w:r>
          </w:p>
        </w:tc>
        <w:tc>
          <w:tcPr>
            <w:tcW w:w="1503" w:type="dxa"/>
            <w:tcBorders>
              <w:top w:val="nil"/>
              <w:left w:val="nil"/>
              <w:bottom w:val="single" w:sz="6" w:space="0" w:color="auto"/>
              <w:right w:val="single" w:sz="6" w:space="0" w:color="auto"/>
            </w:tcBorders>
            <w:shd w:val="clear" w:color="auto" w:fill="auto"/>
            <w:vAlign w:val="center"/>
            <w:hideMark/>
          </w:tcPr>
          <w:p w14:paraId="5C279267" w14:textId="120AE8AE"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2.7</w:t>
            </w:r>
          </w:p>
        </w:tc>
      </w:tr>
      <w:tr w:rsidR="00876008" w:rsidRPr="008A0812" w14:paraId="3E842D07"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2B3C2C8A" w14:textId="0C9583CA"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Total TIN</w:t>
            </w:r>
          </w:p>
        </w:tc>
        <w:tc>
          <w:tcPr>
            <w:tcW w:w="901" w:type="dxa"/>
            <w:tcBorders>
              <w:top w:val="nil"/>
              <w:left w:val="nil"/>
              <w:bottom w:val="single" w:sz="6" w:space="0" w:color="auto"/>
              <w:right w:val="single" w:sz="6" w:space="0" w:color="auto"/>
            </w:tcBorders>
            <w:shd w:val="clear" w:color="auto" w:fill="auto"/>
            <w:vAlign w:val="center"/>
            <w:hideMark/>
          </w:tcPr>
          <w:p w14:paraId="3E85852C" w14:textId="5C0ACD34"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2352B710" w14:textId="34023307"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8.0</w:t>
            </w:r>
          </w:p>
        </w:tc>
        <w:tc>
          <w:tcPr>
            <w:tcW w:w="1503" w:type="dxa"/>
            <w:tcBorders>
              <w:top w:val="nil"/>
              <w:left w:val="nil"/>
              <w:bottom w:val="single" w:sz="6" w:space="0" w:color="auto"/>
              <w:right w:val="single" w:sz="6" w:space="0" w:color="auto"/>
            </w:tcBorders>
            <w:shd w:val="clear" w:color="auto" w:fill="auto"/>
            <w:vAlign w:val="center"/>
            <w:hideMark/>
          </w:tcPr>
          <w:p w14:paraId="37459EA1" w14:textId="0000CD8C"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11.2</w:t>
            </w:r>
          </w:p>
        </w:tc>
        <w:tc>
          <w:tcPr>
            <w:tcW w:w="1503" w:type="dxa"/>
            <w:tcBorders>
              <w:top w:val="nil"/>
              <w:left w:val="nil"/>
              <w:bottom w:val="single" w:sz="6" w:space="0" w:color="auto"/>
              <w:right w:val="single" w:sz="6" w:space="0" w:color="auto"/>
            </w:tcBorders>
            <w:shd w:val="clear" w:color="auto" w:fill="auto"/>
            <w:vAlign w:val="center"/>
            <w:hideMark/>
          </w:tcPr>
          <w:p w14:paraId="04E35AB6" w14:textId="011B404F"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12.0</w:t>
            </w:r>
          </w:p>
        </w:tc>
        <w:tc>
          <w:tcPr>
            <w:tcW w:w="1503" w:type="dxa"/>
            <w:tcBorders>
              <w:top w:val="nil"/>
              <w:left w:val="nil"/>
              <w:bottom w:val="single" w:sz="6" w:space="0" w:color="auto"/>
              <w:right w:val="single" w:sz="6" w:space="0" w:color="auto"/>
            </w:tcBorders>
            <w:shd w:val="clear" w:color="auto" w:fill="auto"/>
            <w:vAlign w:val="center"/>
            <w:hideMark/>
          </w:tcPr>
          <w:p w14:paraId="211BB1E4" w14:textId="523927E0"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15.1</w:t>
            </w:r>
          </w:p>
        </w:tc>
      </w:tr>
      <w:tr w:rsidR="00876008" w:rsidRPr="008A0812" w14:paraId="041A29D2" w14:textId="77777777" w:rsidTr="00624496">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6FC03E08" w14:textId="3B09A053"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b/>
                <w:bCs/>
              </w:rPr>
              <w:t>Influent Alkalinity</w:t>
            </w:r>
          </w:p>
        </w:tc>
        <w:tc>
          <w:tcPr>
            <w:tcW w:w="901" w:type="dxa"/>
            <w:tcBorders>
              <w:top w:val="nil"/>
              <w:left w:val="nil"/>
              <w:bottom w:val="single" w:sz="6" w:space="0" w:color="auto"/>
              <w:right w:val="single" w:sz="6" w:space="0" w:color="auto"/>
            </w:tcBorders>
            <w:shd w:val="clear" w:color="auto" w:fill="auto"/>
            <w:vAlign w:val="center"/>
            <w:hideMark/>
          </w:tcPr>
          <w:p w14:paraId="3D18A69A" w14:textId="076EA367"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75BC38C9" w14:textId="408090B2"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290</w:t>
            </w:r>
          </w:p>
        </w:tc>
        <w:tc>
          <w:tcPr>
            <w:tcW w:w="1503" w:type="dxa"/>
            <w:tcBorders>
              <w:top w:val="nil"/>
              <w:left w:val="nil"/>
              <w:bottom w:val="single" w:sz="6" w:space="0" w:color="auto"/>
              <w:right w:val="single" w:sz="6" w:space="0" w:color="auto"/>
            </w:tcBorders>
            <w:shd w:val="clear" w:color="auto" w:fill="auto"/>
            <w:vAlign w:val="center"/>
            <w:hideMark/>
          </w:tcPr>
          <w:p w14:paraId="50DB64DD" w14:textId="5367BE24"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297</w:t>
            </w:r>
          </w:p>
        </w:tc>
        <w:tc>
          <w:tcPr>
            <w:tcW w:w="1503" w:type="dxa"/>
            <w:tcBorders>
              <w:top w:val="nil"/>
              <w:left w:val="nil"/>
              <w:bottom w:val="single" w:sz="6" w:space="0" w:color="auto"/>
              <w:right w:val="single" w:sz="6" w:space="0" w:color="auto"/>
            </w:tcBorders>
            <w:shd w:val="clear" w:color="auto" w:fill="auto"/>
            <w:vAlign w:val="center"/>
            <w:hideMark/>
          </w:tcPr>
          <w:p w14:paraId="0BB95738" w14:textId="7D3A2BF8"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296</w:t>
            </w:r>
          </w:p>
        </w:tc>
        <w:tc>
          <w:tcPr>
            <w:tcW w:w="1503" w:type="dxa"/>
            <w:tcBorders>
              <w:top w:val="nil"/>
              <w:left w:val="nil"/>
              <w:bottom w:val="single" w:sz="6" w:space="0" w:color="auto"/>
              <w:right w:val="single" w:sz="6" w:space="0" w:color="auto"/>
            </w:tcBorders>
            <w:shd w:val="clear" w:color="auto" w:fill="auto"/>
            <w:vAlign w:val="center"/>
            <w:hideMark/>
          </w:tcPr>
          <w:p w14:paraId="6053A628" w14:textId="46DE8708" w:rsidR="00876008" w:rsidRPr="008A0812" w:rsidRDefault="00876008" w:rsidP="00876008">
            <w:pPr>
              <w:overflowPunct/>
              <w:autoSpaceDE/>
              <w:autoSpaceDN/>
              <w:adjustRightInd/>
              <w:jc w:val="center"/>
              <w:rPr>
                <w:rFonts w:asciiTheme="majorHAnsi" w:hAnsiTheme="majorHAnsi" w:cs="Segoe UI"/>
              </w:rPr>
            </w:pPr>
            <w:r w:rsidRPr="008A0812">
              <w:rPr>
                <w:rFonts w:asciiTheme="majorHAnsi" w:hAnsiTheme="majorHAnsi" w:cs="Arial"/>
              </w:rPr>
              <w:t>227</w:t>
            </w:r>
          </w:p>
        </w:tc>
      </w:tr>
    </w:tbl>
    <w:p w14:paraId="3EB171FB" w14:textId="77777777" w:rsidR="00624496" w:rsidRPr="008A0812" w:rsidRDefault="00624496" w:rsidP="00624496">
      <w:pPr>
        <w:pStyle w:val="BodyText"/>
        <w:spacing w:after="0"/>
        <w:ind w:left="720"/>
        <w:rPr>
          <w:rFonts w:cs="Segoe UI"/>
          <w:sz w:val="20"/>
          <w:szCs w:val="20"/>
        </w:rPr>
      </w:pPr>
      <w:r w:rsidRPr="008A0812">
        <w:rPr>
          <w:rFonts w:cs="Segoe UI"/>
          <w:sz w:val="20"/>
          <w:szCs w:val="20"/>
        </w:rPr>
        <w:t xml:space="preserve">Notes: </w:t>
      </w:r>
    </w:p>
    <w:p w14:paraId="5A6EDC1B" w14:textId="04435A8F" w:rsidR="00624496" w:rsidRPr="008A0812" w:rsidRDefault="00624496" w:rsidP="00B40B9B">
      <w:pPr>
        <w:pStyle w:val="BodyText"/>
        <w:numPr>
          <w:ilvl w:val="0"/>
          <w:numId w:val="13"/>
        </w:numPr>
        <w:spacing w:before="0" w:after="0"/>
        <w:ind w:right="720"/>
        <w:rPr>
          <w:rFonts w:cs="Segoe UI"/>
          <w:sz w:val="20"/>
          <w:szCs w:val="20"/>
        </w:rPr>
      </w:pPr>
      <w:r w:rsidRPr="008A0812">
        <w:rPr>
          <w:rFonts w:cs="Segoe UI"/>
          <w:sz w:val="20"/>
          <w:szCs w:val="20"/>
        </w:rPr>
        <w:t>Aerobic SRT was calculated from total SRT using current aeration bay configurations: Unit</w:t>
      </w:r>
      <w:r w:rsidR="00D15A6D">
        <w:rPr>
          <w:rFonts w:cs="Segoe UI"/>
          <w:sz w:val="20"/>
          <w:szCs w:val="20"/>
        </w:rPr>
        <w:t xml:space="preserve"> 1</w:t>
      </w:r>
      <w:r w:rsidRPr="008A0812">
        <w:rPr>
          <w:rFonts w:cs="Segoe UI"/>
          <w:sz w:val="20"/>
          <w:szCs w:val="20"/>
        </w:rPr>
        <w:t xml:space="preserve"> 70% aerobic, Unit 2N 80% aerobic, Unit 2S 63% aerobic.</w:t>
      </w:r>
    </w:p>
    <w:p w14:paraId="2CA78DF9" w14:textId="4C484890" w:rsidR="00A75626" w:rsidRPr="008A0812" w:rsidRDefault="00624496" w:rsidP="00624496">
      <w:pPr>
        <w:pStyle w:val="Heading2"/>
      </w:pPr>
      <w:bookmarkStart w:id="500" w:name="_Toc41680906"/>
      <w:r w:rsidRPr="008A0812">
        <w:t>Secondary Clarifier Performance</w:t>
      </w:r>
      <w:bookmarkEnd w:id="500"/>
    </w:p>
    <w:p w14:paraId="5174364F" w14:textId="74CB5839" w:rsidR="00A27F35" w:rsidRPr="008A0812" w:rsidRDefault="00B76FA3" w:rsidP="00524B10">
      <w:r w:rsidRPr="008A0812">
        <w:fldChar w:fldCharType="begin"/>
      </w:r>
      <w:r w:rsidRPr="008A0812">
        <w:instrText xml:space="preserve"> REF _Ref36400363 \h </w:instrText>
      </w:r>
      <w:r w:rsidR="008A0812">
        <w:instrText xml:space="preserve"> \* MERGEFORMAT </w:instrText>
      </w:r>
      <w:r w:rsidRPr="008A0812">
        <w:fldChar w:fldCharType="separate"/>
      </w:r>
      <w:r w:rsidR="00AA68F8" w:rsidRPr="008A0812">
        <w:t xml:space="preserve">Table </w:t>
      </w:r>
      <w:r w:rsidR="00AA68F8">
        <w:rPr>
          <w:noProof/>
        </w:rPr>
        <w:t>8</w:t>
      </w:r>
      <w:r w:rsidR="00AA68F8" w:rsidRPr="008A0812">
        <w:rPr>
          <w:noProof/>
        </w:rPr>
        <w:noBreakHyphen/>
      </w:r>
      <w:r w:rsidR="00AA68F8">
        <w:rPr>
          <w:noProof/>
        </w:rPr>
        <w:t>6</w:t>
      </w:r>
      <w:r w:rsidRPr="008A0812">
        <w:fldChar w:fldCharType="end"/>
      </w:r>
      <w:r w:rsidR="00624496" w:rsidRPr="008A0812">
        <w:t xml:space="preserve"> summarizes parameters for each unit related to secondary clarifier performance. All four treatment units have settleability issues as indicated by high 95th percentile SVI values ranging from 280 to 390 mL/g. For comparison, a 95th percentile SVI of 200 mL/g is a typical design value for plants without selectors</w:t>
      </w:r>
      <w:r w:rsidR="00524B10" w:rsidRPr="008A0812">
        <w:t xml:space="preserve">. It is possible that the process configuration contributes to high SVI, but a filament analysis would be required to confirm. In Units 1 and 2N, the small pre-anoxic zone (10% of the reactor volume) is likely insufficient to provide a beneficial selector effect. </w:t>
      </w:r>
      <w:r w:rsidR="00624496" w:rsidRPr="008A0812">
        <w:t>Subsequent alternating small aerobic/anoxic zones may result in marginal DO concentrations that promote filament growth</w:t>
      </w:r>
      <w:r w:rsidR="00605231" w:rsidRPr="008A0812">
        <w:t xml:space="preserve"> in addition to limiting nitrification.</w:t>
      </w:r>
    </w:p>
    <w:p w14:paraId="1B75064B" w14:textId="44A40004" w:rsidR="00B76FA3" w:rsidRPr="008A0812" w:rsidRDefault="00B76FA3" w:rsidP="00B76FA3">
      <w:pPr>
        <w:pStyle w:val="TableHeading"/>
      </w:pPr>
      <w:bookmarkStart w:id="501" w:name="_Ref36400363"/>
      <w:bookmarkStart w:id="502" w:name="_Toc36414095"/>
      <w:bookmarkStart w:id="503" w:name="_Toc41684783"/>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501"/>
      <w:r w:rsidRPr="008A0812">
        <w:t>: Secondary Clarifier Performance</w:t>
      </w:r>
      <w:bookmarkEnd w:id="502"/>
      <w:bookmarkEnd w:id="503"/>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18"/>
        <w:gridCol w:w="901"/>
        <w:gridCol w:w="1503"/>
        <w:gridCol w:w="1503"/>
        <w:gridCol w:w="1503"/>
        <w:gridCol w:w="1503"/>
      </w:tblGrid>
      <w:tr w:rsidR="00A27F35" w:rsidRPr="008A0812" w14:paraId="5A941348" w14:textId="77777777" w:rsidTr="00A27F35">
        <w:tc>
          <w:tcPr>
            <w:tcW w:w="2418"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1F748FB0" w14:textId="62C2CE59" w:rsidR="00A27F35" w:rsidRPr="008A0812" w:rsidRDefault="00A27F35" w:rsidP="00A27F35">
            <w:pPr>
              <w:overflowPunct/>
              <w:autoSpaceDE/>
              <w:autoSpaceDN/>
              <w:adjustRightInd/>
              <w:jc w:val="center"/>
              <w:rPr>
                <w:rFonts w:asciiTheme="majorHAnsi" w:hAnsiTheme="majorHAnsi" w:cs="Segoe UI"/>
              </w:rPr>
            </w:pPr>
            <w:r w:rsidRPr="008A0812">
              <w:rPr>
                <w:rFonts w:ascii="Arial" w:hAnsi="Arial" w:cs="Arial"/>
              </w:rPr>
              <w:t> </w:t>
            </w:r>
          </w:p>
        </w:tc>
        <w:tc>
          <w:tcPr>
            <w:tcW w:w="901" w:type="dxa"/>
            <w:tcBorders>
              <w:top w:val="single" w:sz="6" w:space="0" w:color="auto"/>
              <w:left w:val="nil"/>
              <w:bottom w:val="single" w:sz="6" w:space="0" w:color="auto"/>
              <w:right w:val="single" w:sz="6" w:space="0" w:color="auto"/>
            </w:tcBorders>
            <w:shd w:val="clear" w:color="auto" w:fill="BFBFBF"/>
            <w:vAlign w:val="center"/>
            <w:hideMark/>
          </w:tcPr>
          <w:p w14:paraId="55B92655" w14:textId="02AB9718"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Units</w:t>
            </w:r>
            <w:r w:rsidRPr="008A0812">
              <w:rPr>
                <w:rFonts w:ascii="Arial" w:hAnsi="Arial" w:cs="Arial"/>
                <w:b/>
                <w:bCs/>
              </w:rPr>
              <w:t> </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3B006B16" w14:textId="3FCDBFA0"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Unit 1</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1A190D87" w14:textId="533D3BC2"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Unit 2N</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4E28A20C" w14:textId="6F2A6B1F"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Unit 2S</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07DD946F" w14:textId="495C88CF"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NRC</w:t>
            </w:r>
          </w:p>
        </w:tc>
      </w:tr>
      <w:tr w:rsidR="00A27F35" w:rsidRPr="008A0812" w14:paraId="427A78A7"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7DB48A64" w14:textId="66731AED"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Avg. Overflow Rate</w:t>
            </w:r>
          </w:p>
        </w:tc>
        <w:tc>
          <w:tcPr>
            <w:tcW w:w="901" w:type="dxa"/>
            <w:tcBorders>
              <w:top w:val="nil"/>
              <w:left w:val="nil"/>
              <w:bottom w:val="single" w:sz="6" w:space="0" w:color="auto"/>
              <w:right w:val="single" w:sz="6" w:space="0" w:color="auto"/>
            </w:tcBorders>
            <w:shd w:val="clear" w:color="auto" w:fill="auto"/>
            <w:vAlign w:val="center"/>
            <w:hideMark/>
          </w:tcPr>
          <w:p w14:paraId="122E2B59" w14:textId="0BD018D0"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i/>
                <w:iCs/>
              </w:rPr>
              <w:t>gpd/sf</w:t>
            </w:r>
          </w:p>
        </w:tc>
        <w:tc>
          <w:tcPr>
            <w:tcW w:w="1503" w:type="dxa"/>
            <w:tcBorders>
              <w:top w:val="nil"/>
              <w:left w:val="nil"/>
              <w:bottom w:val="single" w:sz="6" w:space="0" w:color="auto"/>
              <w:right w:val="single" w:sz="6" w:space="0" w:color="auto"/>
            </w:tcBorders>
            <w:shd w:val="clear" w:color="auto" w:fill="auto"/>
            <w:vAlign w:val="center"/>
            <w:hideMark/>
          </w:tcPr>
          <w:p w14:paraId="1041A31E" w14:textId="793AEBD4"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300</w:t>
            </w:r>
          </w:p>
        </w:tc>
        <w:tc>
          <w:tcPr>
            <w:tcW w:w="1503" w:type="dxa"/>
            <w:tcBorders>
              <w:top w:val="nil"/>
              <w:left w:val="nil"/>
              <w:bottom w:val="single" w:sz="6" w:space="0" w:color="auto"/>
              <w:right w:val="single" w:sz="6" w:space="0" w:color="auto"/>
            </w:tcBorders>
            <w:shd w:val="clear" w:color="auto" w:fill="auto"/>
            <w:vAlign w:val="center"/>
            <w:hideMark/>
          </w:tcPr>
          <w:p w14:paraId="411B68B3" w14:textId="7DF95379"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414</w:t>
            </w:r>
          </w:p>
        </w:tc>
        <w:tc>
          <w:tcPr>
            <w:tcW w:w="1503" w:type="dxa"/>
            <w:tcBorders>
              <w:top w:val="nil"/>
              <w:left w:val="nil"/>
              <w:bottom w:val="single" w:sz="6" w:space="0" w:color="auto"/>
              <w:right w:val="single" w:sz="6" w:space="0" w:color="auto"/>
            </w:tcBorders>
            <w:shd w:val="clear" w:color="auto" w:fill="auto"/>
            <w:vAlign w:val="center"/>
            <w:hideMark/>
          </w:tcPr>
          <w:p w14:paraId="538C7AB6" w14:textId="0F1685A6"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387</w:t>
            </w:r>
          </w:p>
        </w:tc>
        <w:tc>
          <w:tcPr>
            <w:tcW w:w="1503" w:type="dxa"/>
            <w:tcBorders>
              <w:top w:val="nil"/>
              <w:left w:val="nil"/>
              <w:bottom w:val="single" w:sz="6" w:space="0" w:color="auto"/>
              <w:right w:val="single" w:sz="6" w:space="0" w:color="auto"/>
            </w:tcBorders>
            <w:shd w:val="clear" w:color="auto" w:fill="auto"/>
            <w:vAlign w:val="center"/>
            <w:hideMark/>
          </w:tcPr>
          <w:p w14:paraId="4F4C703B" w14:textId="3BA8643D"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268</w:t>
            </w:r>
          </w:p>
        </w:tc>
      </w:tr>
      <w:tr w:rsidR="00A27F35" w:rsidRPr="008A0812" w14:paraId="6CBA5986"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6F7363C0" w14:textId="68DCD3D5"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Avg. MLSS</w:t>
            </w:r>
          </w:p>
        </w:tc>
        <w:tc>
          <w:tcPr>
            <w:tcW w:w="901" w:type="dxa"/>
            <w:tcBorders>
              <w:top w:val="nil"/>
              <w:left w:val="nil"/>
              <w:bottom w:val="single" w:sz="6" w:space="0" w:color="auto"/>
              <w:right w:val="single" w:sz="6" w:space="0" w:color="auto"/>
            </w:tcBorders>
            <w:shd w:val="clear" w:color="auto" w:fill="auto"/>
            <w:vAlign w:val="center"/>
            <w:hideMark/>
          </w:tcPr>
          <w:p w14:paraId="38C6A8B9" w14:textId="495493AB"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3843914E" w14:textId="6476244A"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2501</w:t>
            </w:r>
          </w:p>
        </w:tc>
        <w:tc>
          <w:tcPr>
            <w:tcW w:w="1503" w:type="dxa"/>
            <w:tcBorders>
              <w:top w:val="nil"/>
              <w:left w:val="nil"/>
              <w:bottom w:val="single" w:sz="6" w:space="0" w:color="auto"/>
              <w:right w:val="single" w:sz="6" w:space="0" w:color="auto"/>
            </w:tcBorders>
            <w:shd w:val="clear" w:color="auto" w:fill="auto"/>
            <w:vAlign w:val="center"/>
            <w:hideMark/>
          </w:tcPr>
          <w:p w14:paraId="132A3DD9" w14:textId="610446D6"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2139</w:t>
            </w:r>
          </w:p>
        </w:tc>
        <w:tc>
          <w:tcPr>
            <w:tcW w:w="1503" w:type="dxa"/>
            <w:tcBorders>
              <w:top w:val="nil"/>
              <w:left w:val="nil"/>
              <w:bottom w:val="single" w:sz="6" w:space="0" w:color="auto"/>
              <w:right w:val="single" w:sz="6" w:space="0" w:color="auto"/>
            </w:tcBorders>
            <w:shd w:val="clear" w:color="auto" w:fill="auto"/>
            <w:vAlign w:val="center"/>
            <w:hideMark/>
          </w:tcPr>
          <w:p w14:paraId="56935F82" w14:textId="6E11D8DD"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2306</w:t>
            </w:r>
          </w:p>
        </w:tc>
        <w:tc>
          <w:tcPr>
            <w:tcW w:w="1503" w:type="dxa"/>
            <w:tcBorders>
              <w:top w:val="nil"/>
              <w:left w:val="nil"/>
              <w:bottom w:val="single" w:sz="6" w:space="0" w:color="auto"/>
              <w:right w:val="single" w:sz="6" w:space="0" w:color="auto"/>
            </w:tcBorders>
            <w:shd w:val="clear" w:color="auto" w:fill="auto"/>
            <w:vAlign w:val="center"/>
            <w:hideMark/>
          </w:tcPr>
          <w:p w14:paraId="6EC3E879" w14:textId="461A5E96"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2791</w:t>
            </w:r>
          </w:p>
        </w:tc>
      </w:tr>
      <w:tr w:rsidR="00A27F35" w:rsidRPr="008A0812" w14:paraId="1D6097E7"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4409555A" w14:textId="7AB77522"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Avg. SVI</w:t>
            </w:r>
          </w:p>
        </w:tc>
        <w:tc>
          <w:tcPr>
            <w:tcW w:w="901" w:type="dxa"/>
            <w:tcBorders>
              <w:top w:val="nil"/>
              <w:left w:val="nil"/>
              <w:bottom w:val="single" w:sz="6" w:space="0" w:color="auto"/>
              <w:right w:val="single" w:sz="6" w:space="0" w:color="auto"/>
            </w:tcBorders>
            <w:shd w:val="clear" w:color="auto" w:fill="auto"/>
            <w:vAlign w:val="center"/>
            <w:hideMark/>
          </w:tcPr>
          <w:p w14:paraId="351C3849" w14:textId="4CB1E91E"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i/>
                <w:iCs/>
              </w:rPr>
              <w:t>mL/g</w:t>
            </w:r>
            <w:r w:rsidRPr="008A0812">
              <w:rPr>
                <w:rFonts w:ascii="Arial" w:hAnsi="Arial" w:cs="Arial"/>
                <w:i/>
                <w:iCs/>
              </w:rPr>
              <w:t> </w:t>
            </w:r>
          </w:p>
        </w:tc>
        <w:tc>
          <w:tcPr>
            <w:tcW w:w="1503" w:type="dxa"/>
            <w:tcBorders>
              <w:top w:val="nil"/>
              <w:left w:val="nil"/>
              <w:bottom w:val="single" w:sz="6" w:space="0" w:color="auto"/>
              <w:right w:val="single" w:sz="6" w:space="0" w:color="auto"/>
            </w:tcBorders>
            <w:shd w:val="clear" w:color="auto" w:fill="auto"/>
            <w:vAlign w:val="center"/>
            <w:hideMark/>
          </w:tcPr>
          <w:p w14:paraId="16A81327" w14:textId="235B29E3"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182</w:t>
            </w:r>
          </w:p>
        </w:tc>
        <w:tc>
          <w:tcPr>
            <w:tcW w:w="1503" w:type="dxa"/>
            <w:tcBorders>
              <w:top w:val="nil"/>
              <w:left w:val="nil"/>
              <w:bottom w:val="single" w:sz="6" w:space="0" w:color="auto"/>
              <w:right w:val="single" w:sz="6" w:space="0" w:color="auto"/>
            </w:tcBorders>
            <w:shd w:val="clear" w:color="auto" w:fill="auto"/>
            <w:vAlign w:val="center"/>
            <w:hideMark/>
          </w:tcPr>
          <w:p w14:paraId="48F36F59" w14:textId="7C1E5F92"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107</w:t>
            </w:r>
          </w:p>
        </w:tc>
        <w:tc>
          <w:tcPr>
            <w:tcW w:w="1503" w:type="dxa"/>
            <w:tcBorders>
              <w:top w:val="nil"/>
              <w:left w:val="nil"/>
              <w:bottom w:val="single" w:sz="6" w:space="0" w:color="auto"/>
              <w:right w:val="single" w:sz="6" w:space="0" w:color="auto"/>
            </w:tcBorders>
            <w:shd w:val="clear" w:color="auto" w:fill="auto"/>
            <w:vAlign w:val="center"/>
            <w:hideMark/>
          </w:tcPr>
          <w:p w14:paraId="3E037B4E" w14:textId="3DB992E4"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92</w:t>
            </w:r>
          </w:p>
        </w:tc>
        <w:tc>
          <w:tcPr>
            <w:tcW w:w="1503" w:type="dxa"/>
            <w:tcBorders>
              <w:top w:val="nil"/>
              <w:left w:val="nil"/>
              <w:bottom w:val="single" w:sz="6" w:space="0" w:color="auto"/>
              <w:right w:val="single" w:sz="6" w:space="0" w:color="auto"/>
            </w:tcBorders>
            <w:shd w:val="clear" w:color="auto" w:fill="auto"/>
            <w:vAlign w:val="center"/>
            <w:hideMark/>
          </w:tcPr>
          <w:p w14:paraId="269E2E3D" w14:textId="7CAB85F1"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202</w:t>
            </w:r>
          </w:p>
        </w:tc>
      </w:tr>
      <w:tr w:rsidR="00A27F35" w:rsidRPr="008A0812" w14:paraId="2674A33E"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1DB0462C" w14:textId="6B1582A0"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95</w:t>
            </w:r>
            <w:r w:rsidRPr="008A0812">
              <w:rPr>
                <w:rFonts w:asciiTheme="majorHAnsi" w:hAnsiTheme="majorHAnsi" w:cs="Arial"/>
                <w:b/>
                <w:bCs/>
                <w:vertAlign w:val="superscript"/>
              </w:rPr>
              <w:t>th</w:t>
            </w:r>
            <w:r w:rsidRPr="008A0812">
              <w:rPr>
                <w:rFonts w:asciiTheme="majorHAnsi" w:hAnsiTheme="majorHAnsi" w:cs="Arial"/>
                <w:b/>
                <w:bCs/>
              </w:rPr>
              <w:t> Percentile SVI</w:t>
            </w:r>
          </w:p>
        </w:tc>
        <w:tc>
          <w:tcPr>
            <w:tcW w:w="901" w:type="dxa"/>
            <w:tcBorders>
              <w:top w:val="nil"/>
              <w:left w:val="nil"/>
              <w:bottom w:val="single" w:sz="6" w:space="0" w:color="auto"/>
              <w:right w:val="single" w:sz="6" w:space="0" w:color="auto"/>
            </w:tcBorders>
            <w:shd w:val="clear" w:color="auto" w:fill="auto"/>
            <w:vAlign w:val="center"/>
            <w:hideMark/>
          </w:tcPr>
          <w:p w14:paraId="0E80C3E1" w14:textId="604904EE"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i/>
                <w:iCs/>
              </w:rPr>
              <w:t>mL/g</w:t>
            </w:r>
            <w:r w:rsidRPr="008A0812">
              <w:rPr>
                <w:rFonts w:ascii="Arial" w:hAnsi="Arial" w:cs="Arial"/>
                <w:i/>
                <w:iCs/>
              </w:rPr>
              <w:t> </w:t>
            </w:r>
          </w:p>
        </w:tc>
        <w:tc>
          <w:tcPr>
            <w:tcW w:w="1503" w:type="dxa"/>
            <w:tcBorders>
              <w:top w:val="nil"/>
              <w:left w:val="nil"/>
              <w:bottom w:val="single" w:sz="6" w:space="0" w:color="auto"/>
              <w:right w:val="single" w:sz="6" w:space="0" w:color="auto"/>
            </w:tcBorders>
            <w:shd w:val="clear" w:color="auto" w:fill="auto"/>
            <w:vAlign w:val="center"/>
            <w:hideMark/>
          </w:tcPr>
          <w:p w14:paraId="7CE7438F" w14:textId="7B62BEBB"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389</w:t>
            </w:r>
          </w:p>
        </w:tc>
        <w:tc>
          <w:tcPr>
            <w:tcW w:w="1503" w:type="dxa"/>
            <w:tcBorders>
              <w:top w:val="nil"/>
              <w:left w:val="nil"/>
              <w:bottom w:val="single" w:sz="6" w:space="0" w:color="auto"/>
              <w:right w:val="single" w:sz="6" w:space="0" w:color="auto"/>
            </w:tcBorders>
            <w:shd w:val="clear" w:color="auto" w:fill="auto"/>
            <w:vAlign w:val="center"/>
            <w:hideMark/>
          </w:tcPr>
          <w:p w14:paraId="4F17C753" w14:textId="34457075"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282</w:t>
            </w:r>
          </w:p>
        </w:tc>
        <w:tc>
          <w:tcPr>
            <w:tcW w:w="1503" w:type="dxa"/>
            <w:tcBorders>
              <w:top w:val="nil"/>
              <w:left w:val="nil"/>
              <w:bottom w:val="single" w:sz="6" w:space="0" w:color="auto"/>
              <w:right w:val="single" w:sz="6" w:space="0" w:color="auto"/>
            </w:tcBorders>
            <w:shd w:val="clear" w:color="auto" w:fill="auto"/>
            <w:vAlign w:val="center"/>
            <w:hideMark/>
          </w:tcPr>
          <w:p w14:paraId="5E469716" w14:textId="1345115E"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290</w:t>
            </w:r>
          </w:p>
        </w:tc>
        <w:tc>
          <w:tcPr>
            <w:tcW w:w="1503" w:type="dxa"/>
            <w:tcBorders>
              <w:top w:val="nil"/>
              <w:left w:val="nil"/>
              <w:bottom w:val="single" w:sz="6" w:space="0" w:color="auto"/>
              <w:right w:val="single" w:sz="6" w:space="0" w:color="auto"/>
            </w:tcBorders>
            <w:shd w:val="clear" w:color="auto" w:fill="auto"/>
            <w:vAlign w:val="center"/>
            <w:hideMark/>
          </w:tcPr>
          <w:p w14:paraId="551F2253" w14:textId="5B3E6C81"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345</w:t>
            </w:r>
          </w:p>
        </w:tc>
      </w:tr>
      <w:tr w:rsidR="00CD2294" w:rsidRPr="008A0812" w14:paraId="3E804FDF"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63A75A3D" w14:textId="45106DDD"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b/>
                <w:bCs/>
              </w:rPr>
              <w:t>Avg. Effluent TSS</w:t>
            </w:r>
          </w:p>
        </w:tc>
        <w:tc>
          <w:tcPr>
            <w:tcW w:w="901" w:type="dxa"/>
            <w:tcBorders>
              <w:top w:val="nil"/>
              <w:left w:val="nil"/>
              <w:bottom w:val="single" w:sz="6" w:space="0" w:color="auto"/>
              <w:right w:val="single" w:sz="6" w:space="0" w:color="auto"/>
            </w:tcBorders>
            <w:shd w:val="clear" w:color="auto" w:fill="auto"/>
            <w:vAlign w:val="center"/>
            <w:hideMark/>
          </w:tcPr>
          <w:p w14:paraId="263DB266" w14:textId="7AAE4D66"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27F1BD89" w14:textId="19688C70"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rPr>
              <w:t>7.5</w:t>
            </w:r>
          </w:p>
        </w:tc>
        <w:tc>
          <w:tcPr>
            <w:tcW w:w="1503" w:type="dxa"/>
            <w:tcBorders>
              <w:top w:val="nil"/>
              <w:left w:val="nil"/>
              <w:bottom w:val="single" w:sz="6" w:space="0" w:color="auto"/>
              <w:right w:val="single" w:sz="6" w:space="0" w:color="auto"/>
            </w:tcBorders>
            <w:shd w:val="clear" w:color="auto" w:fill="auto"/>
            <w:vAlign w:val="center"/>
            <w:hideMark/>
          </w:tcPr>
          <w:p w14:paraId="0000F961" w14:textId="6BBCF3C3"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rPr>
              <w:t>8.5</w:t>
            </w:r>
          </w:p>
        </w:tc>
        <w:tc>
          <w:tcPr>
            <w:tcW w:w="1503" w:type="dxa"/>
            <w:tcBorders>
              <w:top w:val="nil"/>
              <w:left w:val="nil"/>
              <w:bottom w:val="single" w:sz="6" w:space="0" w:color="auto"/>
              <w:right w:val="single" w:sz="6" w:space="0" w:color="auto"/>
            </w:tcBorders>
            <w:shd w:val="clear" w:color="auto" w:fill="auto"/>
            <w:vAlign w:val="center"/>
            <w:hideMark/>
          </w:tcPr>
          <w:p w14:paraId="406BB217" w14:textId="21BC9666"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rPr>
              <w:t>8.1</w:t>
            </w:r>
          </w:p>
        </w:tc>
        <w:tc>
          <w:tcPr>
            <w:tcW w:w="1503" w:type="dxa"/>
            <w:tcBorders>
              <w:top w:val="nil"/>
              <w:left w:val="nil"/>
              <w:bottom w:val="single" w:sz="6" w:space="0" w:color="auto"/>
              <w:right w:val="single" w:sz="6" w:space="0" w:color="auto"/>
            </w:tcBorders>
            <w:shd w:val="clear" w:color="auto" w:fill="auto"/>
            <w:vAlign w:val="center"/>
            <w:hideMark/>
          </w:tcPr>
          <w:p w14:paraId="7E9BEA81" w14:textId="73832624" w:rsidR="00CD2294" w:rsidRPr="008A0812" w:rsidRDefault="00CD2294" w:rsidP="00CD2294">
            <w:pPr>
              <w:overflowPunct/>
              <w:autoSpaceDE/>
              <w:autoSpaceDN/>
              <w:adjustRightInd/>
              <w:jc w:val="center"/>
              <w:rPr>
                <w:rFonts w:asciiTheme="majorHAnsi" w:hAnsiTheme="majorHAnsi" w:cs="Segoe UI"/>
              </w:rPr>
            </w:pPr>
            <w:r w:rsidRPr="008A0812">
              <w:rPr>
                <w:rFonts w:asciiTheme="majorHAnsi" w:hAnsiTheme="majorHAnsi" w:cs="Arial"/>
              </w:rPr>
              <w:t>9.4</w:t>
            </w:r>
          </w:p>
        </w:tc>
      </w:tr>
      <w:tr w:rsidR="00A27F35" w:rsidRPr="008A0812" w14:paraId="2C097857" w14:textId="77777777" w:rsidTr="00A27F35">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5B850556" w14:textId="62F240C4"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b/>
                <w:bCs/>
              </w:rPr>
              <w:t>95</w:t>
            </w:r>
            <w:r w:rsidRPr="008A0812">
              <w:rPr>
                <w:rFonts w:asciiTheme="majorHAnsi" w:hAnsiTheme="majorHAnsi" w:cs="Arial"/>
                <w:b/>
                <w:bCs/>
                <w:vertAlign w:val="superscript"/>
              </w:rPr>
              <w:t>th</w:t>
            </w:r>
            <w:r w:rsidRPr="008A0812">
              <w:rPr>
                <w:rFonts w:asciiTheme="majorHAnsi" w:hAnsiTheme="majorHAnsi" w:cs="Arial"/>
                <w:b/>
                <w:bCs/>
              </w:rPr>
              <w:t> Percentile Effluent TSS</w:t>
            </w:r>
          </w:p>
        </w:tc>
        <w:tc>
          <w:tcPr>
            <w:tcW w:w="901" w:type="dxa"/>
            <w:tcBorders>
              <w:top w:val="nil"/>
              <w:left w:val="nil"/>
              <w:bottom w:val="single" w:sz="6" w:space="0" w:color="auto"/>
              <w:right w:val="single" w:sz="6" w:space="0" w:color="auto"/>
            </w:tcBorders>
            <w:shd w:val="clear" w:color="auto" w:fill="auto"/>
            <w:vAlign w:val="center"/>
            <w:hideMark/>
          </w:tcPr>
          <w:p w14:paraId="192AA097" w14:textId="2DE304C6"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503" w:type="dxa"/>
            <w:tcBorders>
              <w:top w:val="nil"/>
              <w:left w:val="nil"/>
              <w:bottom w:val="single" w:sz="6" w:space="0" w:color="auto"/>
              <w:right w:val="single" w:sz="6" w:space="0" w:color="auto"/>
            </w:tcBorders>
            <w:shd w:val="clear" w:color="auto" w:fill="auto"/>
            <w:vAlign w:val="center"/>
            <w:hideMark/>
          </w:tcPr>
          <w:p w14:paraId="135F8D5C" w14:textId="16FB3FDD"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18.0</w:t>
            </w:r>
          </w:p>
        </w:tc>
        <w:tc>
          <w:tcPr>
            <w:tcW w:w="1503" w:type="dxa"/>
            <w:tcBorders>
              <w:top w:val="nil"/>
              <w:left w:val="nil"/>
              <w:bottom w:val="single" w:sz="6" w:space="0" w:color="auto"/>
              <w:right w:val="single" w:sz="6" w:space="0" w:color="auto"/>
            </w:tcBorders>
            <w:shd w:val="clear" w:color="auto" w:fill="auto"/>
            <w:vAlign w:val="center"/>
            <w:hideMark/>
          </w:tcPr>
          <w:p w14:paraId="53BEC75B" w14:textId="526F3379"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17.6</w:t>
            </w:r>
          </w:p>
        </w:tc>
        <w:tc>
          <w:tcPr>
            <w:tcW w:w="1503" w:type="dxa"/>
            <w:tcBorders>
              <w:top w:val="nil"/>
              <w:left w:val="nil"/>
              <w:bottom w:val="single" w:sz="6" w:space="0" w:color="auto"/>
              <w:right w:val="single" w:sz="6" w:space="0" w:color="auto"/>
            </w:tcBorders>
            <w:shd w:val="clear" w:color="auto" w:fill="auto"/>
            <w:vAlign w:val="center"/>
            <w:hideMark/>
          </w:tcPr>
          <w:p w14:paraId="58F2CC18" w14:textId="3D5D3433"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16.8</w:t>
            </w:r>
          </w:p>
        </w:tc>
        <w:tc>
          <w:tcPr>
            <w:tcW w:w="1503" w:type="dxa"/>
            <w:tcBorders>
              <w:top w:val="nil"/>
              <w:left w:val="nil"/>
              <w:bottom w:val="single" w:sz="6" w:space="0" w:color="auto"/>
              <w:right w:val="single" w:sz="6" w:space="0" w:color="auto"/>
            </w:tcBorders>
            <w:shd w:val="clear" w:color="auto" w:fill="auto"/>
            <w:vAlign w:val="center"/>
            <w:hideMark/>
          </w:tcPr>
          <w:p w14:paraId="758C8CFB" w14:textId="0C5F7690" w:rsidR="00A27F35" w:rsidRPr="008A0812" w:rsidRDefault="00A27F35" w:rsidP="00A27F35">
            <w:pPr>
              <w:overflowPunct/>
              <w:autoSpaceDE/>
              <w:autoSpaceDN/>
              <w:adjustRightInd/>
              <w:jc w:val="center"/>
              <w:rPr>
                <w:rFonts w:asciiTheme="majorHAnsi" w:hAnsiTheme="majorHAnsi" w:cs="Segoe UI"/>
              </w:rPr>
            </w:pPr>
            <w:r w:rsidRPr="008A0812">
              <w:rPr>
                <w:rFonts w:asciiTheme="majorHAnsi" w:hAnsiTheme="majorHAnsi" w:cs="Arial"/>
              </w:rPr>
              <w:t>20.0</w:t>
            </w:r>
          </w:p>
        </w:tc>
      </w:tr>
    </w:tbl>
    <w:p w14:paraId="3D551CAF" w14:textId="7DB04EF5" w:rsidR="00A27F35" w:rsidRPr="008A0812" w:rsidRDefault="00A27F35" w:rsidP="00A27F35">
      <w:pPr>
        <w:pStyle w:val="Heading2"/>
      </w:pPr>
      <w:bookmarkStart w:id="504" w:name="_Ref36402481"/>
      <w:bookmarkStart w:id="505" w:name="_Toc41680907"/>
      <w:r w:rsidRPr="008A0812">
        <w:t>Secondary Treatment Capacity</w:t>
      </w:r>
      <w:bookmarkEnd w:id="504"/>
      <w:bookmarkEnd w:id="505"/>
    </w:p>
    <w:bookmarkEnd w:id="490"/>
    <w:p w14:paraId="009B6E19" w14:textId="3FC46FB2" w:rsidR="00A27F35" w:rsidRPr="008A0812" w:rsidRDefault="00A27F35" w:rsidP="00CD2294">
      <w:pPr>
        <w:spacing w:before="200" w:after="120"/>
      </w:pPr>
      <w:r w:rsidRPr="008A0812">
        <w:t xml:space="preserve">Capacity of the secondary treatment system is defined by two measures: </w:t>
      </w:r>
    </w:p>
    <w:p w14:paraId="2C94CFA4" w14:textId="77777777" w:rsidR="00A27F35" w:rsidRPr="008A0812" w:rsidRDefault="00A27F35" w:rsidP="00B40B9B">
      <w:pPr>
        <w:pStyle w:val="Numbering"/>
        <w:numPr>
          <w:ilvl w:val="0"/>
          <w:numId w:val="14"/>
        </w:numPr>
      </w:pPr>
      <w:r w:rsidRPr="008A0812">
        <w:t xml:space="preserve">The reactor tanks and blower system must have enough capacity to meet effluent BOD and TIN requirements under typical high (max month or week) loading conditions. </w:t>
      </w:r>
    </w:p>
    <w:p w14:paraId="543F5E09" w14:textId="24804862" w:rsidR="00A27F35" w:rsidRPr="008A0812" w:rsidRDefault="00A27F35" w:rsidP="00A27F35">
      <w:pPr>
        <w:pStyle w:val="Numbering"/>
      </w:pPr>
      <w:r w:rsidRPr="008A0812">
        <w:t xml:space="preserve">The secondary clarifiers must have enough capacity to handle peak hour flows without </w:t>
      </w:r>
      <w:r w:rsidR="00E47BA7" w:rsidRPr="008A0812">
        <w:t>losing</w:t>
      </w:r>
      <w:r w:rsidRPr="008A0812">
        <w:t xml:space="preserve"> solids. </w:t>
      </w:r>
    </w:p>
    <w:p w14:paraId="1A4E8038" w14:textId="53266EC6" w:rsidR="00A27F35" w:rsidRPr="008A0812" w:rsidRDefault="00A27F35" w:rsidP="00A27F35">
      <w:pPr>
        <w:pStyle w:val="BodyText"/>
      </w:pPr>
      <w:r w:rsidRPr="008A0812">
        <w:t xml:space="preserve">The capacity of the Unit 1 reactor tanks was evaluated in separate modeling studies by Carollo (2011) and Black </w:t>
      </w:r>
      <w:r w:rsidR="00581F5F" w:rsidRPr="008A0812">
        <w:t>&amp;</w:t>
      </w:r>
      <w:r w:rsidRPr="008A0812">
        <w:t xml:space="preserve"> Veatch (2012). These studies both examined </w:t>
      </w:r>
      <w:r w:rsidR="00833801" w:rsidRPr="008A0812">
        <w:t>the ability</w:t>
      </w:r>
      <w:r w:rsidRPr="008A0812">
        <w:t xml:space="preserve"> of Unit 1 to remove TIN to 10 mg/L at max month loading with the addition of mixed liquor recycle (MLR). </w:t>
      </w:r>
      <w:r w:rsidR="00880532" w:rsidRPr="008A0812">
        <w:t>While Unit 1 has a rated capacity of 15 mgd, b</w:t>
      </w:r>
      <w:r w:rsidRPr="008A0812">
        <w:t>oth</w:t>
      </w:r>
      <w:r w:rsidR="00880532" w:rsidRPr="008A0812">
        <w:t xml:space="preserve"> studies</w:t>
      </w:r>
      <w:r w:rsidRPr="008A0812">
        <w:t xml:space="preserve"> concluded</w:t>
      </w:r>
      <w:r w:rsidR="00880532" w:rsidRPr="008A0812">
        <w:t xml:space="preserve"> that</w:t>
      </w:r>
      <w:r w:rsidRPr="008A0812">
        <w:t xml:space="preserve"> in order to meet </w:t>
      </w:r>
      <w:r w:rsidR="00880532" w:rsidRPr="008A0812">
        <w:t xml:space="preserve">the TIN </w:t>
      </w:r>
      <w:r w:rsidRPr="008A0812">
        <w:t xml:space="preserve">requirement, the average flow could not exceed 12 mgd. The Black </w:t>
      </w:r>
      <w:r w:rsidR="00581F5F" w:rsidRPr="008A0812">
        <w:t>&amp;</w:t>
      </w:r>
      <w:r w:rsidRPr="008A0812">
        <w:t xml:space="preserve"> Veatch study determined that capacity would be limited by </w:t>
      </w:r>
      <w:r w:rsidR="00D856C9" w:rsidRPr="008A0812">
        <w:t xml:space="preserve">ability to </w:t>
      </w:r>
      <w:r w:rsidRPr="008A0812">
        <w:t xml:space="preserve">transfer </w:t>
      </w:r>
      <w:r w:rsidR="00D856C9" w:rsidRPr="008A0812">
        <w:t>sufficient dissolved oxygen to meet the high demand</w:t>
      </w:r>
      <w:r w:rsidRPr="008A0812">
        <w:t xml:space="preserve"> in the first bays. The Carollo study found that capacity was limited by the ability to achieve complete nitrification. </w:t>
      </w:r>
    </w:p>
    <w:p w14:paraId="3005FD97" w14:textId="725CA858" w:rsidR="00A27F35" w:rsidRPr="008A0812" w:rsidRDefault="00A27F35" w:rsidP="00A27F35">
      <w:pPr>
        <w:pStyle w:val="BodyText"/>
      </w:pPr>
      <w:r w:rsidRPr="008A0812">
        <w:t xml:space="preserve">Although modeling was not performed for the Unit 2 trains, these have the same configuration as Unit 1: ten reactor bays in series. Assuming the same primary effluent concentrations, a rough estimate of the capacity of Units 2N and 2S can be made based on the ratio of their volume to that of Unit 1. </w:t>
      </w:r>
      <w:r w:rsidR="00780A18" w:rsidRPr="008A0812">
        <w:t xml:space="preserve">The Unit 1 reactor volume is reported as 485,000 in the 2016 Hazen and Sawyer PDR. The volume for each of the Unit 2 trains is reported as 321,000 cubic feet by the same source. If the capacity of Unit 1 is 12 mgd based on nutrient removal objectives, then the capacity of each Unit 2 train would be 7.2 mgd based on a volume ratio. This value is slightly less than the original average dry weather flow capacity of 7.5 for these units. This analysis presumes that mixed-liquor recycle pumps have been added to Unit 2N and 2S. </w:t>
      </w:r>
    </w:p>
    <w:p w14:paraId="004226AF" w14:textId="0F108DB6" w:rsidR="00A27F35" w:rsidRPr="008A0812" w:rsidRDefault="00911216" w:rsidP="00A27F35">
      <w:pPr>
        <w:pStyle w:val="BodyText"/>
      </w:pPr>
      <w:r w:rsidRPr="008A0812">
        <w:t>T</w:t>
      </w:r>
      <w:r w:rsidR="00A27F35" w:rsidRPr="008A0812">
        <w:t xml:space="preserve">he peak forward flow capacity of the secondary clarifier </w:t>
      </w:r>
      <w:r w:rsidRPr="008A0812">
        <w:t xml:space="preserve">was estimated </w:t>
      </w:r>
      <w:r w:rsidR="00A27F35" w:rsidRPr="008A0812">
        <w:t>using state point analysis</w:t>
      </w:r>
      <w:r w:rsidR="007151F1" w:rsidRPr="008A0812">
        <w:t xml:space="preserve"> (SPA)</w:t>
      </w:r>
      <w:r w:rsidR="00A27F35" w:rsidRPr="008A0812">
        <w:t xml:space="preserve">. State point analysis is a graphical technique for comparing </w:t>
      </w:r>
      <w:r w:rsidR="0057711F" w:rsidRPr="008A0812">
        <w:t>the</w:t>
      </w:r>
      <w:r w:rsidR="00A27F35" w:rsidRPr="008A0812">
        <w:t xml:space="preserve"> rate at which solids are introduced and removed from the clarifier with an empirical settling rate curve. Results are </w:t>
      </w:r>
      <w:r w:rsidR="00BF6CEC" w:rsidRPr="008A0812">
        <w:t>summarized</w:t>
      </w:r>
      <w:r w:rsidR="00A27F35" w:rsidRPr="008A0812">
        <w:t xml:space="preserve"> in </w:t>
      </w:r>
      <w:r w:rsidR="00B76FA3" w:rsidRPr="008A0812">
        <w:fldChar w:fldCharType="begin"/>
      </w:r>
      <w:r w:rsidR="00B76FA3" w:rsidRPr="008A0812">
        <w:instrText xml:space="preserve"> REF _Ref36400390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7</w:t>
      </w:r>
      <w:r w:rsidR="00B76FA3" w:rsidRPr="008A0812">
        <w:fldChar w:fldCharType="end"/>
      </w:r>
      <w:r w:rsidR="00A27F35" w:rsidRPr="008A0812">
        <w:t>. These capacities are based on the current 95th percentile SVI and average mixed liquor concentrations presented above.</w:t>
      </w:r>
    </w:p>
    <w:p w14:paraId="4CB17DE0" w14:textId="5BC248F8" w:rsidR="00B76FA3" w:rsidRPr="008A0812" w:rsidRDefault="00B76FA3" w:rsidP="00B76FA3">
      <w:pPr>
        <w:pStyle w:val="TableHeading"/>
      </w:pPr>
      <w:bookmarkStart w:id="506" w:name="_Ref36400390"/>
      <w:bookmarkStart w:id="507" w:name="_Toc36414096"/>
      <w:bookmarkStart w:id="508" w:name="_Toc41684784"/>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506"/>
      <w:r w:rsidRPr="008A0812">
        <w:t>: Current Secondary Clarifier Capacity</w:t>
      </w:r>
      <w:bookmarkEnd w:id="507"/>
      <w:bookmarkEnd w:id="508"/>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18"/>
        <w:gridCol w:w="901"/>
        <w:gridCol w:w="1503"/>
        <w:gridCol w:w="1503"/>
        <w:gridCol w:w="1503"/>
        <w:gridCol w:w="1503"/>
      </w:tblGrid>
      <w:tr w:rsidR="00CA47AA" w:rsidRPr="008A0812" w14:paraId="02903430" w14:textId="77777777" w:rsidTr="00CA47AA">
        <w:tc>
          <w:tcPr>
            <w:tcW w:w="2418"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4B221BBD" w14:textId="142ABCCA" w:rsidR="00CA47AA" w:rsidRPr="008A0812" w:rsidRDefault="00CA47AA" w:rsidP="00CA47AA">
            <w:pPr>
              <w:overflowPunct/>
              <w:autoSpaceDE/>
              <w:autoSpaceDN/>
              <w:adjustRightInd/>
              <w:jc w:val="center"/>
              <w:rPr>
                <w:rFonts w:asciiTheme="majorHAnsi" w:hAnsiTheme="majorHAnsi" w:cs="Segoe UI"/>
              </w:rPr>
            </w:pPr>
            <w:r w:rsidRPr="008A0812">
              <w:rPr>
                <w:rFonts w:ascii="Arial" w:hAnsi="Arial" w:cs="Arial"/>
              </w:rPr>
              <w:t> </w:t>
            </w:r>
          </w:p>
        </w:tc>
        <w:tc>
          <w:tcPr>
            <w:tcW w:w="901" w:type="dxa"/>
            <w:tcBorders>
              <w:top w:val="single" w:sz="6" w:space="0" w:color="auto"/>
              <w:left w:val="nil"/>
              <w:bottom w:val="single" w:sz="6" w:space="0" w:color="auto"/>
              <w:right w:val="single" w:sz="6" w:space="0" w:color="auto"/>
            </w:tcBorders>
            <w:shd w:val="clear" w:color="auto" w:fill="BFBFBF"/>
            <w:vAlign w:val="center"/>
            <w:hideMark/>
          </w:tcPr>
          <w:p w14:paraId="768F119A" w14:textId="7C3B4AA0"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Units</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69A32905" w14:textId="41F8BB89"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 1</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33698A32" w14:textId="588C36B2"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 2N</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72E770C9" w14:textId="1B6045B8"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 2S</w:t>
            </w:r>
          </w:p>
        </w:tc>
        <w:tc>
          <w:tcPr>
            <w:tcW w:w="1503" w:type="dxa"/>
            <w:tcBorders>
              <w:top w:val="single" w:sz="6" w:space="0" w:color="auto"/>
              <w:left w:val="nil"/>
              <w:bottom w:val="single" w:sz="6" w:space="0" w:color="auto"/>
              <w:right w:val="single" w:sz="6" w:space="0" w:color="auto"/>
            </w:tcBorders>
            <w:shd w:val="clear" w:color="auto" w:fill="BFBFBF"/>
            <w:vAlign w:val="center"/>
            <w:hideMark/>
          </w:tcPr>
          <w:p w14:paraId="33DEB9F1" w14:textId="503D15F2"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NRC</w:t>
            </w:r>
          </w:p>
        </w:tc>
      </w:tr>
      <w:tr w:rsidR="00CA47AA" w:rsidRPr="008A0812" w14:paraId="34B733E5" w14:textId="77777777" w:rsidTr="00CA47AA">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712EBC8C" w14:textId="4699532B"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b/>
                <w:bCs/>
              </w:rPr>
              <w:t xml:space="preserve">Firm RAS Capacity </w:t>
            </w:r>
            <w:r w:rsidRPr="008A0812">
              <w:rPr>
                <w:rFonts w:asciiTheme="majorHAnsi" w:hAnsiTheme="majorHAnsi" w:cs="Segoe UI"/>
                <w:b/>
                <w:bCs/>
                <w:vertAlign w:val="superscript"/>
              </w:rPr>
              <w:t>(1)</w:t>
            </w:r>
          </w:p>
        </w:tc>
        <w:tc>
          <w:tcPr>
            <w:tcW w:w="901" w:type="dxa"/>
            <w:tcBorders>
              <w:top w:val="nil"/>
              <w:left w:val="nil"/>
              <w:bottom w:val="single" w:sz="6" w:space="0" w:color="auto"/>
              <w:right w:val="single" w:sz="6" w:space="0" w:color="auto"/>
            </w:tcBorders>
            <w:shd w:val="clear" w:color="auto" w:fill="auto"/>
            <w:vAlign w:val="center"/>
            <w:hideMark/>
          </w:tcPr>
          <w:p w14:paraId="29044006" w14:textId="09AAD0CB"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i/>
                <w:iCs/>
              </w:rPr>
              <w:t>mgd</w:t>
            </w:r>
          </w:p>
        </w:tc>
        <w:tc>
          <w:tcPr>
            <w:tcW w:w="1503" w:type="dxa"/>
            <w:tcBorders>
              <w:top w:val="nil"/>
              <w:left w:val="nil"/>
              <w:bottom w:val="single" w:sz="6" w:space="0" w:color="auto"/>
              <w:right w:val="single" w:sz="6" w:space="0" w:color="auto"/>
            </w:tcBorders>
            <w:shd w:val="clear" w:color="auto" w:fill="auto"/>
            <w:vAlign w:val="center"/>
            <w:hideMark/>
          </w:tcPr>
          <w:p w14:paraId="2318E5A5" w14:textId="7E3F53E7"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rPr>
              <w:t>12</w:t>
            </w:r>
          </w:p>
        </w:tc>
        <w:tc>
          <w:tcPr>
            <w:tcW w:w="1503" w:type="dxa"/>
            <w:tcBorders>
              <w:top w:val="nil"/>
              <w:left w:val="nil"/>
              <w:bottom w:val="single" w:sz="6" w:space="0" w:color="auto"/>
              <w:right w:val="single" w:sz="6" w:space="0" w:color="auto"/>
            </w:tcBorders>
            <w:shd w:val="clear" w:color="auto" w:fill="auto"/>
            <w:vAlign w:val="center"/>
            <w:hideMark/>
          </w:tcPr>
          <w:p w14:paraId="0D2EBF04" w14:textId="161B3750"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rPr>
              <w:t>4.4</w:t>
            </w:r>
          </w:p>
        </w:tc>
        <w:tc>
          <w:tcPr>
            <w:tcW w:w="1503" w:type="dxa"/>
            <w:tcBorders>
              <w:top w:val="nil"/>
              <w:left w:val="nil"/>
              <w:bottom w:val="single" w:sz="6" w:space="0" w:color="auto"/>
              <w:right w:val="single" w:sz="6" w:space="0" w:color="auto"/>
            </w:tcBorders>
            <w:shd w:val="clear" w:color="auto" w:fill="auto"/>
            <w:vAlign w:val="center"/>
            <w:hideMark/>
          </w:tcPr>
          <w:p w14:paraId="5562A849" w14:textId="575F5D03"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rPr>
              <w:t>4.2</w:t>
            </w:r>
          </w:p>
        </w:tc>
        <w:tc>
          <w:tcPr>
            <w:tcW w:w="1503" w:type="dxa"/>
            <w:tcBorders>
              <w:top w:val="nil"/>
              <w:left w:val="nil"/>
              <w:bottom w:val="single" w:sz="6" w:space="0" w:color="auto"/>
              <w:right w:val="single" w:sz="6" w:space="0" w:color="auto"/>
            </w:tcBorders>
            <w:shd w:val="clear" w:color="auto" w:fill="auto"/>
            <w:vAlign w:val="center"/>
            <w:hideMark/>
          </w:tcPr>
          <w:p w14:paraId="44DEDC53" w14:textId="527FCF9D"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rPr>
              <w:t>3.6</w:t>
            </w:r>
          </w:p>
        </w:tc>
      </w:tr>
      <w:tr w:rsidR="003B504B" w:rsidRPr="008A0812" w14:paraId="348AEAC4" w14:textId="77777777" w:rsidTr="00CA47AA">
        <w:trPr>
          <w:trHeight w:val="285"/>
        </w:trPr>
        <w:tc>
          <w:tcPr>
            <w:tcW w:w="2418" w:type="dxa"/>
            <w:tcBorders>
              <w:top w:val="nil"/>
              <w:left w:val="single" w:sz="6" w:space="0" w:color="auto"/>
              <w:bottom w:val="single" w:sz="6" w:space="0" w:color="auto"/>
              <w:right w:val="single" w:sz="6" w:space="0" w:color="auto"/>
            </w:tcBorders>
            <w:shd w:val="clear" w:color="auto" w:fill="auto"/>
            <w:vAlign w:val="center"/>
            <w:hideMark/>
          </w:tcPr>
          <w:p w14:paraId="734EA690" w14:textId="031884E6"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b/>
                <w:bCs/>
              </w:rPr>
              <w:t xml:space="preserve">Peak Forward Flow Capacity </w:t>
            </w:r>
            <w:r w:rsidRPr="008A0812">
              <w:rPr>
                <w:rFonts w:asciiTheme="majorHAnsi" w:hAnsiTheme="majorHAnsi" w:cs="Segoe UI"/>
                <w:b/>
                <w:bCs/>
                <w:vertAlign w:val="superscript"/>
              </w:rPr>
              <w:t>(2)</w:t>
            </w:r>
          </w:p>
        </w:tc>
        <w:tc>
          <w:tcPr>
            <w:tcW w:w="901" w:type="dxa"/>
            <w:tcBorders>
              <w:top w:val="nil"/>
              <w:left w:val="nil"/>
              <w:bottom w:val="single" w:sz="6" w:space="0" w:color="auto"/>
              <w:right w:val="single" w:sz="6" w:space="0" w:color="auto"/>
            </w:tcBorders>
            <w:shd w:val="clear" w:color="auto" w:fill="auto"/>
            <w:vAlign w:val="center"/>
            <w:hideMark/>
          </w:tcPr>
          <w:p w14:paraId="2B58E25E" w14:textId="7918A82D"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i/>
                <w:iCs/>
              </w:rPr>
              <w:t>mgd</w:t>
            </w:r>
          </w:p>
        </w:tc>
        <w:tc>
          <w:tcPr>
            <w:tcW w:w="1503" w:type="dxa"/>
            <w:tcBorders>
              <w:top w:val="nil"/>
              <w:left w:val="nil"/>
              <w:bottom w:val="single" w:sz="6" w:space="0" w:color="auto"/>
              <w:right w:val="single" w:sz="6" w:space="0" w:color="auto"/>
            </w:tcBorders>
            <w:shd w:val="clear" w:color="auto" w:fill="auto"/>
            <w:vAlign w:val="center"/>
            <w:hideMark/>
          </w:tcPr>
          <w:p w14:paraId="0BF0F3F6" w14:textId="5E82BCA7"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rPr>
              <w:t>15</w:t>
            </w:r>
          </w:p>
        </w:tc>
        <w:tc>
          <w:tcPr>
            <w:tcW w:w="1503" w:type="dxa"/>
            <w:tcBorders>
              <w:top w:val="nil"/>
              <w:left w:val="nil"/>
              <w:bottom w:val="single" w:sz="6" w:space="0" w:color="auto"/>
              <w:right w:val="single" w:sz="6" w:space="0" w:color="auto"/>
            </w:tcBorders>
            <w:shd w:val="clear" w:color="auto" w:fill="auto"/>
            <w:vAlign w:val="center"/>
            <w:hideMark/>
          </w:tcPr>
          <w:p w14:paraId="35CBE69B" w14:textId="6C5C7CF8"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rPr>
              <w:t>11</w:t>
            </w:r>
          </w:p>
        </w:tc>
        <w:tc>
          <w:tcPr>
            <w:tcW w:w="1503" w:type="dxa"/>
            <w:tcBorders>
              <w:top w:val="nil"/>
              <w:left w:val="nil"/>
              <w:bottom w:val="single" w:sz="6" w:space="0" w:color="auto"/>
              <w:right w:val="single" w:sz="6" w:space="0" w:color="auto"/>
            </w:tcBorders>
            <w:shd w:val="clear" w:color="auto" w:fill="auto"/>
            <w:vAlign w:val="center"/>
            <w:hideMark/>
          </w:tcPr>
          <w:p w14:paraId="6A5A91A9" w14:textId="382AAF2E"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rPr>
              <w:t>9</w:t>
            </w:r>
          </w:p>
        </w:tc>
        <w:tc>
          <w:tcPr>
            <w:tcW w:w="1503" w:type="dxa"/>
            <w:tcBorders>
              <w:top w:val="nil"/>
              <w:left w:val="nil"/>
              <w:bottom w:val="single" w:sz="6" w:space="0" w:color="auto"/>
              <w:right w:val="single" w:sz="6" w:space="0" w:color="auto"/>
            </w:tcBorders>
            <w:shd w:val="clear" w:color="auto" w:fill="auto"/>
            <w:vAlign w:val="center"/>
            <w:hideMark/>
          </w:tcPr>
          <w:p w14:paraId="2F92F9EE" w14:textId="0C4C9228" w:rsidR="003B504B" w:rsidRPr="008A0812" w:rsidRDefault="003B504B" w:rsidP="003B504B">
            <w:pPr>
              <w:overflowPunct/>
              <w:autoSpaceDE/>
              <w:autoSpaceDN/>
              <w:adjustRightInd/>
              <w:jc w:val="center"/>
              <w:rPr>
                <w:rFonts w:asciiTheme="majorHAnsi" w:hAnsiTheme="majorHAnsi" w:cs="Segoe UI"/>
              </w:rPr>
            </w:pPr>
            <w:r w:rsidRPr="008A0812">
              <w:rPr>
                <w:rFonts w:asciiTheme="majorHAnsi" w:hAnsiTheme="majorHAnsi" w:cs="Segoe UI"/>
              </w:rPr>
              <w:t>4.5 </w:t>
            </w:r>
            <w:r w:rsidRPr="008A0812">
              <w:rPr>
                <w:rFonts w:asciiTheme="majorHAnsi" w:hAnsiTheme="majorHAnsi" w:cs="Segoe UI"/>
                <w:vertAlign w:val="superscript"/>
              </w:rPr>
              <w:t>(3)</w:t>
            </w:r>
          </w:p>
        </w:tc>
      </w:tr>
    </w:tbl>
    <w:p w14:paraId="06CE6531" w14:textId="77777777" w:rsidR="00CA47AA" w:rsidRPr="008A0812" w:rsidRDefault="00CA47AA" w:rsidP="00CA47AA">
      <w:pPr>
        <w:pStyle w:val="BodyText"/>
        <w:spacing w:after="0"/>
        <w:ind w:left="720"/>
        <w:rPr>
          <w:rFonts w:cs="Segoe UI"/>
          <w:sz w:val="20"/>
          <w:szCs w:val="20"/>
        </w:rPr>
      </w:pPr>
      <w:r w:rsidRPr="008A0812">
        <w:rPr>
          <w:rFonts w:cs="Segoe UI"/>
          <w:sz w:val="20"/>
          <w:szCs w:val="20"/>
        </w:rPr>
        <w:t>Notes:</w:t>
      </w:r>
    </w:p>
    <w:p w14:paraId="7A500389" w14:textId="77777777" w:rsidR="00CA47AA" w:rsidRPr="008A0812" w:rsidRDefault="00CA47AA" w:rsidP="00B40B9B">
      <w:pPr>
        <w:pStyle w:val="BodyText"/>
        <w:numPr>
          <w:ilvl w:val="0"/>
          <w:numId w:val="15"/>
        </w:numPr>
        <w:spacing w:before="0" w:after="0"/>
        <w:rPr>
          <w:rFonts w:cs="Segoe UI"/>
          <w:sz w:val="20"/>
          <w:szCs w:val="20"/>
        </w:rPr>
      </w:pPr>
      <w:r w:rsidRPr="008A0812">
        <w:rPr>
          <w:rFonts w:cs="Segoe UI"/>
          <w:sz w:val="20"/>
          <w:szCs w:val="20"/>
        </w:rPr>
        <w:t>RAS capacity with one pump out of service, from Carollo 2016 Capacity Update.</w:t>
      </w:r>
    </w:p>
    <w:p w14:paraId="67280B39" w14:textId="2D988CA9" w:rsidR="00CA47AA" w:rsidRPr="008A0812" w:rsidRDefault="00CA47AA" w:rsidP="00B40B9B">
      <w:pPr>
        <w:pStyle w:val="BodyText"/>
        <w:numPr>
          <w:ilvl w:val="0"/>
          <w:numId w:val="15"/>
        </w:numPr>
        <w:spacing w:before="0" w:after="0"/>
        <w:rPr>
          <w:rFonts w:cs="Segoe UI"/>
          <w:sz w:val="20"/>
          <w:szCs w:val="20"/>
        </w:rPr>
      </w:pPr>
      <w:r w:rsidRPr="008A0812">
        <w:rPr>
          <w:rFonts w:cs="Segoe UI"/>
          <w:sz w:val="20"/>
          <w:szCs w:val="20"/>
        </w:rPr>
        <w:t>Based on state point analysis using average mixed</w:t>
      </w:r>
      <w:r w:rsidR="00774116" w:rsidRPr="008A0812">
        <w:rPr>
          <w:rFonts w:cs="Segoe UI"/>
          <w:sz w:val="20"/>
          <w:szCs w:val="20"/>
        </w:rPr>
        <w:t>-</w:t>
      </w:r>
      <w:r w:rsidRPr="008A0812">
        <w:rPr>
          <w:rFonts w:cs="Segoe UI"/>
          <w:sz w:val="20"/>
          <w:szCs w:val="20"/>
        </w:rPr>
        <w:t>liquor concentrations and 95th percentile SVI from the previous table. Unit 1 assumes both clarifiers are online. </w:t>
      </w:r>
    </w:p>
    <w:p w14:paraId="748A3D41" w14:textId="02CE70FA" w:rsidR="00CA47AA" w:rsidRPr="008A0812" w:rsidRDefault="00CA47AA" w:rsidP="00B40B9B">
      <w:pPr>
        <w:pStyle w:val="BodyText"/>
        <w:numPr>
          <w:ilvl w:val="0"/>
          <w:numId w:val="15"/>
        </w:numPr>
        <w:spacing w:before="0" w:after="0"/>
        <w:rPr>
          <w:rFonts w:cs="Segoe UI"/>
          <w:sz w:val="20"/>
          <w:szCs w:val="20"/>
        </w:rPr>
      </w:pPr>
      <w:r w:rsidRPr="008A0812">
        <w:rPr>
          <w:rFonts w:cs="Segoe UI"/>
          <w:sz w:val="20"/>
          <w:szCs w:val="20"/>
        </w:rPr>
        <w:t xml:space="preserve">NRC is not intended to handle more than 3 mgd of </w:t>
      </w:r>
      <w:r w:rsidR="00880532" w:rsidRPr="008A0812">
        <w:rPr>
          <w:rFonts w:cs="Segoe UI"/>
          <w:sz w:val="20"/>
          <w:szCs w:val="20"/>
        </w:rPr>
        <w:t>raw influent</w:t>
      </w:r>
      <w:r w:rsidRPr="008A0812">
        <w:rPr>
          <w:rFonts w:cs="Segoe UI"/>
          <w:sz w:val="20"/>
          <w:szCs w:val="20"/>
        </w:rPr>
        <w:t>.</w:t>
      </w:r>
    </w:p>
    <w:p w14:paraId="3AD394F1" w14:textId="176CE12D" w:rsidR="00CA47AA" w:rsidRPr="008A0812" w:rsidRDefault="00CA47AA" w:rsidP="00CA47AA">
      <w:pPr>
        <w:pStyle w:val="BodyText"/>
      </w:pPr>
      <w:r w:rsidRPr="008A0812">
        <w:t xml:space="preserve">State point analysis estimates that the peak flow capacity of Unit 1 is at its average design capacity of 15 mgd. The peak capacities of Units 2N and 2S are only slightly higher than their design average capacity of 7.5 mgd. This is an issue because at their design flows, these units will have little additional capacity to handle wet weather flows without </w:t>
      </w:r>
      <w:r w:rsidR="00E47BA7" w:rsidRPr="008A0812">
        <w:t>losing</w:t>
      </w:r>
      <w:r w:rsidRPr="008A0812">
        <w:t xml:space="preserve"> solids. </w:t>
      </w:r>
      <w:r w:rsidR="003B504B" w:rsidRPr="008A0812">
        <w:t xml:space="preserve">The discrepancy in peak capacities between Units 2N and 2S are due to the difference in MLSS concentration as shown in </w:t>
      </w:r>
      <w:r w:rsidR="003B504B" w:rsidRPr="008A0812">
        <w:fldChar w:fldCharType="begin"/>
      </w:r>
      <w:r w:rsidR="003B504B" w:rsidRPr="008A0812">
        <w:instrText xml:space="preserve"> REF _Ref36400363 \h </w:instrText>
      </w:r>
      <w:r w:rsidR="008A0812">
        <w:instrText xml:space="preserve"> \* MERGEFORMAT </w:instrText>
      </w:r>
      <w:r w:rsidR="003B504B" w:rsidRPr="008A0812">
        <w:fldChar w:fldCharType="separate"/>
      </w:r>
      <w:r w:rsidR="00AA68F8" w:rsidRPr="008A0812">
        <w:t xml:space="preserve">Table </w:t>
      </w:r>
      <w:r w:rsidR="00AA68F8">
        <w:rPr>
          <w:noProof/>
        </w:rPr>
        <w:t>8</w:t>
      </w:r>
      <w:r w:rsidR="00AA68F8" w:rsidRPr="008A0812">
        <w:rPr>
          <w:noProof/>
        </w:rPr>
        <w:noBreakHyphen/>
      </w:r>
      <w:r w:rsidR="00AA68F8">
        <w:rPr>
          <w:noProof/>
        </w:rPr>
        <w:t>6</w:t>
      </w:r>
      <w:r w:rsidR="003B504B" w:rsidRPr="008A0812">
        <w:fldChar w:fldCharType="end"/>
      </w:r>
      <w:r w:rsidR="003B504B" w:rsidRPr="008A0812">
        <w:t xml:space="preserve">. </w:t>
      </w:r>
      <w:r w:rsidRPr="008A0812">
        <w:t xml:space="preserve">The high SVI values limit capacities for both Unit 1 and 2. The peak capacity of the NRC’s secondary clarifier is less of a concern because it is not intended to handle flows above 3 mgd. </w:t>
      </w:r>
    </w:p>
    <w:p w14:paraId="2852AE07" w14:textId="75F70628" w:rsidR="00247F73" w:rsidRPr="008A0812" w:rsidRDefault="00B76FA3" w:rsidP="00CA47AA">
      <w:pPr>
        <w:pStyle w:val="BodyText"/>
      </w:pPr>
      <w:r w:rsidRPr="008A0812">
        <w:fldChar w:fldCharType="begin"/>
      </w:r>
      <w:r w:rsidRPr="008A0812">
        <w:instrText xml:space="preserve"> REF _Ref36400423 \h </w:instrText>
      </w:r>
      <w:r w:rsidR="008A0812">
        <w:instrText xml:space="preserve"> \* MERGEFORMAT </w:instrText>
      </w:r>
      <w:r w:rsidRPr="008A0812">
        <w:fldChar w:fldCharType="separate"/>
      </w:r>
      <w:r w:rsidR="00AA68F8" w:rsidRPr="008A0812">
        <w:t xml:space="preserve">Table </w:t>
      </w:r>
      <w:r w:rsidR="00AA68F8">
        <w:rPr>
          <w:noProof/>
        </w:rPr>
        <w:t>8</w:t>
      </w:r>
      <w:r w:rsidR="00AA68F8" w:rsidRPr="008A0812">
        <w:rPr>
          <w:noProof/>
        </w:rPr>
        <w:noBreakHyphen/>
      </w:r>
      <w:r w:rsidR="00AA68F8">
        <w:rPr>
          <w:noProof/>
        </w:rPr>
        <w:t>8</w:t>
      </w:r>
      <w:r w:rsidRPr="008A0812">
        <w:fldChar w:fldCharType="end"/>
      </w:r>
      <w:r w:rsidR="007B3E37" w:rsidRPr="008A0812">
        <w:t xml:space="preserve"> shows how the capacity of the </w:t>
      </w:r>
      <w:r w:rsidR="00AF4365" w:rsidRPr="008A0812">
        <w:t xml:space="preserve">SBWRP’s </w:t>
      </w:r>
      <w:r w:rsidR="007B3E37" w:rsidRPr="008A0812">
        <w:t xml:space="preserve">secondary clarifiers could </w:t>
      </w:r>
      <w:r w:rsidR="00F53FB8" w:rsidRPr="008A0812">
        <w:t xml:space="preserve">be increased </w:t>
      </w:r>
      <w:r w:rsidR="007B3E37" w:rsidRPr="008A0812">
        <w:t>by improving</w:t>
      </w:r>
      <w:r w:rsidR="00AB0142" w:rsidRPr="008A0812">
        <w:t xml:space="preserve"> settleability</w:t>
      </w:r>
      <w:r w:rsidR="00BC28AE" w:rsidRPr="008A0812">
        <w:t xml:space="preserve"> </w:t>
      </w:r>
      <w:r w:rsidR="00574697" w:rsidRPr="008A0812">
        <w:t>and</w:t>
      </w:r>
      <w:r w:rsidR="00CA47AA" w:rsidRPr="008A0812">
        <w:t xml:space="preserve"> reduc</w:t>
      </w:r>
      <w:r w:rsidR="007B3E37" w:rsidRPr="008A0812">
        <w:t>ing</w:t>
      </w:r>
      <w:r w:rsidR="00CA47AA" w:rsidRPr="008A0812">
        <w:t xml:space="preserve"> the 95th-percentile </w:t>
      </w:r>
      <w:r w:rsidR="00AB0142" w:rsidRPr="008A0812">
        <w:t xml:space="preserve">SVI </w:t>
      </w:r>
      <w:r w:rsidR="00CA47AA" w:rsidRPr="008A0812">
        <w:t xml:space="preserve">to a more typical </w:t>
      </w:r>
      <w:r w:rsidR="00A5338F" w:rsidRPr="008A0812">
        <w:t xml:space="preserve">value of </w:t>
      </w:r>
      <w:r w:rsidR="00CA47AA" w:rsidRPr="008A0812">
        <w:t>200 mL/g</w:t>
      </w:r>
      <w:r w:rsidR="007B3E37" w:rsidRPr="008A0812">
        <w:t>.</w:t>
      </w:r>
      <w:r w:rsidR="00414F7E" w:rsidRPr="008A0812">
        <w:t xml:space="preserve"> </w:t>
      </w:r>
      <w:r w:rsidR="00247F73" w:rsidRPr="008A0812">
        <w:t xml:space="preserve">This analysis assumes that the </w:t>
      </w:r>
      <w:r w:rsidR="00CA47AA" w:rsidRPr="008A0812">
        <w:t xml:space="preserve">MLSS concentration has </w:t>
      </w:r>
      <w:r w:rsidR="00247F73" w:rsidRPr="008A0812">
        <w:t xml:space="preserve">also </w:t>
      </w:r>
      <w:r w:rsidR="00CA47AA" w:rsidRPr="008A0812">
        <w:t xml:space="preserve">been increased to a design concentration of 3000 mg/L for all units based on what the Black &amp; Veatch modeling study </w:t>
      </w:r>
      <w:r w:rsidR="00247F73" w:rsidRPr="008A0812">
        <w:t>predicted</w:t>
      </w:r>
      <w:r w:rsidR="00CA47AA" w:rsidRPr="008A0812">
        <w:t xml:space="preserve"> would be necessary to treat </w:t>
      </w:r>
      <w:r w:rsidR="00247F73" w:rsidRPr="008A0812">
        <w:t>an</w:t>
      </w:r>
      <w:r w:rsidR="00CA47AA" w:rsidRPr="008A0812">
        <w:t xml:space="preserve"> average flow of 12 mgd in Unit 1.</w:t>
      </w:r>
    </w:p>
    <w:p w14:paraId="46453077" w14:textId="177D2983" w:rsidR="00D86452" w:rsidRPr="008A0812" w:rsidRDefault="00CA47AA" w:rsidP="00CA47AA">
      <w:pPr>
        <w:pStyle w:val="BodyText"/>
      </w:pPr>
      <w:r w:rsidRPr="008A0812">
        <w:t xml:space="preserve">For Unit 1, the improvement is considerable: state point analysis estimates the peak flow capacity would be increased </w:t>
      </w:r>
      <w:r w:rsidR="003B504B" w:rsidRPr="008A0812">
        <w:t>to 25 mgd</w:t>
      </w:r>
      <w:r w:rsidRPr="008A0812">
        <w:t xml:space="preserve">. For Unit 2, which currently has a lower SVI, improving the SVI to 200 is canceled out by the increase in MLSS concentration, resulting in no </w:t>
      </w:r>
      <w:r w:rsidR="00E00ADC" w:rsidRPr="008A0812">
        <w:t xml:space="preserve">net </w:t>
      </w:r>
      <w:r w:rsidRPr="008A0812">
        <w:t xml:space="preserve">increase in capacity. </w:t>
      </w:r>
    </w:p>
    <w:p w14:paraId="1A4154BF" w14:textId="21DEB155" w:rsidR="00CA47AA" w:rsidRPr="008A0812" w:rsidRDefault="00D86452" w:rsidP="00B76FA3">
      <w:pPr>
        <w:pStyle w:val="BodyText"/>
      </w:pPr>
      <w:r w:rsidRPr="008A0812">
        <w:t>T</w:t>
      </w:r>
      <w:r w:rsidR="00CA47AA" w:rsidRPr="008A0812">
        <w:t xml:space="preserve">his analysis assumes that the Unit 2 RAS capacity has been restored to its original design value of 4.5 mgd (3150 </w:t>
      </w:r>
      <w:r w:rsidR="008B0217" w:rsidRPr="008A0812">
        <w:t>gpm</w:t>
      </w:r>
      <w:r w:rsidR="00CA47AA" w:rsidRPr="008A0812">
        <w:t xml:space="preserve">) per train. Though it is common to size RAS pumps in nutrient removal systems for 100% of the average flow, </w:t>
      </w:r>
      <w:r w:rsidR="00101D24" w:rsidRPr="008A0812">
        <w:t>state point analysis s</w:t>
      </w:r>
      <w:r w:rsidR="00CA47AA" w:rsidRPr="008A0812">
        <w:t>uggests that increasing the capacity of the Unit 2 RAS pumps beyond 4.5 mgd does not increase secondary clarifier capacity in any scenario.</w:t>
      </w:r>
      <w:r w:rsidRPr="008A0812">
        <w:t xml:space="preserve"> </w:t>
      </w:r>
    </w:p>
    <w:p w14:paraId="1B987968" w14:textId="6C024DA3" w:rsidR="00B76FA3" w:rsidRPr="008A0812" w:rsidRDefault="00B76FA3" w:rsidP="00B76FA3">
      <w:pPr>
        <w:pStyle w:val="TableHeading"/>
      </w:pPr>
      <w:bookmarkStart w:id="509" w:name="_Ref36400423"/>
      <w:bookmarkStart w:id="510" w:name="_Toc36414097"/>
      <w:bookmarkStart w:id="511" w:name="_Toc41684785"/>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509"/>
      <w:r w:rsidRPr="008A0812">
        <w:t>: Design Secondary Clarifier Capacity with Improved SVI</w:t>
      </w:r>
      <w:bookmarkEnd w:id="510"/>
      <w:bookmarkEnd w:id="511"/>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94"/>
        <w:gridCol w:w="1079"/>
        <w:gridCol w:w="1786"/>
        <w:gridCol w:w="1786"/>
        <w:gridCol w:w="1786"/>
      </w:tblGrid>
      <w:tr w:rsidR="00CA47AA" w:rsidRPr="008A0812" w14:paraId="32DCDAE5" w14:textId="77777777" w:rsidTr="00774116">
        <w:tc>
          <w:tcPr>
            <w:tcW w:w="2894"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03C43056" w14:textId="145FB414" w:rsidR="00CA47AA" w:rsidRPr="008A0812" w:rsidRDefault="00CA47AA" w:rsidP="00CA47AA">
            <w:pPr>
              <w:overflowPunct/>
              <w:autoSpaceDE/>
              <w:autoSpaceDN/>
              <w:adjustRightInd/>
              <w:jc w:val="center"/>
              <w:rPr>
                <w:rFonts w:asciiTheme="majorHAnsi" w:hAnsiTheme="majorHAnsi" w:cs="Segoe UI"/>
              </w:rPr>
            </w:pPr>
            <w:r w:rsidRPr="008A0812">
              <w:rPr>
                <w:rFonts w:ascii="Arial" w:hAnsi="Arial" w:cs="Arial"/>
              </w:rPr>
              <w:t> </w:t>
            </w:r>
          </w:p>
        </w:tc>
        <w:tc>
          <w:tcPr>
            <w:tcW w:w="1079" w:type="dxa"/>
            <w:tcBorders>
              <w:top w:val="single" w:sz="6" w:space="0" w:color="auto"/>
              <w:left w:val="nil"/>
              <w:bottom w:val="single" w:sz="6" w:space="0" w:color="auto"/>
              <w:right w:val="single" w:sz="6" w:space="0" w:color="auto"/>
            </w:tcBorders>
            <w:shd w:val="clear" w:color="auto" w:fill="BFBFBF"/>
            <w:vAlign w:val="bottom"/>
            <w:hideMark/>
          </w:tcPr>
          <w:p w14:paraId="187F03E0" w14:textId="22FCA751"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Units</w:t>
            </w:r>
            <w:r w:rsidRPr="008A0812">
              <w:rPr>
                <w:rFonts w:ascii="Arial" w:hAnsi="Arial" w:cs="Arial"/>
                <w:b/>
                <w:bCs/>
              </w:rPr>
              <w:t> </w:t>
            </w:r>
          </w:p>
        </w:tc>
        <w:tc>
          <w:tcPr>
            <w:tcW w:w="1786" w:type="dxa"/>
            <w:tcBorders>
              <w:top w:val="single" w:sz="6" w:space="0" w:color="auto"/>
              <w:left w:val="nil"/>
              <w:bottom w:val="single" w:sz="6" w:space="0" w:color="auto"/>
              <w:right w:val="single" w:sz="6" w:space="0" w:color="auto"/>
            </w:tcBorders>
            <w:shd w:val="clear" w:color="auto" w:fill="BFBFBF"/>
            <w:vAlign w:val="bottom"/>
            <w:hideMark/>
          </w:tcPr>
          <w:p w14:paraId="5BC4576E" w14:textId="36BFCB6B"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 1</w:t>
            </w:r>
          </w:p>
        </w:tc>
        <w:tc>
          <w:tcPr>
            <w:tcW w:w="1786" w:type="dxa"/>
            <w:tcBorders>
              <w:top w:val="single" w:sz="6" w:space="0" w:color="auto"/>
              <w:left w:val="nil"/>
              <w:bottom w:val="single" w:sz="6" w:space="0" w:color="auto"/>
              <w:right w:val="single" w:sz="6" w:space="0" w:color="auto"/>
            </w:tcBorders>
            <w:shd w:val="clear" w:color="auto" w:fill="BFBFBF"/>
            <w:vAlign w:val="bottom"/>
            <w:hideMark/>
          </w:tcPr>
          <w:p w14:paraId="4F99E709" w14:textId="59D1833C" w:rsidR="006F0792" w:rsidRPr="008A0812" w:rsidRDefault="00CA47AA" w:rsidP="006F0792">
            <w:pPr>
              <w:overflowPunct/>
              <w:autoSpaceDE/>
              <w:autoSpaceDN/>
              <w:adjustRightInd/>
              <w:jc w:val="center"/>
              <w:rPr>
                <w:rFonts w:asciiTheme="majorHAnsi" w:hAnsiTheme="majorHAnsi" w:cs="Arial"/>
                <w:b/>
                <w:bCs/>
              </w:rPr>
            </w:pPr>
            <w:r w:rsidRPr="008A0812">
              <w:rPr>
                <w:rFonts w:asciiTheme="majorHAnsi" w:hAnsiTheme="majorHAnsi" w:cs="Arial"/>
                <w:b/>
                <w:bCs/>
              </w:rPr>
              <w:t>Units 2N &amp; 2S</w:t>
            </w:r>
          </w:p>
          <w:p w14:paraId="165AF380" w14:textId="4D264109" w:rsidR="00CA47AA" w:rsidRPr="008A0812" w:rsidRDefault="00CA47AA" w:rsidP="006F0792">
            <w:pPr>
              <w:overflowPunct/>
              <w:autoSpaceDE/>
              <w:autoSpaceDN/>
              <w:adjustRightInd/>
              <w:jc w:val="center"/>
              <w:rPr>
                <w:rFonts w:asciiTheme="majorHAnsi" w:hAnsiTheme="majorHAnsi" w:cs="Arial"/>
                <w:b/>
                <w:bCs/>
              </w:rPr>
            </w:pPr>
            <w:r w:rsidRPr="008A0812">
              <w:rPr>
                <w:rFonts w:asciiTheme="majorHAnsi" w:hAnsiTheme="majorHAnsi" w:cs="Arial"/>
                <w:b/>
                <w:bCs/>
              </w:rPr>
              <w:t>(each)</w:t>
            </w:r>
          </w:p>
        </w:tc>
        <w:tc>
          <w:tcPr>
            <w:tcW w:w="1786" w:type="dxa"/>
            <w:tcBorders>
              <w:top w:val="single" w:sz="6" w:space="0" w:color="auto"/>
              <w:left w:val="nil"/>
              <w:bottom w:val="single" w:sz="6" w:space="0" w:color="auto"/>
              <w:right w:val="single" w:sz="6" w:space="0" w:color="auto"/>
            </w:tcBorders>
            <w:shd w:val="clear" w:color="auto" w:fill="BFBFBF"/>
            <w:vAlign w:val="bottom"/>
            <w:hideMark/>
          </w:tcPr>
          <w:p w14:paraId="3A3C357D" w14:textId="5B51F0B6"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b/>
                <w:bCs/>
              </w:rPr>
              <w:t>Units 2N &amp; 2S (each), </w:t>
            </w:r>
            <w:r w:rsidR="00774116" w:rsidRPr="008A0812">
              <w:rPr>
                <w:rFonts w:asciiTheme="majorHAnsi" w:hAnsiTheme="majorHAnsi" w:cs="Arial"/>
                <w:b/>
                <w:bCs/>
              </w:rPr>
              <w:t>C</w:t>
            </w:r>
            <w:r w:rsidRPr="008A0812">
              <w:rPr>
                <w:rFonts w:asciiTheme="majorHAnsi" w:hAnsiTheme="majorHAnsi" w:cs="Arial"/>
                <w:b/>
                <w:bCs/>
              </w:rPr>
              <w:t xml:space="preserve">ontact </w:t>
            </w:r>
            <w:r w:rsidR="00774116" w:rsidRPr="008A0812">
              <w:rPr>
                <w:rFonts w:asciiTheme="majorHAnsi" w:hAnsiTheme="majorHAnsi" w:cs="Arial"/>
                <w:b/>
                <w:bCs/>
              </w:rPr>
              <w:t>S</w:t>
            </w:r>
            <w:r w:rsidRPr="008A0812">
              <w:rPr>
                <w:rFonts w:asciiTheme="majorHAnsi" w:hAnsiTheme="majorHAnsi" w:cs="Arial"/>
                <w:b/>
                <w:bCs/>
              </w:rPr>
              <w:t>tabilization</w:t>
            </w:r>
          </w:p>
        </w:tc>
      </w:tr>
      <w:tr w:rsidR="00CA47AA" w:rsidRPr="008A0812" w14:paraId="2FBE7E13" w14:textId="77777777" w:rsidTr="00CA47AA">
        <w:trPr>
          <w:trHeight w:val="285"/>
        </w:trPr>
        <w:tc>
          <w:tcPr>
            <w:tcW w:w="2894" w:type="dxa"/>
            <w:tcBorders>
              <w:top w:val="nil"/>
              <w:left w:val="single" w:sz="6" w:space="0" w:color="auto"/>
              <w:bottom w:val="single" w:sz="6" w:space="0" w:color="auto"/>
              <w:right w:val="single" w:sz="6" w:space="0" w:color="auto"/>
            </w:tcBorders>
            <w:shd w:val="clear" w:color="auto" w:fill="auto"/>
            <w:vAlign w:val="center"/>
            <w:hideMark/>
          </w:tcPr>
          <w:p w14:paraId="5DC65EE7" w14:textId="368C19E4" w:rsidR="00CA47AA" w:rsidRPr="008A0812" w:rsidRDefault="00CA47AA" w:rsidP="00774116">
            <w:pPr>
              <w:overflowPunct/>
              <w:autoSpaceDE/>
              <w:autoSpaceDN/>
              <w:adjustRightInd/>
              <w:jc w:val="center"/>
              <w:rPr>
                <w:rFonts w:asciiTheme="majorHAnsi" w:hAnsiTheme="majorHAnsi" w:cs="Segoe UI"/>
              </w:rPr>
            </w:pPr>
            <w:r w:rsidRPr="008A0812">
              <w:rPr>
                <w:rFonts w:asciiTheme="majorHAnsi" w:hAnsiTheme="majorHAnsi" w:cs="Arial"/>
                <w:b/>
                <w:bCs/>
              </w:rPr>
              <w:t>Design SVI</w:t>
            </w:r>
          </w:p>
        </w:tc>
        <w:tc>
          <w:tcPr>
            <w:tcW w:w="1079" w:type="dxa"/>
            <w:tcBorders>
              <w:top w:val="nil"/>
              <w:left w:val="nil"/>
              <w:bottom w:val="single" w:sz="6" w:space="0" w:color="auto"/>
              <w:right w:val="single" w:sz="6" w:space="0" w:color="auto"/>
            </w:tcBorders>
            <w:shd w:val="clear" w:color="auto" w:fill="auto"/>
            <w:vAlign w:val="center"/>
            <w:hideMark/>
          </w:tcPr>
          <w:p w14:paraId="1E33AA59" w14:textId="51AB84F9"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i/>
                <w:iCs/>
              </w:rPr>
              <w:t>mL/g</w:t>
            </w:r>
          </w:p>
        </w:tc>
        <w:tc>
          <w:tcPr>
            <w:tcW w:w="1786" w:type="dxa"/>
            <w:tcBorders>
              <w:top w:val="nil"/>
              <w:left w:val="nil"/>
              <w:bottom w:val="single" w:sz="6" w:space="0" w:color="auto"/>
              <w:right w:val="single" w:sz="6" w:space="0" w:color="auto"/>
            </w:tcBorders>
            <w:shd w:val="clear" w:color="auto" w:fill="auto"/>
            <w:vAlign w:val="center"/>
            <w:hideMark/>
          </w:tcPr>
          <w:p w14:paraId="3F1AD76C" w14:textId="76EB9305"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200</w:t>
            </w:r>
          </w:p>
        </w:tc>
        <w:tc>
          <w:tcPr>
            <w:tcW w:w="1786" w:type="dxa"/>
            <w:tcBorders>
              <w:top w:val="nil"/>
              <w:left w:val="nil"/>
              <w:bottom w:val="single" w:sz="6" w:space="0" w:color="auto"/>
              <w:right w:val="single" w:sz="6" w:space="0" w:color="auto"/>
            </w:tcBorders>
            <w:shd w:val="clear" w:color="auto" w:fill="auto"/>
            <w:vAlign w:val="center"/>
            <w:hideMark/>
          </w:tcPr>
          <w:p w14:paraId="03C721D4" w14:textId="384978FB"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200</w:t>
            </w:r>
          </w:p>
        </w:tc>
        <w:tc>
          <w:tcPr>
            <w:tcW w:w="1786" w:type="dxa"/>
            <w:tcBorders>
              <w:top w:val="nil"/>
              <w:left w:val="nil"/>
              <w:bottom w:val="single" w:sz="6" w:space="0" w:color="auto"/>
              <w:right w:val="single" w:sz="6" w:space="0" w:color="auto"/>
            </w:tcBorders>
            <w:shd w:val="clear" w:color="auto" w:fill="auto"/>
            <w:vAlign w:val="center"/>
            <w:hideMark/>
          </w:tcPr>
          <w:p w14:paraId="09698275" w14:textId="793CE993"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200</w:t>
            </w:r>
          </w:p>
        </w:tc>
      </w:tr>
      <w:tr w:rsidR="00CA47AA" w:rsidRPr="008A0812" w14:paraId="51736E4F" w14:textId="77777777" w:rsidTr="00CA47AA">
        <w:trPr>
          <w:trHeight w:val="285"/>
        </w:trPr>
        <w:tc>
          <w:tcPr>
            <w:tcW w:w="2894" w:type="dxa"/>
            <w:tcBorders>
              <w:top w:val="nil"/>
              <w:left w:val="single" w:sz="6" w:space="0" w:color="auto"/>
              <w:bottom w:val="single" w:sz="6" w:space="0" w:color="auto"/>
              <w:right w:val="single" w:sz="6" w:space="0" w:color="auto"/>
            </w:tcBorders>
            <w:shd w:val="clear" w:color="auto" w:fill="auto"/>
            <w:vAlign w:val="center"/>
            <w:hideMark/>
          </w:tcPr>
          <w:p w14:paraId="39F761E4" w14:textId="37CA0344" w:rsidR="00CA47AA" w:rsidRPr="008A0812" w:rsidRDefault="00CA47AA" w:rsidP="00774116">
            <w:pPr>
              <w:overflowPunct/>
              <w:autoSpaceDE/>
              <w:autoSpaceDN/>
              <w:adjustRightInd/>
              <w:jc w:val="center"/>
              <w:rPr>
                <w:rFonts w:asciiTheme="majorHAnsi" w:hAnsiTheme="majorHAnsi" w:cs="Segoe UI"/>
              </w:rPr>
            </w:pPr>
            <w:r w:rsidRPr="008A0812">
              <w:rPr>
                <w:rFonts w:asciiTheme="majorHAnsi" w:hAnsiTheme="majorHAnsi" w:cs="Arial"/>
                <w:b/>
                <w:bCs/>
              </w:rPr>
              <w:t>Design MLSS Concentration</w:t>
            </w:r>
          </w:p>
        </w:tc>
        <w:tc>
          <w:tcPr>
            <w:tcW w:w="1079" w:type="dxa"/>
            <w:tcBorders>
              <w:top w:val="nil"/>
              <w:left w:val="nil"/>
              <w:bottom w:val="single" w:sz="6" w:space="0" w:color="auto"/>
              <w:right w:val="single" w:sz="6" w:space="0" w:color="auto"/>
            </w:tcBorders>
            <w:shd w:val="clear" w:color="auto" w:fill="auto"/>
            <w:vAlign w:val="center"/>
            <w:hideMark/>
          </w:tcPr>
          <w:p w14:paraId="62732A23" w14:textId="3C19274A"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i/>
                <w:iCs/>
              </w:rPr>
              <w:t>mg/L</w:t>
            </w:r>
          </w:p>
        </w:tc>
        <w:tc>
          <w:tcPr>
            <w:tcW w:w="1786" w:type="dxa"/>
            <w:tcBorders>
              <w:top w:val="nil"/>
              <w:left w:val="nil"/>
              <w:bottom w:val="single" w:sz="6" w:space="0" w:color="auto"/>
              <w:right w:val="single" w:sz="6" w:space="0" w:color="auto"/>
            </w:tcBorders>
            <w:shd w:val="clear" w:color="auto" w:fill="auto"/>
            <w:vAlign w:val="center"/>
            <w:hideMark/>
          </w:tcPr>
          <w:p w14:paraId="77247766" w14:textId="46742E23"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3000</w:t>
            </w:r>
          </w:p>
        </w:tc>
        <w:tc>
          <w:tcPr>
            <w:tcW w:w="1786" w:type="dxa"/>
            <w:tcBorders>
              <w:top w:val="nil"/>
              <w:left w:val="nil"/>
              <w:bottom w:val="single" w:sz="6" w:space="0" w:color="auto"/>
              <w:right w:val="single" w:sz="6" w:space="0" w:color="auto"/>
            </w:tcBorders>
            <w:shd w:val="clear" w:color="auto" w:fill="auto"/>
            <w:vAlign w:val="center"/>
            <w:hideMark/>
          </w:tcPr>
          <w:p w14:paraId="4D057978" w14:textId="75B31769"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3000</w:t>
            </w:r>
          </w:p>
        </w:tc>
        <w:tc>
          <w:tcPr>
            <w:tcW w:w="1786" w:type="dxa"/>
            <w:tcBorders>
              <w:top w:val="nil"/>
              <w:left w:val="nil"/>
              <w:bottom w:val="single" w:sz="6" w:space="0" w:color="auto"/>
              <w:right w:val="single" w:sz="6" w:space="0" w:color="auto"/>
            </w:tcBorders>
            <w:shd w:val="clear" w:color="auto" w:fill="auto"/>
            <w:vAlign w:val="center"/>
            <w:hideMark/>
          </w:tcPr>
          <w:p w14:paraId="6611BC58" w14:textId="30D99561"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1500</w:t>
            </w:r>
          </w:p>
        </w:tc>
      </w:tr>
      <w:tr w:rsidR="00CA47AA" w:rsidRPr="008A0812" w14:paraId="15DB0BF9" w14:textId="77777777" w:rsidTr="00CA47AA">
        <w:trPr>
          <w:trHeight w:val="285"/>
        </w:trPr>
        <w:tc>
          <w:tcPr>
            <w:tcW w:w="2894" w:type="dxa"/>
            <w:tcBorders>
              <w:top w:val="nil"/>
              <w:left w:val="single" w:sz="6" w:space="0" w:color="auto"/>
              <w:bottom w:val="single" w:sz="6" w:space="0" w:color="auto"/>
              <w:right w:val="single" w:sz="6" w:space="0" w:color="auto"/>
            </w:tcBorders>
            <w:shd w:val="clear" w:color="auto" w:fill="auto"/>
            <w:vAlign w:val="center"/>
            <w:hideMark/>
          </w:tcPr>
          <w:p w14:paraId="545BAD95" w14:textId="4A24C497" w:rsidR="00CA47AA" w:rsidRPr="008A0812" w:rsidRDefault="00CA47AA" w:rsidP="00774116">
            <w:pPr>
              <w:overflowPunct/>
              <w:autoSpaceDE/>
              <w:autoSpaceDN/>
              <w:adjustRightInd/>
              <w:jc w:val="center"/>
              <w:rPr>
                <w:rFonts w:asciiTheme="majorHAnsi" w:hAnsiTheme="majorHAnsi" w:cs="Segoe UI"/>
              </w:rPr>
            </w:pPr>
            <w:r w:rsidRPr="008A0812">
              <w:rPr>
                <w:rFonts w:asciiTheme="majorHAnsi" w:hAnsiTheme="majorHAnsi" w:cs="Arial"/>
                <w:b/>
                <w:bCs/>
              </w:rPr>
              <w:t>Firm RAS Capacity</w:t>
            </w:r>
            <w:r w:rsidR="00A5338F" w:rsidRPr="008A0812">
              <w:rPr>
                <w:rFonts w:asciiTheme="majorHAnsi" w:hAnsiTheme="majorHAnsi" w:cs="Arial"/>
                <w:b/>
                <w:bCs/>
              </w:rPr>
              <w:t xml:space="preserve"> Required</w:t>
            </w:r>
          </w:p>
        </w:tc>
        <w:tc>
          <w:tcPr>
            <w:tcW w:w="1079" w:type="dxa"/>
            <w:tcBorders>
              <w:top w:val="nil"/>
              <w:left w:val="nil"/>
              <w:bottom w:val="single" w:sz="6" w:space="0" w:color="auto"/>
              <w:right w:val="single" w:sz="6" w:space="0" w:color="auto"/>
            </w:tcBorders>
            <w:shd w:val="clear" w:color="auto" w:fill="auto"/>
            <w:vAlign w:val="center"/>
            <w:hideMark/>
          </w:tcPr>
          <w:p w14:paraId="5C1F01A6" w14:textId="2C050BC3"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i/>
                <w:iCs/>
              </w:rPr>
              <w:t>mgd</w:t>
            </w:r>
          </w:p>
        </w:tc>
        <w:tc>
          <w:tcPr>
            <w:tcW w:w="1786" w:type="dxa"/>
            <w:tcBorders>
              <w:top w:val="nil"/>
              <w:left w:val="nil"/>
              <w:bottom w:val="single" w:sz="6" w:space="0" w:color="auto"/>
              <w:right w:val="single" w:sz="6" w:space="0" w:color="auto"/>
            </w:tcBorders>
            <w:shd w:val="clear" w:color="auto" w:fill="auto"/>
            <w:vAlign w:val="center"/>
            <w:hideMark/>
          </w:tcPr>
          <w:p w14:paraId="2C8F12F3" w14:textId="721AD059"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12</w:t>
            </w:r>
          </w:p>
        </w:tc>
        <w:tc>
          <w:tcPr>
            <w:tcW w:w="1786" w:type="dxa"/>
            <w:tcBorders>
              <w:top w:val="nil"/>
              <w:left w:val="nil"/>
              <w:bottom w:val="single" w:sz="6" w:space="0" w:color="auto"/>
              <w:right w:val="single" w:sz="6" w:space="0" w:color="auto"/>
            </w:tcBorders>
            <w:shd w:val="clear" w:color="auto" w:fill="auto"/>
            <w:vAlign w:val="center"/>
            <w:hideMark/>
          </w:tcPr>
          <w:p w14:paraId="07D6BF5C" w14:textId="72961C5D"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4.5</w:t>
            </w:r>
          </w:p>
        </w:tc>
        <w:tc>
          <w:tcPr>
            <w:tcW w:w="1786" w:type="dxa"/>
            <w:tcBorders>
              <w:top w:val="nil"/>
              <w:left w:val="nil"/>
              <w:bottom w:val="single" w:sz="6" w:space="0" w:color="auto"/>
              <w:right w:val="single" w:sz="6" w:space="0" w:color="auto"/>
            </w:tcBorders>
            <w:shd w:val="clear" w:color="auto" w:fill="auto"/>
            <w:vAlign w:val="center"/>
            <w:hideMark/>
          </w:tcPr>
          <w:p w14:paraId="5477E00C" w14:textId="26447026"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4.5</w:t>
            </w:r>
          </w:p>
        </w:tc>
      </w:tr>
      <w:tr w:rsidR="00CA47AA" w:rsidRPr="008A0812" w14:paraId="13434903" w14:textId="77777777" w:rsidTr="00CA47AA">
        <w:trPr>
          <w:trHeight w:val="285"/>
        </w:trPr>
        <w:tc>
          <w:tcPr>
            <w:tcW w:w="2894" w:type="dxa"/>
            <w:tcBorders>
              <w:top w:val="nil"/>
              <w:left w:val="single" w:sz="6" w:space="0" w:color="auto"/>
              <w:bottom w:val="single" w:sz="6" w:space="0" w:color="auto"/>
              <w:right w:val="single" w:sz="6" w:space="0" w:color="auto"/>
            </w:tcBorders>
            <w:shd w:val="clear" w:color="auto" w:fill="auto"/>
            <w:vAlign w:val="center"/>
            <w:hideMark/>
          </w:tcPr>
          <w:p w14:paraId="0F66FA3F" w14:textId="09CD45D5" w:rsidR="00CA47AA" w:rsidRPr="008A0812" w:rsidRDefault="00CA47AA" w:rsidP="00774116">
            <w:pPr>
              <w:overflowPunct/>
              <w:autoSpaceDE/>
              <w:autoSpaceDN/>
              <w:adjustRightInd/>
              <w:jc w:val="center"/>
              <w:rPr>
                <w:rFonts w:asciiTheme="majorHAnsi" w:hAnsiTheme="majorHAnsi" w:cs="Segoe UI"/>
              </w:rPr>
            </w:pPr>
            <w:r w:rsidRPr="008A0812">
              <w:rPr>
                <w:rFonts w:asciiTheme="majorHAnsi" w:hAnsiTheme="majorHAnsi" w:cs="Arial"/>
                <w:b/>
                <w:bCs/>
              </w:rPr>
              <w:t>Peak Forward Flow Capacity</w:t>
            </w:r>
          </w:p>
        </w:tc>
        <w:tc>
          <w:tcPr>
            <w:tcW w:w="1079" w:type="dxa"/>
            <w:tcBorders>
              <w:top w:val="nil"/>
              <w:left w:val="nil"/>
              <w:bottom w:val="single" w:sz="6" w:space="0" w:color="auto"/>
              <w:right w:val="single" w:sz="6" w:space="0" w:color="auto"/>
            </w:tcBorders>
            <w:shd w:val="clear" w:color="auto" w:fill="auto"/>
            <w:vAlign w:val="center"/>
            <w:hideMark/>
          </w:tcPr>
          <w:p w14:paraId="7C9AEB7F" w14:textId="58A1156D"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i/>
                <w:iCs/>
              </w:rPr>
              <w:t>mgd</w:t>
            </w:r>
          </w:p>
        </w:tc>
        <w:tc>
          <w:tcPr>
            <w:tcW w:w="1786" w:type="dxa"/>
            <w:tcBorders>
              <w:top w:val="nil"/>
              <w:left w:val="nil"/>
              <w:bottom w:val="single" w:sz="6" w:space="0" w:color="auto"/>
              <w:right w:val="single" w:sz="6" w:space="0" w:color="auto"/>
            </w:tcBorders>
            <w:shd w:val="clear" w:color="auto" w:fill="auto"/>
            <w:vAlign w:val="center"/>
            <w:hideMark/>
          </w:tcPr>
          <w:p w14:paraId="5E495235" w14:textId="09B7EC28"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Segoe UI"/>
              </w:rPr>
              <w:t>25</w:t>
            </w:r>
          </w:p>
        </w:tc>
        <w:tc>
          <w:tcPr>
            <w:tcW w:w="1786" w:type="dxa"/>
            <w:tcBorders>
              <w:top w:val="nil"/>
              <w:left w:val="nil"/>
              <w:bottom w:val="single" w:sz="6" w:space="0" w:color="auto"/>
              <w:right w:val="single" w:sz="6" w:space="0" w:color="auto"/>
            </w:tcBorders>
            <w:shd w:val="clear" w:color="auto" w:fill="auto"/>
            <w:vAlign w:val="center"/>
            <w:hideMark/>
          </w:tcPr>
          <w:p w14:paraId="3DE3AAD3" w14:textId="03CB1A7E"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9</w:t>
            </w:r>
          </w:p>
        </w:tc>
        <w:tc>
          <w:tcPr>
            <w:tcW w:w="1786" w:type="dxa"/>
            <w:tcBorders>
              <w:top w:val="nil"/>
              <w:left w:val="nil"/>
              <w:bottom w:val="single" w:sz="6" w:space="0" w:color="auto"/>
              <w:right w:val="single" w:sz="6" w:space="0" w:color="auto"/>
            </w:tcBorders>
            <w:shd w:val="clear" w:color="auto" w:fill="auto"/>
            <w:vAlign w:val="center"/>
            <w:hideMark/>
          </w:tcPr>
          <w:p w14:paraId="621D25E2" w14:textId="2A8F2757" w:rsidR="00CA47AA" w:rsidRPr="008A0812" w:rsidRDefault="00CA47AA" w:rsidP="00CA47AA">
            <w:pPr>
              <w:overflowPunct/>
              <w:autoSpaceDE/>
              <w:autoSpaceDN/>
              <w:adjustRightInd/>
              <w:jc w:val="center"/>
              <w:rPr>
                <w:rFonts w:asciiTheme="majorHAnsi" w:hAnsiTheme="majorHAnsi" w:cs="Segoe UI"/>
              </w:rPr>
            </w:pPr>
            <w:r w:rsidRPr="008A0812">
              <w:rPr>
                <w:rFonts w:asciiTheme="majorHAnsi" w:hAnsiTheme="majorHAnsi" w:cs="Arial"/>
              </w:rPr>
              <w:t>20</w:t>
            </w:r>
          </w:p>
        </w:tc>
      </w:tr>
    </w:tbl>
    <w:p w14:paraId="47CE8E78" w14:textId="71778A96" w:rsidR="00CA47AA" w:rsidRPr="008A0812" w:rsidRDefault="00CA47AA" w:rsidP="00CA47AA">
      <w:pPr>
        <w:pStyle w:val="BodyText"/>
      </w:pPr>
      <w:r w:rsidRPr="008A0812">
        <w:t xml:space="preserve">An additional strategy for increasing wet weather capacity of Unit 2 above 9 mgd would be to temporarily reduce the MLSS concentration during wet weather by implementing contact stabilization. To achieve this, operators would direct most or all the primary effluent to bay(s) downstream of where the RAS is introduced. This reduces the mixed liquor concentration entering the secondary clarifiers and effectively increases their capacity. The last column of </w:t>
      </w:r>
      <w:r w:rsidR="00B76FA3" w:rsidRPr="008A0812">
        <w:fldChar w:fldCharType="begin"/>
      </w:r>
      <w:r w:rsidR="00B76FA3" w:rsidRPr="008A0812">
        <w:instrText xml:space="preserve"> REF _Ref36400423 \h </w:instrText>
      </w:r>
      <w:r w:rsidR="003B504B" w:rsidRPr="008A0812">
        <w:instrText xml:space="preserve"> \* MERGEFORMAT </w:instrText>
      </w:r>
      <w:r w:rsidR="00B76FA3" w:rsidRPr="008A0812">
        <w:fldChar w:fldCharType="separate"/>
      </w:r>
      <w:r w:rsidR="00AA68F8" w:rsidRPr="008A0812">
        <w:t xml:space="preserve">Table </w:t>
      </w:r>
      <w:r w:rsidR="00AA68F8">
        <w:t>8</w:t>
      </w:r>
      <w:r w:rsidR="00AA68F8" w:rsidRPr="008A0812">
        <w:noBreakHyphen/>
      </w:r>
      <w:r w:rsidR="00AA68F8">
        <w:t>8</w:t>
      </w:r>
      <w:r w:rsidR="00B76FA3" w:rsidRPr="008A0812">
        <w:fldChar w:fldCharType="end"/>
      </w:r>
      <w:r w:rsidRPr="008A0812">
        <w:t xml:space="preserve"> shows that reducing </w:t>
      </w:r>
      <w:r w:rsidR="003B504B" w:rsidRPr="008A0812">
        <w:t>the MLSS concentration to 1,500 mg/L by this method would double the peak flow capacity of Unit 2 to 20 mgd. This could increase the SBWRP’s total peak secondary clarifier capacity to 68 mgd, including 3 mgd of treatment at NRC. Additional detailed modeling is required to confirm.</w:t>
      </w:r>
    </w:p>
    <w:p w14:paraId="1292F396" w14:textId="5A556E7D" w:rsidR="002E7758" w:rsidRPr="008A0812" w:rsidRDefault="002E7758" w:rsidP="002E7758">
      <w:pPr>
        <w:pStyle w:val="Heading2"/>
      </w:pPr>
      <w:bookmarkStart w:id="512" w:name="_Toc41680908"/>
      <w:r w:rsidRPr="008A0812">
        <w:t>Solids Handling Capacity</w:t>
      </w:r>
      <w:r w:rsidR="00964906" w:rsidRPr="008A0812">
        <w:t xml:space="preserve"> and Performance</w:t>
      </w:r>
      <w:bookmarkEnd w:id="512"/>
    </w:p>
    <w:p w14:paraId="4B35D82E" w14:textId="24650AAB" w:rsidR="0059695C" w:rsidRPr="008A0812" w:rsidRDefault="000C00DE" w:rsidP="00A44196">
      <w:pPr>
        <w:pStyle w:val="BodyText"/>
      </w:pPr>
      <w:r w:rsidRPr="008A0812">
        <w:t>Th</w:t>
      </w:r>
      <w:r w:rsidR="00964906" w:rsidRPr="008A0812">
        <w:t>is section discussed capacity and performance of the</w:t>
      </w:r>
      <w:r w:rsidRPr="008A0812">
        <w:t xml:space="preserve"> major processes in the solids handling system</w:t>
      </w:r>
      <w:r w:rsidR="0059695C" w:rsidRPr="008A0812">
        <w:t>:</w:t>
      </w:r>
    </w:p>
    <w:p w14:paraId="549CB844" w14:textId="379F3D33" w:rsidR="0059695C" w:rsidRPr="008A0812" w:rsidRDefault="004E3B65" w:rsidP="00774116">
      <w:pPr>
        <w:pStyle w:val="Bullet"/>
      </w:pPr>
      <w:r w:rsidRPr="008A0812">
        <w:t xml:space="preserve">Dissolved </w:t>
      </w:r>
      <w:r w:rsidR="00774116" w:rsidRPr="008A0812">
        <w:t>A</w:t>
      </w:r>
      <w:r w:rsidRPr="008A0812">
        <w:t xml:space="preserve">ir </w:t>
      </w:r>
      <w:r w:rsidR="00774116" w:rsidRPr="008A0812">
        <w:t>F</w:t>
      </w:r>
      <w:r w:rsidRPr="008A0812">
        <w:t xml:space="preserve">loatation </w:t>
      </w:r>
      <w:r w:rsidR="00AF4365" w:rsidRPr="008A0812">
        <w:t xml:space="preserve">Thickeners </w:t>
      </w:r>
      <w:r w:rsidR="00CA6E88" w:rsidRPr="008A0812">
        <w:t>(DAFT</w:t>
      </w:r>
      <w:r w:rsidR="006D1BB4" w:rsidRPr="008A0812">
        <w:t>s</w:t>
      </w:r>
      <w:r w:rsidR="00CA6E88" w:rsidRPr="008A0812">
        <w:t>)</w:t>
      </w:r>
    </w:p>
    <w:p w14:paraId="774933DE" w14:textId="75216448" w:rsidR="00CA6E88" w:rsidRPr="008A0812" w:rsidRDefault="00CA6E88" w:rsidP="00774116">
      <w:pPr>
        <w:pStyle w:val="Bullet"/>
      </w:pPr>
      <w:r w:rsidRPr="008A0812">
        <w:t xml:space="preserve">Anaerobic </w:t>
      </w:r>
      <w:r w:rsidR="00774116" w:rsidRPr="008A0812">
        <w:t>D</w:t>
      </w:r>
      <w:r w:rsidR="00945243" w:rsidRPr="008A0812">
        <w:t>igesters</w:t>
      </w:r>
    </w:p>
    <w:p w14:paraId="527081EE" w14:textId="5442E769" w:rsidR="00CA6E88" w:rsidRPr="008A0812" w:rsidRDefault="00945243" w:rsidP="00774116">
      <w:pPr>
        <w:pStyle w:val="Bullet"/>
      </w:pPr>
      <w:r w:rsidRPr="008A0812">
        <w:t xml:space="preserve">Centrifuge and </w:t>
      </w:r>
      <w:r w:rsidR="00774116" w:rsidRPr="008A0812">
        <w:t>B</w:t>
      </w:r>
      <w:r w:rsidRPr="008A0812">
        <w:t xml:space="preserve">elt </w:t>
      </w:r>
      <w:r w:rsidR="00774116" w:rsidRPr="008A0812">
        <w:t>F</w:t>
      </w:r>
      <w:r w:rsidRPr="008A0812">
        <w:t xml:space="preserve">ilter </w:t>
      </w:r>
      <w:r w:rsidR="00774116" w:rsidRPr="008A0812">
        <w:t>P</w:t>
      </w:r>
      <w:r w:rsidRPr="008A0812">
        <w:t xml:space="preserve">ress (BFP) </w:t>
      </w:r>
      <w:r w:rsidR="00774116" w:rsidRPr="008A0812">
        <w:t>D</w:t>
      </w:r>
      <w:r w:rsidRPr="008A0812">
        <w:t>ewatering</w:t>
      </w:r>
    </w:p>
    <w:p w14:paraId="51CFDC92" w14:textId="72E596C0" w:rsidR="00C42D7C" w:rsidRPr="008A0812" w:rsidRDefault="001F5F2C" w:rsidP="001F5F2C">
      <w:r w:rsidRPr="008A0812">
        <w:t xml:space="preserve">The DAFT are used to remove water from the secondary solids to reduce the hydraulic loading to </w:t>
      </w:r>
      <w:r w:rsidR="00EC55FD" w:rsidRPr="008A0812">
        <w:t>digesters.</w:t>
      </w:r>
      <w:r w:rsidR="00FE1703" w:rsidRPr="008A0812">
        <w:t xml:space="preserve"> There</w:t>
      </w:r>
      <w:r w:rsidR="00AC478A" w:rsidRPr="008A0812">
        <w:t xml:space="preserve"> are </w:t>
      </w:r>
      <w:r w:rsidR="00491106" w:rsidRPr="008A0812">
        <w:t xml:space="preserve">four </w:t>
      </w:r>
      <w:r w:rsidR="00B15D4E" w:rsidRPr="008A0812">
        <w:t>DAFT units</w:t>
      </w:r>
      <w:r w:rsidR="00491106" w:rsidRPr="008A0812">
        <w:t xml:space="preserve">, three of which are functional. </w:t>
      </w:r>
      <w:r w:rsidR="000037F5" w:rsidRPr="008A0812">
        <w:t>Typically</w:t>
      </w:r>
      <w:r w:rsidR="00DB34D1" w:rsidRPr="008A0812">
        <w:t>,</w:t>
      </w:r>
      <w:r w:rsidR="00491106" w:rsidRPr="008A0812">
        <w:t xml:space="preserve"> only one </w:t>
      </w:r>
      <w:r w:rsidR="000037F5" w:rsidRPr="008A0812">
        <w:t>DAFT</w:t>
      </w:r>
      <w:r w:rsidR="0078234A" w:rsidRPr="008A0812">
        <w:t xml:space="preserve"> </w:t>
      </w:r>
      <w:r w:rsidR="00491106" w:rsidRPr="008A0812">
        <w:t xml:space="preserve">is </w:t>
      </w:r>
      <w:r w:rsidR="000037F5" w:rsidRPr="008A0812">
        <w:t>in operation</w:t>
      </w:r>
      <w:r w:rsidR="00491106" w:rsidRPr="008A0812">
        <w:t>. Occasionally</w:t>
      </w:r>
      <w:r w:rsidR="00AF4365" w:rsidRPr="008A0812">
        <w:t>,</w:t>
      </w:r>
      <w:r w:rsidR="00491106" w:rsidRPr="008A0812">
        <w:t xml:space="preserve"> two DAF</w:t>
      </w:r>
      <w:r w:rsidR="000037F5" w:rsidRPr="008A0812">
        <w:t>T</w:t>
      </w:r>
      <w:r w:rsidR="0078234A" w:rsidRPr="008A0812">
        <w:t xml:space="preserve"> units </w:t>
      </w:r>
      <w:r w:rsidR="00491106" w:rsidRPr="008A0812">
        <w:t>are in service for transitioning from one to another</w:t>
      </w:r>
      <w:r w:rsidR="00AC478A" w:rsidRPr="008A0812">
        <w:t xml:space="preserve">. </w:t>
      </w:r>
      <w:r w:rsidR="00491106" w:rsidRPr="008A0812">
        <w:t>DAF</w:t>
      </w:r>
      <w:r w:rsidR="000037F5" w:rsidRPr="008A0812">
        <w:t>T</w:t>
      </w:r>
      <w:r w:rsidR="00491106" w:rsidRPr="008A0812">
        <w:t xml:space="preserve"> 4 is the primary unit in service, </w:t>
      </w:r>
      <w:r w:rsidR="00ED000F" w:rsidRPr="008A0812">
        <w:t>and</w:t>
      </w:r>
      <w:r w:rsidR="00491106" w:rsidRPr="008A0812">
        <w:t xml:space="preserve"> DAF 1 and DAF</w:t>
      </w:r>
      <w:r w:rsidR="00ED000F" w:rsidRPr="008A0812">
        <w:t xml:space="preserve"> 2</w:t>
      </w:r>
      <w:r w:rsidR="00491106" w:rsidRPr="008A0812">
        <w:t xml:space="preserve"> are rotated into service.</w:t>
      </w:r>
      <w:r w:rsidR="00AC478A" w:rsidRPr="008A0812">
        <w:t xml:space="preserve"> </w:t>
      </w:r>
      <w:r w:rsidR="00B76FA3" w:rsidRPr="008A0812">
        <w:fldChar w:fldCharType="begin"/>
      </w:r>
      <w:r w:rsidR="00B76FA3" w:rsidRPr="008A0812">
        <w:instrText xml:space="preserve"> REF _Ref36400489 \h </w:instrText>
      </w:r>
      <w:r w:rsidR="008A0812">
        <w:instrText xml:space="preserve"> \* MERGEFORMAT </w:instrText>
      </w:r>
      <w:r w:rsidR="00B76FA3" w:rsidRPr="008A0812">
        <w:fldChar w:fldCharType="separate"/>
      </w:r>
      <w:r w:rsidR="00AA68F8" w:rsidRPr="008A0812">
        <w:t xml:space="preserve">Table </w:t>
      </w:r>
      <w:r w:rsidR="00AA68F8">
        <w:rPr>
          <w:noProof/>
        </w:rPr>
        <w:t>8</w:t>
      </w:r>
      <w:r w:rsidR="00AA68F8" w:rsidRPr="008A0812">
        <w:rPr>
          <w:noProof/>
        </w:rPr>
        <w:noBreakHyphen/>
      </w:r>
      <w:r w:rsidR="00AA68F8">
        <w:rPr>
          <w:noProof/>
        </w:rPr>
        <w:t>9</w:t>
      </w:r>
      <w:r w:rsidR="00B76FA3" w:rsidRPr="008A0812">
        <w:fldChar w:fldCharType="end"/>
      </w:r>
      <w:r w:rsidR="00B76FA3" w:rsidRPr="008A0812">
        <w:t xml:space="preserve"> </w:t>
      </w:r>
      <w:r w:rsidR="00AC478A" w:rsidRPr="008A0812">
        <w:t>presents a summary of DAF</w:t>
      </w:r>
      <w:r w:rsidR="000037F5" w:rsidRPr="008A0812">
        <w:t>T</w:t>
      </w:r>
      <w:r w:rsidR="00AC478A" w:rsidRPr="008A0812">
        <w:t xml:space="preserve"> performance.</w:t>
      </w:r>
      <w:r w:rsidR="005D1BE3" w:rsidRPr="008A0812">
        <w:t xml:space="preserve"> The </w:t>
      </w:r>
      <w:r w:rsidR="001343D6" w:rsidRPr="008A0812">
        <w:t xml:space="preserve">average loading rate is slightly higher than the 1995 design of </w:t>
      </w:r>
      <w:r w:rsidR="00C84063" w:rsidRPr="008A0812">
        <w:t>24</w:t>
      </w:r>
      <w:r w:rsidR="001343D6" w:rsidRPr="008A0812">
        <w:t xml:space="preserve"> </w:t>
      </w:r>
      <w:r w:rsidR="004F639F" w:rsidRPr="008A0812">
        <w:t>lb</w:t>
      </w:r>
      <w:r w:rsidR="00774116" w:rsidRPr="008A0812">
        <w:t>s.</w:t>
      </w:r>
      <w:r w:rsidR="004F639F" w:rsidRPr="008A0812">
        <w:t>/day/sf</w:t>
      </w:r>
      <w:r w:rsidR="001343D6" w:rsidRPr="008A0812">
        <w:t xml:space="preserve">, but </w:t>
      </w:r>
      <w:r w:rsidR="004F639F" w:rsidRPr="008A0812">
        <w:t xml:space="preserve">less than the industry-standard loading rate of </w:t>
      </w:r>
      <w:r w:rsidR="00C84063" w:rsidRPr="008A0812">
        <w:t>48</w:t>
      </w:r>
      <w:r w:rsidR="004F639F" w:rsidRPr="008A0812">
        <w:t xml:space="preserve"> lb</w:t>
      </w:r>
      <w:r w:rsidR="00774116" w:rsidRPr="008A0812">
        <w:t>s.</w:t>
      </w:r>
      <w:r w:rsidR="004F639F" w:rsidRPr="008A0812">
        <w:t>/day/sf</w:t>
      </w:r>
      <w:r w:rsidR="00115D11" w:rsidRPr="008A0812">
        <w:t xml:space="preserve">. Performance </w:t>
      </w:r>
      <w:r w:rsidR="00C84063" w:rsidRPr="008A0812">
        <w:t>of the DAFT is good</w:t>
      </w:r>
      <w:r w:rsidR="000037F5" w:rsidRPr="008A0812">
        <w:t>, with an average solids</w:t>
      </w:r>
      <w:r w:rsidR="00955B15" w:rsidRPr="008A0812">
        <w:t>-</w:t>
      </w:r>
      <w:r w:rsidR="000037F5" w:rsidRPr="008A0812">
        <w:t xml:space="preserve">capture of 99.7% and </w:t>
      </w:r>
      <w:r w:rsidR="003D41C5" w:rsidRPr="008A0812">
        <w:t>an average</w:t>
      </w:r>
      <w:r w:rsidR="006C2800" w:rsidRPr="008A0812">
        <w:t xml:space="preserve"> thickened concentration of 6.4%</w:t>
      </w:r>
      <w:r w:rsidR="00E60BC4" w:rsidRPr="008A0812">
        <w:t>.</w:t>
      </w:r>
    </w:p>
    <w:p w14:paraId="7D1555FD" w14:textId="579F9E59" w:rsidR="00B76FA3" w:rsidRPr="008A0812" w:rsidRDefault="00B76FA3" w:rsidP="00B76FA3">
      <w:pPr>
        <w:pStyle w:val="TableHeading"/>
      </w:pPr>
      <w:bookmarkStart w:id="513" w:name="_Ref36400489"/>
      <w:bookmarkStart w:id="514" w:name="_Toc36414098"/>
      <w:bookmarkStart w:id="515" w:name="_Toc41684786"/>
      <w:r w:rsidRPr="008A0812">
        <w:t xml:space="preserve">Table </w:t>
      </w:r>
      <w:r>
        <w:fldChar w:fldCharType="begin"/>
      </w:r>
      <w:r>
        <w:instrText>STYLEREF 1 \s</w:instrText>
      </w:r>
      <w:r>
        <w:fldChar w:fldCharType="separate"/>
      </w:r>
      <w:r w:rsidR="00AA68F8">
        <w:rPr>
          <w:noProof/>
        </w:rPr>
        <w:t>8</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513"/>
      <w:r w:rsidRPr="008A0812">
        <w:t>: DAFT Performance</w:t>
      </w:r>
      <w:bookmarkEnd w:id="514"/>
      <w:bookmarkEnd w:id="515"/>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22"/>
        <w:gridCol w:w="2947"/>
        <w:gridCol w:w="2162"/>
      </w:tblGrid>
      <w:tr w:rsidR="00C42D7C" w:rsidRPr="008A0812" w14:paraId="4A988CE5" w14:textId="77777777" w:rsidTr="00774116">
        <w:tc>
          <w:tcPr>
            <w:tcW w:w="4222" w:type="dxa"/>
            <w:tcBorders>
              <w:top w:val="single" w:sz="6" w:space="0" w:color="auto"/>
              <w:left w:val="single" w:sz="6" w:space="0" w:color="auto"/>
              <w:bottom w:val="single" w:sz="4" w:space="0" w:color="auto"/>
              <w:right w:val="single" w:sz="6" w:space="0" w:color="auto"/>
            </w:tcBorders>
            <w:shd w:val="clear" w:color="auto" w:fill="BFBFBF"/>
            <w:vAlign w:val="center"/>
            <w:hideMark/>
          </w:tcPr>
          <w:p w14:paraId="2F4BF45B" w14:textId="77777777" w:rsidR="00C42D7C" w:rsidRPr="008A0812" w:rsidRDefault="00C42D7C" w:rsidP="00C42D7C">
            <w:pPr>
              <w:overflowPunct/>
              <w:autoSpaceDE/>
              <w:autoSpaceDN/>
              <w:adjustRightInd/>
              <w:jc w:val="center"/>
              <w:rPr>
                <w:rFonts w:asciiTheme="majorHAnsi" w:hAnsiTheme="majorHAnsi" w:cs="Segoe UI"/>
              </w:rPr>
            </w:pPr>
            <w:r w:rsidRPr="008A0812">
              <w:rPr>
                <w:rFonts w:ascii="Arial" w:hAnsi="Arial" w:cs="Arial"/>
              </w:rPr>
              <w:t> </w:t>
            </w:r>
          </w:p>
        </w:tc>
        <w:tc>
          <w:tcPr>
            <w:tcW w:w="2947" w:type="dxa"/>
            <w:tcBorders>
              <w:top w:val="single" w:sz="6" w:space="0" w:color="auto"/>
              <w:left w:val="nil"/>
              <w:bottom w:val="single" w:sz="4" w:space="0" w:color="auto"/>
              <w:right w:val="single" w:sz="6" w:space="0" w:color="auto"/>
            </w:tcBorders>
            <w:shd w:val="clear" w:color="auto" w:fill="BFBFBF"/>
            <w:vAlign w:val="center"/>
            <w:hideMark/>
          </w:tcPr>
          <w:p w14:paraId="0FEA0733" w14:textId="77777777" w:rsidR="00C42D7C" w:rsidRPr="008A0812" w:rsidRDefault="00C42D7C" w:rsidP="00C42D7C">
            <w:pPr>
              <w:overflowPunct/>
              <w:autoSpaceDE/>
              <w:autoSpaceDN/>
              <w:adjustRightInd/>
              <w:jc w:val="center"/>
              <w:rPr>
                <w:rFonts w:asciiTheme="majorHAnsi" w:hAnsiTheme="majorHAnsi" w:cs="Segoe UI"/>
              </w:rPr>
            </w:pPr>
            <w:r w:rsidRPr="008A0812">
              <w:rPr>
                <w:rFonts w:asciiTheme="majorHAnsi" w:hAnsiTheme="majorHAnsi" w:cs="Arial"/>
                <w:b/>
                <w:bCs/>
              </w:rPr>
              <w:t>Units</w:t>
            </w:r>
            <w:r w:rsidRPr="008A0812">
              <w:rPr>
                <w:rFonts w:ascii="Arial" w:hAnsi="Arial" w:cs="Arial"/>
                <w:b/>
                <w:bCs/>
              </w:rPr>
              <w:t> </w:t>
            </w:r>
          </w:p>
        </w:tc>
        <w:tc>
          <w:tcPr>
            <w:tcW w:w="2162" w:type="dxa"/>
            <w:tcBorders>
              <w:top w:val="single" w:sz="6" w:space="0" w:color="auto"/>
              <w:left w:val="nil"/>
              <w:bottom w:val="single" w:sz="4" w:space="0" w:color="auto"/>
              <w:right w:val="single" w:sz="6" w:space="0" w:color="auto"/>
            </w:tcBorders>
            <w:shd w:val="clear" w:color="auto" w:fill="BFBFBF"/>
            <w:vAlign w:val="center"/>
            <w:hideMark/>
          </w:tcPr>
          <w:p w14:paraId="2022F596" w14:textId="49FDB87B" w:rsidR="00C42D7C" w:rsidRPr="008A0812" w:rsidRDefault="00C42D7C" w:rsidP="00C42D7C">
            <w:pPr>
              <w:overflowPunct/>
              <w:autoSpaceDE/>
              <w:autoSpaceDN/>
              <w:adjustRightInd/>
              <w:jc w:val="center"/>
              <w:rPr>
                <w:rFonts w:asciiTheme="majorHAnsi" w:hAnsiTheme="majorHAnsi" w:cs="Segoe UI"/>
              </w:rPr>
            </w:pPr>
            <w:r w:rsidRPr="008A0812">
              <w:rPr>
                <w:rFonts w:asciiTheme="majorHAnsi" w:hAnsiTheme="majorHAnsi" w:cs="Arial"/>
                <w:b/>
                <w:bCs/>
              </w:rPr>
              <w:t>Value</w:t>
            </w:r>
          </w:p>
        </w:tc>
      </w:tr>
      <w:tr w:rsidR="00C42D7C" w:rsidRPr="008A0812" w14:paraId="6CD23FB1" w14:textId="77777777" w:rsidTr="00774116">
        <w:trPr>
          <w:trHeight w:val="285"/>
        </w:trPr>
        <w:tc>
          <w:tcPr>
            <w:tcW w:w="4222" w:type="dxa"/>
            <w:tcBorders>
              <w:top w:val="single" w:sz="4" w:space="0" w:color="auto"/>
              <w:left w:val="single" w:sz="4" w:space="0" w:color="auto"/>
              <w:bottom w:val="single" w:sz="4" w:space="0" w:color="auto"/>
              <w:right w:val="single" w:sz="4" w:space="0" w:color="auto"/>
            </w:tcBorders>
            <w:shd w:val="clear" w:color="auto" w:fill="auto"/>
            <w:hideMark/>
          </w:tcPr>
          <w:p w14:paraId="5962139E" w14:textId="17B306AF" w:rsidR="00C42D7C" w:rsidRPr="008A0812" w:rsidRDefault="00C42D7C" w:rsidP="00A44196">
            <w:pPr>
              <w:overflowPunct/>
              <w:autoSpaceDE/>
              <w:autoSpaceDN/>
              <w:adjustRightInd/>
              <w:jc w:val="center"/>
              <w:rPr>
                <w:rFonts w:asciiTheme="majorHAnsi" w:hAnsiTheme="majorHAnsi" w:cs="Segoe UI"/>
                <w:b/>
                <w:bCs/>
              </w:rPr>
            </w:pPr>
            <w:r w:rsidRPr="008A0812">
              <w:rPr>
                <w:b/>
                <w:bCs/>
              </w:rPr>
              <w:t>Average Solids Loading</w:t>
            </w:r>
          </w:p>
        </w:tc>
        <w:tc>
          <w:tcPr>
            <w:tcW w:w="2947" w:type="dxa"/>
            <w:tcBorders>
              <w:top w:val="single" w:sz="4" w:space="0" w:color="auto"/>
              <w:left w:val="single" w:sz="4" w:space="0" w:color="auto"/>
              <w:bottom w:val="single" w:sz="4" w:space="0" w:color="auto"/>
              <w:right w:val="single" w:sz="4" w:space="0" w:color="auto"/>
            </w:tcBorders>
            <w:shd w:val="clear" w:color="auto" w:fill="auto"/>
            <w:hideMark/>
          </w:tcPr>
          <w:p w14:paraId="229779DA" w14:textId="1B753B63" w:rsidR="00C42D7C" w:rsidRPr="008A0812" w:rsidRDefault="004F639F" w:rsidP="00C42D7C">
            <w:pPr>
              <w:overflowPunct/>
              <w:autoSpaceDE/>
              <w:autoSpaceDN/>
              <w:adjustRightInd/>
              <w:jc w:val="center"/>
              <w:rPr>
                <w:rFonts w:asciiTheme="majorHAnsi" w:hAnsiTheme="majorHAnsi" w:cs="Segoe UI"/>
                <w:i/>
                <w:iCs/>
              </w:rPr>
            </w:pPr>
            <w:r w:rsidRPr="008A0812">
              <w:rPr>
                <w:i/>
                <w:iCs/>
              </w:rPr>
              <w:t>pounds per day</w:t>
            </w:r>
          </w:p>
        </w:tc>
        <w:tc>
          <w:tcPr>
            <w:tcW w:w="2162" w:type="dxa"/>
            <w:tcBorders>
              <w:top w:val="single" w:sz="4" w:space="0" w:color="auto"/>
              <w:left w:val="single" w:sz="4" w:space="0" w:color="auto"/>
              <w:bottom w:val="single" w:sz="4" w:space="0" w:color="auto"/>
              <w:right w:val="single" w:sz="4" w:space="0" w:color="auto"/>
            </w:tcBorders>
            <w:shd w:val="clear" w:color="auto" w:fill="auto"/>
            <w:hideMark/>
          </w:tcPr>
          <w:p w14:paraId="282A77CA" w14:textId="622F0022" w:rsidR="00C42D7C" w:rsidRPr="008A0812" w:rsidRDefault="00C42D7C" w:rsidP="00C42D7C">
            <w:pPr>
              <w:overflowPunct/>
              <w:autoSpaceDE/>
              <w:autoSpaceDN/>
              <w:adjustRightInd/>
              <w:jc w:val="center"/>
              <w:rPr>
                <w:rFonts w:asciiTheme="majorHAnsi" w:hAnsiTheme="majorHAnsi" w:cs="Segoe UI"/>
              </w:rPr>
            </w:pPr>
            <w:r w:rsidRPr="008A0812">
              <w:t>27,360</w:t>
            </w:r>
          </w:p>
        </w:tc>
      </w:tr>
      <w:tr w:rsidR="00C42D7C" w:rsidRPr="008A0812" w14:paraId="04CE11DB" w14:textId="77777777" w:rsidTr="00774116">
        <w:trPr>
          <w:trHeight w:val="285"/>
        </w:trPr>
        <w:tc>
          <w:tcPr>
            <w:tcW w:w="4222" w:type="dxa"/>
            <w:tcBorders>
              <w:top w:val="single" w:sz="4" w:space="0" w:color="auto"/>
              <w:left w:val="single" w:sz="4" w:space="0" w:color="auto"/>
              <w:bottom w:val="single" w:sz="4" w:space="0" w:color="auto"/>
              <w:right w:val="single" w:sz="4" w:space="0" w:color="auto"/>
            </w:tcBorders>
            <w:shd w:val="clear" w:color="auto" w:fill="auto"/>
          </w:tcPr>
          <w:p w14:paraId="44DC1812" w14:textId="5993DC86" w:rsidR="00C42D7C" w:rsidRPr="008A0812" w:rsidRDefault="00C42D7C" w:rsidP="00A44196">
            <w:pPr>
              <w:overflowPunct/>
              <w:autoSpaceDE/>
              <w:autoSpaceDN/>
              <w:adjustRightInd/>
              <w:jc w:val="center"/>
              <w:rPr>
                <w:b/>
                <w:bCs/>
              </w:rPr>
            </w:pPr>
            <w:r w:rsidRPr="008A0812">
              <w:rPr>
                <w:b/>
                <w:bCs/>
              </w:rPr>
              <w:t>Average Float TS</w:t>
            </w:r>
          </w:p>
        </w:tc>
        <w:tc>
          <w:tcPr>
            <w:tcW w:w="2947" w:type="dxa"/>
            <w:tcBorders>
              <w:top w:val="single" w:sz="4" w:space="0" w:color="auto"/>
              <w:left w:val="single" w:sz="4" w:space="0" w:color="auto"/>
              <w:bottom w:val="single" w:sz="4" w:space="0" w:color="auto"/>
              <w:right w:val="single" w:sz="4" w:space="0" w:color="auto"/>
            </w:tcBorders>
            <w:shd w:val="clear" w:color="auto" w:fill="auto"/>
          </w:tcPr>
          <w:p w14:paraId="4A944F78" w14:textId="0060F5F6" w:rsidR="00C42D7C" w:rsidRPr="008A0812" w:rsidRDefault="004F639F" w:rsidP="00C42D7C">
            <w:pPr>
              <w:overflowPunct/>
              <w:autoSpaceDE/>
              <w:autoSpaceDN/>
              <w:adjustRightInd/>
              <w:jc w:val="center"/>
              <w:rPr>
                <w:i/>
                <w:iCs/>
              </w:rPr>
            </w:pPr>
            <w:r w:rsidRPr="008A0812">
              <w:rPr>
                <w:i/>
                <w:iCs/>
              </w:rPr>
              <w:t>percent</w:t>
            </w:r>
          </w:p>
        </w:tc>
        <w:tc>
          <w:tcPr>
            <w:tcW w:w="2162" w:type="dxa"/>
            <w:tcBorders>
              <w:top w:val="single" w:sz="4" w:space="0" w:color="auto"/>
              <w:left w:val="single" w:sz="4" w:space="0" w:color="auto"/>
              <w:bottom w:val="single" w:sz="4" w:space="0" w:color="auto"/>
              <w:right w:val="single" w:sz="4" w:space="0" w:color="auto"/>
            </w:tcBorders>
            <w:shd w:val="clear" w:color="auto" w:fill="auto"/>
          </w:tcPr>
          <w:p w14:paraId="36B97BC5" w14:textId="2CE812CB" w:rsidR="00C42D7C" w:rsidRPr="008A0812" w:rsidRDefault="00C42D7C" w:rsidP="00C42D7C">
            <w:pPr>
              <w:overflowPunct/>
              <w:autoSpaceDE/>
              <w:autoSpaceDN/>
              <w:adjustRightInd/>
              <w:jc w:val="center"/>
            </w:pPr>
            <w:r w:rsidRPr="008A0812">
              <w:t>6.4%</w:t>
            </w:r>
          </w:p>
        </w:tc>
      </w:tr>
      <w:tr w:rsidR="00C42D7C" w:rsidRPr="008A0812" w14:paraId="1C6FBAC1" w14:textId="77777777" w:rsidTr="00774116">
        <w:trPr>
          <w:trHeight w:val="285"/>
        </w:trPr>
        <w:tc>
          <w:tcPr>
            <w:tcW w:w="4222" w:type="dxa"/>
            <w:tcBorders>
              <w:top w:val="single" w:sz="4" w:space="0" w:color="auto"/>
              <w:left w:val="single" w:sz="4" w:space="0" w:color="auto"/>
              <w:bottom w:val="single" w:sz="4" w:space="0" w:color="auto"/>
              <w:right w:val="single" w:sz="4" w:space="0" w:color="auto"/>
            </w:tcBorders>
            <w:shd w:val="clear" w:color="auto" w:fill="auto"/>
            <w:hideMark/>
          </w:tcPr>
          <w:p w14:paraId="41A6E4CC" w14:textId="2207E493" w:rsidR="00C42D7C" w:rsidRPr="008A0812" w:rsidRDefault="00C42D7C" w:rsidP="00A44196">
            <w:pPr>
              <w:overflowPunct/>
              <w:autoSpaceDE/>
              <w:autoSpaceDN/>
              <w:adjustRightInd/>
              <w:jc w:val="center"/>
              <w:rPr>
                <w:rFonts w:asciiTheme="majorHAnsi" w:hAnsiTheme="majorHAnsi" w:cs="Segoe UI"/>
                <w:b/>
                <w:bCs/>
              </w:rPr>
            </w:pPr>
            <w:r w:rsidRPr="008A0812">
              <w:rPr>
                <w:b/>
                <w:bCs/>
              </w:rPr>
              <w:t xml:space="preserve">Average </w:t>
            </w:r>
            <w:r w:rsidR="00C31671" w:rsidRPr="008A0812">
              <w:rPr>
                <w:b/>
                <w:bCs/>
              </w:rPr>
              <w:t xml:space="preserve">Float </w:t>
            </w:r>
            <w:r w:rsidRPr="008A0812">
              <w:rPr>
                <w:b/>
                <w:bCs/>
              </w:rPr>
              <w:t>Solids Capture</w:t>
            </w:r>
          </w:p>
        </w:tc>
        <w:tc>
          <w:tcPr>
            <w:tcW w:w="2947" w:type="dxa"/>
            <w:tcBorders>
              <w:top w:val="single" w:sz="4" w:space="0" w:color="auto"/>
              <w:left w:val="single" w:sz="4" w:space="0" w:color="auto"/>
              <w:bottom w:val="single" w:sz="4" w:space="0" w:color="auto"/>
              <w:right w:val="single" w:sz="4" w:space="0" w:color="auto"/>
            </w:tcBorders>
            <w:shd w:val="clear" w:color="auto" w:fill="auto"/>
            <w:hideMark/>
          </w:tcPr>
          <w:p w14:paraId="3AA43DDA" w14:textId="221D7392" w:rsidR="00C42D7C" w:rsidRPr="008A0812" w:rsidRDefault="004F639F" w:rsidP="00C42D7C">
            <w:pPr>
              <w:overflowPunct/>
              <w:autoSpaceDE/>
              <w:autoSpaceDN/>
              <w:adjustRightInd/>
              <w:jc w:val="center"/>
              <w:rPr>
                <w:rFonts w:asciiTheme="majorHAnsi" w:hAnsiTheme="majorHAnsi" w:cs="Segoe UI"/>
                <w:i/>
                <w:iCs/>
              </w:rPr>
            </w:pPr>
            <w:r w:rsidRPr="008A0812">
              <w:rPr>
                <w:i/>
                <w:iCs/>
              </w:rPr>
              <w:t>pounds per day</w:t>
            </w:r>
          </w:p>
        </w:tc>
        <w:tc>
          <w:tcPr>
            <w:tcW w:w="2162" w:type="dxa"/>
            <w:tcBorders>
              <w:top w:val="single" w:sz="4" w:space="0" w:color="auto"/>
              <w:left w:val="single" w:sz="4" w:space="0" w:color="auto"/>
              <w:bottom w:val="single" w:sz="4" w:space="0" w:color="auto"/>
              <w:right w:val="single" w:sz="4" w:space="0" w:color="auto"/>
            </w:tcBorders>
            <w:shd w:val="clear" w:color="auto" w:fill="auto"/>
            <w:hideMark/>
          </w:tcPr>
          <w:p w14:paraId="49E5A292" w14:textId="3A57021B" w:rsidR="00C42D7C" w:rsidRPr="008A0812" w:rsidRDefault="00C42D7C" w:rsidP="00C42D7C">
            <w:pPr>
              <w:overflowPunct/>
              <w:autoSpaceDE/>
              <w:autoSpaceDN/>
              <w:adjustRightInd/>
              <w:jc w:val="center"/>
              <w:rPr>
                <w:rFonts w:asciiTheme="majorHAnsi" w:hAnsiTheme="majorHAnsi" w:cs="Segoe UI"/>
              </w:rPr>
            </w:pPr>
            <w:r w:rsidRPr="008A0812">
              <w:t>27,300</w:t>
            </w:r>
          </w:p>
        </w:tc>
      </w:tr>
      <w:tr w:rsidR="00C42D7C" w:rsidRPr="008A0812" w14:paraId="365F7255" w14:textId="77777777" w:rsidTr="00774116">
        <w:trPr>
          <w:trHeight w:val="285"/>
        </w:trPr>
        <w:tc>
          <w:tcPr>
            <w:tcW w:w="4222" w:type="dxa"/>
            <w:tcBorders>
              <w:top w:val="single" w:sz="4" w:space="0" w:color="auto"/>
              <w:left w:val="single" w:sz="4" w:space="0" w:color="auto"/>
              <w:bottom w:val="single" w:sz="4" w:space="0" w:color="auto"/>
              <w:right w:val="single" w:sz="4" w:space="0" w:color="auto"/>
            </w:tcBorders>
            <w:shd w:val="clear" w:color="auto" w:fill="auto"/>
            <w:hideMark/>
          </w:tcPr>
          <w:p w14:paraId="055C4B98" w14:textId="0731CDF1" w:rsidR="00C42D7C" w:rsidRPr="008A0812" w:rsidRDefault="00C42D7C" w:rsidP="00A44196">
            <w:pPr>
              <w:overflowPunct/>
              <w:autoSpaceDE/>
              <w:autoSpaceDN/>
              <w:adjustRightInd/>
              <w:jc w:val="center"/>
              <w:rPr>
                <w:rFonts w:asciiTheme="majorHAnsi" w:hAnsiTheme="majorHAnsi" w:cs="Segoe UI"/>
                <w:b/>
                <w:bCs/>
              </w:rPr>
            </w:pPr>
            <w:r w:rsidRPr="008A0812">
              <w:rPr>
                <w:b/>
                <w:bCs/>
              </w:rPr>
              <w:t>Average Solids Capture Rate</w:t>
            </w:r>
          </w:p>
        </w:tc>
        <w:tc>
          <w:tcPr>
            <w:tcW w:w="2947" w:type="dxa"/>
            <w:tcBorders>
              <w:top w:val="single" w:sz="4" w:space="0" w:color="auto"/>
              <w:left w:val="single" w:sz="4" w:space="0" w:color="auto"/>
              <w:bottom w:val="single" w:sz="4" w:space="0" w:color="auto"/>
              <w:right w:val="single" w:sz="4" w:space="0" w:color="auto"/>
            </w:tcBorders>
            <w:shd w:val="clear" w:color="auto" w:fill="auto"/>
            <w:hideMark/>
          </w:tcPr>
          <w:p w14:paraId="40CCB2A7" w14:textId="76EDFB24" w:rsidR="00C42D7C" w:rsidRPr="008A0812" w:rsidRDefault="004F639F" w:rsidP="00C42D7C">
            <w:pPr>
              <w:overflowPunct/>
              <w:autoSpaceDE/>
              <w:autoSpaceDN/>
              <w:adjustRightInd/>
              <w:jc w:val="center"/>
              <w:rPr>
                <w:rFonts w:asciiTheme="majorHAnsi" w:hAnsiTheme="majorHAnsi" w:cs="Segoe UI"/>
                <w:i/>
                <w:iCs/>
              </w:rPr>
            </w:pPr>
            <w:r w:rsidRPr="008A0812">
              <w:rPr>
                <w:i/>
                <w:iCs/>
              </w:rPr>
              <w:t>percent</w:t>
            </w:r>
          </w:p>
        </w:tc>
        <w:tc>
          <w:tcPr>
            <w:tcW w:w="2162" w:type="dxa"/>
            <w:tcBorders>
              <w:top w:val="single" w:sz="4" w:space="0" w:color="auto"/>
              <w:left w:val="single" w:sz="4" w:space="0" w:color="auto"/>
              <w:bottom w:val="single" w:sz="4" w:space="0" w:color="auto"/>
              <w:right w:val="single" w:sz="4" w:space="0" w:color="auto"/>
            </w:tcBorders>
            <w:shd w:val="clear" w:color="auto" w:fill="auto"/>
            <w:hideMark/>
          </w:tcPr>
          <w:p w14:paraId="07EE7F7F" w14:textId="6A54DACD" w:rsidR="00C42D7C" w:rsidRPr="008A0812" w:rsidRDefault="00C42D7C" w:rsidP="00C42D7C">
            <w:pPr>
              <w:overflowPunct/>
              <w:autoSpaceDE/>
              <w:autoSpaceDN/>
              <w:adjustRightInd/>
              <w:jc w:val="center"/>
              <w:rPr>
                <w:rFonts w:asciiTheme="majorHAnsi" w:hAnsiTheme="majorHAnsi" w:cs="Segoe UI"/>
              </w:rPr>
            </w:pPr>
            <w:r w:rsidRPr="008A0812">
              <w:t>99.7%</w:t>
            </w:r>
          </w:p>
        </w:tc>
      </w:tr>
      <w:tr w:rsidR="00C42D7C" w:rsidRPr="008A0812" w14:paraId="3069F46D" w14:textId="77777777" w:rsidTr="00774116">
        <w:trPr>
          <w:trHeight w:val="285"/>
        </w:trPr>
        <w:tc>
          <w:tcPr>
            <w:tcW w:w="4222" w:type="dxa"/>
            <w:tcBorders>
              <w:top w:val="single" w:sz="4" w:space="0" w:color="auto"/>
              <w:left w:val="single" w:sz="4" w:space="0" w:color="auto"/>
              <w:bottom w:val="single" w:sz="4" w:space="0" w:color="auto"/>
              <w:right w:val="single" w:sz="4" w:space="0" w:color="auto"/>
            </w:tcBorders>
            <w:shd w:val="clear" w:color="auto" w:fill="auto"/>
          </w:tcPr>
          <w:p w14:paraId="712A609C" w14:textId="1CB64648" w:rsidR="00C42D7C" w:rsidRPr="008A0812" w:rsidRDefault="00C42D7C" w:rsidP="00A44196">
            <w:pPr>
              <w:overflowPunct/>
              <w:autoSpaceDE/>
              <w:autoSpaceDN/>
              <w:adjustRightInd/>
              <w:jc w:val="center"/>
              <w:rPr>
                <w:rFonts w:asciiTheme="majorHAnsi" w:hAnsiTheme="majorHAnsi" w:cs="Arial"/>
                <w:b/>
                <w:bCs/>
              </w:rPr>
            </w:pPr>
            <w:r w:rsidRPr="008A0812">
              <w:rPr>
                <w:b/>
                <w:bCs/>
              </w:rPr>
              <w:t>Average Surface Loading Rate</w:t>
            </w:r>
          </w:p>
        </w:tc>
        <w:tc>
          <w:tcPr>
            <w:tcW w:w="2947" w:type="dxa"/>
            <w:tcBorders>
              <w:top w:val="single" w:sz="4" w:space="0" w:color="auto"/>
              <w:left w:val="single" w:sz="4" w:space="0" w:color="auto"/>
              <w:bottom w:val="single" w:sz="4" w:space="0" w:color="auto"/>
              <w:right w:val="single" w:sz="4" w:space="0" w:color="auto"/>
            </w:tcBorders>
            <w:shd w:val="clear" w:color="auto" w:fill="auto"/>
          </w:tcPr>
          <w:p w14:paraId="01C946CC" w14:textId="642B4C06" w:rsidR="00C42D7C" w:rsidRPr="008A0812" w:rsidRDefault="004F639F" w:rsidP="00C42D7C">
            <w:pPr>
              <w:overflowPunct/>
              <w:autoSpaceDE/>
              <w:autoSpaceDN/>
              <w:adjustRightInd/>
              <w:jc w:val="center"/>
              <w:rPr>
                <w:i/>
                <w:iCs/>
              </w:rPr>
            </w:pPr>
            <w:r w:rsidRPr="008A0812">
              <w:rPr>
                <w:i/>
                <w:iCs/>
              </w:rPr>
              <w:t>pounds per day per square foot</w:t>
            </w:r>
          </w:p>
        </w:tc>
        <w:tc>
          <w:tcPr>
            <w:tcW w:w="2162" w:type="dxa"/>
            <w:tcBorders>
              <w:top w:val="single" w:sz="4" w:space="0" w:color="auto"/>
              <w:left w:val="single" w:sz="4" w:space="0" w:color="auto"/>
              <w:bottom w:val="single" w:sz="4" w:space="0" w:color="auto"/>
              <w:right w:val="single" w:sz="4" w:space="0" w:color="auto"/>
            </w:tcBorders>
            <w:shd w:val="clear" w:color="auto" w:fill="auto"/>
          </w:tcPr>
          <w:p w14:paraId="21ADB8FB" w14:textId="7EA54B84" w:rsidR="00C42D7C" w:rsidRPr="008A0812" w:rsidRDefault="00C42D7C" w:rsidP="00C42D7C">
            <w:pPr>
              <w:overflowPunct/>
              <w:autoSpaceDE/>
              <w:autoSpaceDN/>
              <w:adjustRightInd/>
              <w:jc w:val="center"/>
            </w:pPr>
            <w:r w:rsidRPr="008A0812">
              <w:t>28</w:t>
            </w:r>
          </w:p>
        </w:tc>
      </w:tr>
    </w:tbl>
    <w:p w14:paraId="1814C892" w14:textId="1BB00FEA" w:rsidR="00E7659C" w:rsidRPr="008A0812" w:rsidRDefault="00FF0F83" w:rsidP="00B76FA3">
      <w:pPr>
        <w:pStyle w:val="BodyText"/>
      </w:pPr>
      <w:r w:rsidRPr="008A0812">
        <w:t xml:space="preserve">Primary and thickened secondary solids are </w:t>
      </w:r>
      <w:r w:rsidR="006631A6" w:rsidRPr="008A0812">
        <w:t xml:space="preserve">conditioned in three anaerobic digesters (a fourth digester is currently out of service). </w:t>
      </w:r>
      <w:r w:rsidR="00FA1C21" w:rsidRPr="008A0812">
        <w:t>A key measure of digester capacity is hydraulic residence time</w:t>
      </w:r>
      <w:r w:rsidR="00594B7A" w:rsidRPr="008A0812">
        <w:t xml:space="preserve"> (HRT)</w:t>
      </w:r>
      <w:r w:rsidR="0016395B" w:rsidRPr="008A0812">
        <w:t xml:space="preserve">, which is summarized in </w:t>
      </w:r>
      <w:r w:rsidR="00B76FA3" w:rsidRPr="008A0812">
        <w:fldChar w:fldCharType="begin"/>
      </w:r>
      <w:r w:rsidR="00B76FA3" w:rsidRPr="008A0812">
        <w:instrText xml:space="preserve"> REF _Ref36400608 \h </w:instrText>
      </w:r>
      <w:r w:rsidR="008A0812">
        <w:instrText xml:space="preserve"> \* MERGEFORMAT </w:instrText>
      </w:r>
      <w:r w:rsidR="00B76FA3" w:rsidRPr="008A0812">
        <w:fldChar w:fldCharType="separate"/>
      </w:r>
      <w:r w:rsidR="00AA68F8" w:rsidRPr="008A0812">
        <w:t xml:space="preserve">Figure </w:t>
      </w:r>
      <w:r w:rsidR="00AA68F8">
        <w:rPr>
          <w:noProof/>
        </w:rPr>
        <w:t>8</w:t>
      </w:r>
      <w:r w:rsidR="00AA68F8">
        <w:rPr>
          <w:noProof/>
        </w:rPr>
        <w:noBreakHyphen/>
        <w:t>1</w:t>
      </w:r>
      <w:r w:rsidR="00B76FA3" w:rsidRPr="008A0812">
        <w:fldChar w:fldCharType="end"/>
      </w:r>
      <w:r w:rsidR="0016395B" w:rsidRPr="008A0812">
        <w:t>, below.</w:t>
      </w:r>
      <w:r w:rsidR="00217E42" w:rsidRPr="008A0812">
        <w:t xml:space="preserve"> In order to meet </w:t>
      </w:r>
      <w:r w:rsidR="001D6D3A" w:rsidRPr="008A0812">
        <w:t>the pathogen reduction requirements of the Part 503 Biosolids Rule</w:t>
      </w:r>
      <w:r w:rsidR="00774116" w:rsidRPr="008A0812">
        <w:t>,</w:t>
      </w:r>
      <w:r w:rsidR="00594B7A" w:rsidRPr="008A0812">
        <w:t xml:space="preserve"> a 15-day residence time is required. 15 days is also a practical minimum residence time to maintain stable operations. </w:t>
      </w:r>
      <w:r w:rsidR="00463B24" w:rsidRPr="008A0812">
        <w:t xml:space="preserve">The top line in </w:t>
      </w:r>
      <w:r w:rsidR="00B76FA3" w:rsidRPr="008A0812">
        <w:fldChar w:fldCharType="begin"/>
      </w:r>
      <w:r w:rsidR="00B76FA3" w:rsidRPr="008A0812">
        <w:instrText xml:space="preserve"> REF _Ref36400608 \h </w:instrText>
      </w:r>
      <w:r w:rsidR="008A0812">
        <w:instrText xml:space="preserve"> \* MERGEFORMAT </w:instrText>
      </w:r>
      <w:r w:rsidR="00B76FA3" w:rsidRPr="008A0812">
        <w:fldChar w:fldCharType="separate"/>
      </w:r>
      <w:r w:rsidR="00AA68F8" w:rsidRPr="008A0812">
        <w:t xml:space="preserve">Figure </w:t>
      </w:r>
      <w:r w:rsidR="00AA68F8">
        <w:rPr>
          <w:noProof/>
        </w:rPr>
        <w:t>8</w:t>
      </w:r>
      <w:r w:rsidR="00AA68F8">
        <w:rPr>
          <w:noProof/>
        </w:rPr>
        <w:noBreakHyphen/>
        <w:t>1</w:t>
      </w:r>
      <w:r w:rsidR="00B76FA3" w:rsidRPr="008A0812">
        <w:fldChar w:fldCharType="end"/>
      </w:r>
      <w:r w:rsidR="00594B7A" w:rsidRPr="008A0812">
        <w:t xml:space="preserve"> shows that </w:t>
      </w:r>
      <w:r w:rsidR="000D6A51" w:rsidRPr="008A0812">
        <w:t xml:space="preserve">three digesters </w:t>
      </w:r>
      <w:r w:rsidR="00750864" w:rsidRPr="008A0812">
        <w:t>were</w:t>
      </w:r>
      <w:r w:rsidR="000D6A51" w:rsidRPr="008A0812">
        <w:t xml:space="preserve"> required to stay above </w:t>
      </w:r>
      <w:r w:rsidR="00750864" w:rsidRPr="008A0812">
        <w:t xml:space="preserve">the 15-day minimum HRT based on loadings over the last several years. </w:t>
      </w:r>
      <w:r w:rsidR="00463B24" w:rsidRPr="008A0812">
        <w:t>The bottom line shows the HRT with</w:t>
      </w:r>
      <w:r w:rsidR="00B65F7D" w:rsidRPr="008A0812">
        <w:t xml:space="preserve"> just two digesters, </w:t>
      </w:r>
      <w:r w:rsidR="00463B24" w:rsidRPr="008A0812">
        <w:t>which</w:t>
      </w:r>
      <w:r w:rsidR="00B65F7D" w:rsidRPr="008A0812">
        <w:t xml:space="preserve"> would have dipped below 15-days for an extended period. </w:t>
      </w:r>
    </w:p>
    <w:p w14:paraId="3E5AA897" w14:textId="720444B2" w:rsidR="00B76FA3" w:rsidRPr="008A0812" w:rsidRDefault="00B76FA3" w:rsidP="00AF40CB">
      <w:pPr>
        <w:pStyle w:val="FigureHeading"/>
      </w:pPr>
      <w:bookmarkStart w:id="516" w:name="_Ref36400608"/>
      <w:bookmarkStart w:id="517" w:name="_Toc36414099"/>
      <w:bookmarkStart w:id="518" w:name="_Toc41684711"/>
      <w:r w:rsidRPr="008A0812">
        <w:t xml:space="preserve">Figure </w:t>
      </w:r>
      <w:fldSimple w:instr=" STYLEREF 1 \s ">
        <w:r w:rsidR="00AA68F8">
          <w:rPr>
            <w:noProof/>
          </w:rPr>
          <w:t>8</w:t>
        </w:r>
      </w:fldSimple>
      <w:r w:rsidR="00B233D1">
        <w:noBreakHyphen/>
      </w:r>
      <w:fldSimple w:instr=" SEQ Figure \* ARABIC \s 1 ">
        <w:r w:rsidR="00AA68F8">
          <w:rPr>
            <w:noProof/>
          </w:rPr>
          <w:t>1</w:t>
        </w:r>
      </w:fldSimple>
      <w:bookmarkEnd w:id="516"/>
      <w:r w:rsidRPr="008A0812">
        <w:t>: Digester Hydraulic Retention Time (30-day average)</w:t>
      </w:r>
      <w:bookmarkEnd w:id="517"/>
      <w:bookmarkEnd w:id="518"/>
    </w:p>
    <w:p w14:paraId="04520C91" w14:textId="77777777" w:rsidR="00955B15" w:rsidRPr="008A0812" w:rsidRDefault="004D730B" w:rsidP="00955B15">
      <w:pPr>
        <w:pStyle w:val="BodyText"/>
        <w:jc w:val="center"/>
      </w:pPr>
      <w:r>
        <w:rPr>
          <w:noProof/>
        </w:rPr>
        <w:drawing>
          <wp:inline distT="0" distB="0" distL="0" distR="0" wp14:anchorId="54DB335D" wp14:editId="2B05D34E">
            <wp:extent cx="5499101" cy="3670300"/>
            <wp:effectExtent l="0" t="0" r="6350" b="6350"/>
            <wp:docPr id="1732598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98">
                      <a:extLst>
                        <a:ext uri="{28A0092B-C50C-407E-A947-70E740481C1C}">
                          <a14:useLocalDpi xmlns:a14="http://schemas.microsoft.com/office/drawing/2010/main" val="0"/>
                        </a:ext>
                      </a:extLst>
                    </a:blip>
                    <a:stretch>
                      <a:fillRect/>
                    </a:stretch>
                  </pic:blipFill>
                  <pic:spPr>
                    <a:xfrm>
                      <a:off x="0" y="0"/>
                      <a:ext cx="5499101" cy="3670300"/>
                    </a:xfrm>
                    <a:prstGeom prst="rect">
                      <a:avLst/>
                    </a:prstGeom>
                  </pic:spPr>
                </pic:pic>
              </a:graphicData>
            </a:graphic>
          </wp:inline>
        </w:drawing>
      </w:r>
    </w:p>
    <w:p w14:paraId="1A98F49F" w14:textId="7C4EBC4D" w:rsidR="00292632" w:rsidRPr="008A0812" w:rsidRDefault="00EE40F9">
      <w:pPr>
        <w:pStyle w:val="BodyText"/>
      </w:pPr>
      <w:r w:rsidRPr="008A0812">
        <w:t xml:space="preserve">The middle line in </w:t>
      </w:r>
      <w:r w:rsidR="00B76FA3" w:rsidRPr="008A0812">
        <w:fldChar w:fldCharType="begin"/>
      </w:r>
      <w:r w:rsidR="00B76FA3" w:rsidRPr="008A0812">
        <w:instrText xml:space="preserve"> REF _Ref36400608 \h </w:instrText>
      </w:r>
      <w:r w:rsidR="008A0812">
        <w:instrText xml:space="preserve"> \* MERGEFORMAT </w:instrText>
      </w:r>
      <w:r w:rsidR="00B76FA3" w:rsidRPr="008A0812">
        <w:fldChar w:fldCharType="separate"/>
      </w:r>
      <w:r w:rsidR="00AA68F8" w:rsidRPr="008A0812">
        <w:t xml:space="preserve">Figure </w:t>
      </w:r>
      <w:r w:rsidR="00AA68F8">
        <w:rPr>
          <w:noProof/>
        </w:rPr>
        <w:t>8</w:t>
      </w:r>
      <w:r w:rsidR="00AA68F8">
        <w:rPr>
          <w:noProof/>
        </w:rPr>
        <w:noBreakHyphen/>
        <w:t>1</w:t>
      </w:r>
      <w:r w:rsidR="00B76FA3" w:rsidRPr="008A0812">
        <w:fldChar w:fldCharType="end"/>
      </w:r>
      <w:r w:rsidRPr="008A0812">
        <w:t xml:space="preserve"> shows the projected HRT </w:t>
      </w:r>
      <w:r w:rsidR="005977ED" w:rsidRPr="008A0812">
        <w:t xml:space="preserve">with two digesters </w:t>
      </w:r>
      <w:r w:rsidRPr="008A0812">
        <w:t xml:space="preserve">when </w:t>
      </w:r>
      <w:r w:rsidR="005977ED" w:rsidRPr="008A0812">
        <w:t>EVWD departs. The solids load has been decreased proportionally to EVWD’s flow</w:t>
      </w:r>
      <w:r w:rsidRPr="008A0812">
        <w:t>. An additional 10-percent load has been added back to account for the potential additional solids load from chemically-enhanced primary treatment, which is discussed a</w:t>
      </w:r>
      <w:r w:rsidR="00E06A14" w:rsidRPr="008A0812">
        <w:t>s a</w:t>
      </w:r>
      <w:r w:rsidRPr="008A0812">
        <w:t xml:space="preserve"> possible upgrade option in Section 10.</w:t>
      </w:r>
      <w:r w:rsidR="00C51210" w:rsidRPr="008A0812">
        <w:t xml:space="preserve"> Under this scenario, two digesters are sufficient to maintain a 15-day HRT, which would provide an opportunity for the SBMWD to perform rehabilitation and upgrade work on the digesters. </w:t>
      </w:r>
      <w:r w:rsidR="00292632" w:rsidRPr="008A0812">
        <w:t>This is discussed further in Section 10.</w:t>
      </w:r>
    </w:p>
    <w:p w14:paraId="4C0177BB" w14:textId="454096F8" w:rsidR="000926F4" w:rsidRPr="008A0812" w:rsidRDefault="0051767D">
      <w:pPr>
        <w:pStyle w:val="BodyText"/>
      </w:pPr>
      <w:r w:rsidRPr="008A0812">
        <w:t xml:space="preserve">A pair of centrifuges are available for dewatering. </w:t>
      </w:r>
      <w:r w:rsidR="00D97594" w:rsidRPr="008A0812">
        <w:t>Under normal operations</w:t>
      </w:r>
      <w:r w:rsidR="00AF4365" w:rsidRPr="008A0812">
        <w:t>,</w:t>
      </w:r>
      <w:r w:rsidRPr="008A0812">
        <w:t xml:space="preserve"> one centrifuge is run </w:t>
      </w:r>
      <w:r w:rsidR="00AA6CF8" w:rsidRPr="008A0812">
        <w:t xml:space="preserve">24 hours per day, 7 days per week. The second centrifuge </w:t>
      </w:r>
      <w:r w:rsidR="00D97594" w:rsidRPr="008A0812">
        <w:t xml:space="preserve">serves as a backup. </w:t>
      </w:r>
      <w:r w:rsidR="00FE3328" w:rsidRPr="008A0812">
        <w:t>This provides sufficient capacity for current and future conditions.</w:t>
      </w:r>
    </w:p>
    <w:p w14:paraId="59EC9470" w14:textId="77777777" w:rsidR="000926F4" w:rsidRPr="008A0812" w:rsidRDefault="000926F4">
      <w:pPr>
        <w:overflowPunct/>
        <w:autoSpaceDE/>
        <w:autoSpaceDN/>
        <w:adjustRightInd/>
        <w:textAlignment w:val="auto"/>
      </w:pPr>
      <w:r w:rsidRPr="008A0812">
        <w:br w:type="page"/>
      </w:r>
    </w:p>
    <w:p w14:paraId="611D89E9" w14:textId="77777777" w:rsidR="008254B8" w:rsidRPr="008A0812" w:rsidRDefault="008254B8">
      <w:pPr>
        <w:pStyle w:val="BodyText"/>
        <w:sectPr w:rsidR="008254B8"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327A5A1A" w14:textId="2D0A8534" w:rsidR="004776AB" w:rsidRPr="008A0812" w:rsidRDefault="004776AB" w:rsidP="000926F4">
      <w:pPr>
        <w:pStyle w:val="Heading1"/>
      </w:pPr>
      <w:bookmarkStart w:id="519" w:name="_Toc23931738"/>
      <w:bookmarkStart w:id="520" w:name="_Ref36403771"/>
      <w:bookmarkStart w:id="521" w:name="_Ref36414876"/>
      <w:bookmarkStart w:id="522" w:name="_Toc41680909"/>
      <w:r w:rsidRPr="008A0812">
        <w:t xml:space="preserve">Recommended Rehabilitation and </w:t>
      </w:r>
      <w:r w:rsidR="000F6C57" w:rsidRPr="008A0812">
        <w:t>R</w:t>
      </w:r>
      <w:r w:rsidRPr="008A0812">
        <w:t>eplacement Projects</w:t>
      </w:r>
      <w:bookmarkEnd w:id="519"/>
      <w:bookmarkEnd w:id="520"/>
      <w:bookmarkEnd w:id="521"/>
      <w:bookmarkEnd w:id="522"/>
    </w:p>
    <w:p w14:paraId="1ADF5989" w14:textId="77777777" w:rsidR="004776AB" w:rsidRPr="008A0812" w:rsidRDefault="004776AB" w:rsidP="004776AB">
      <w:pPr>
        <w:spacing w:after="120"/>
        <w:jc w:val="both"/>
      </w:pPr>
      <w:r w:rsidRPr="008A0812">
        <w:t>To organize the rehabilitation and replacement (R&amp;R) of assets for the Capital Improvement Plan (CIP), the assets were grouped by process location or type of work and organized into the time periods that correlate with SBMWD’s CIP format. R&amp;R projects included in this CIP are limited to a 20-year planning period.</w:t>
      </w:r>
    </w:p>
    <w:p w14:paraId="057A9831" w14:textId="77777777" w:rsidR="004776AB" w:rsidRPr="008A0812" w:rsidRDefault="004776AB" w:rsidP="004776AB">
      <w:pPr>
        <w:jc w:val="both"/>
      </w:pPr>
      <w:r w:rsidRPr="008A0812">
        <w:t>The time periods used for this CIP are as follows:</w:t>
      </w:r>
    </w:p>
    <w:p w14:paraId="4B2D44DA" w14:textId="77777777" w:rsidR="004776AB" w:rsidRPr="008A0812" w:rsidRDefault="004776AB" w:rsidP="004776AB">
      <w:pPr>
        <w:jc w:val="both"/>
      </w:pPr>
    </w:p>
    <w:p w14:paraId="22B729C0" w14:textId="77777777" w:rsidR="004776AB" w:rsidRPr="008A0812" w:rsidRDefault="004776AB" w:rsidP="004776AB">
      <w:pPr>
        <w:pStyle w:val="Bullet"/>
        <w:overflowPunct/>
        <w:autoSpaceDE/>
        <w:autoSpaceDN/>
        <w:adjustRightInd/>
        <w:textAlignment w:val="auto"/>
      </w:pPr>
      <w:r w:rsidRPr="008A0812">
        <w:rPr>
          <w:u w:val="single"/>
        </w:rPr>
        <w:t>Near-Term</w:t>
      </w:r>
      <w:r w:rsidRPr="008A0812">
        <w:t>: 1 to 5 years (FY 2020/2021 through FY 2024/2025)</w:t>
      </w:r>
    </w:p>
    <w:p w14:paraId="67C97A52" w14:textId="77777777" w:rsidR="004776AB" w:rsidRPr="008A0812" w:rsidRDefault="004776AB" w:rsidP="004776AB">
      <w:pPr>
        <w:pStyle w:val="BulletIndent"/>
        <w:overflowPunct/>
        <w:autoSpaceDE/>
        <w:autoSpaceDN/>
        <w:adjustRightInd/>
        <w:textAlignment w:val="auto"/>
      </w:pPr>
      <w:r w:rsidRPr="008A0812">
        <w:t>Projects in this time period were selected based on assets with 5-years or less of estimated remaining useful life with additional considerations for assets that SBMWD staff saw as a priority for replacement.</w:t>
      </w:r>
    </w:p>
    <w:p w14:paraId="3766983F" w14:textId="77777777" w:rsidR="004776AB" w:rsidRPr="008A0812" w:rsidRDefault="004776AB" w:rsidP="004776AB">
      <w:pPr>
        <w:pStyle w:val="Bullet"/>
        <w:overflowPunct/>
        <w:autoSpaceDE/>
        <w:autoSpaceDN/>
        <w:adjustRightInd/>
        <w:textAlignment w:val="auto"/>
      </w:pPr>
      <w:r w:rsidRPr="008A0812">
        <w:rPr>
          <w:u w:val="single"/>
        </w:rPr>
        <w:t>Medium-Term</w:t>
      </w:r>
      <w:r w:rsidRPr="008A0812">
        <w:t>: 6 to 10 years (FY 2025/2016 through FY 2029/2030)</w:t>
      </w:r>
    </w:p>
    <w:p w14:paraId="75EB7769" w14:textId="77777777" w:rsidR="004776AB" w:rsidRPr="008A0812" w:rsidRDefault="004776AB" w:rsidP="004776AB">
      <w:pPr>
        <w:pStyle w:val="BulletIndent"/>
        <w:overflowPunct/>
        <w:autoSpaceDE/>
        <w:autoSpaceDN/>
        <w:adjustRightInd/>
        <w:textAlignment w:val="auto"/>
      </w:pPr>
      <w:r w:rsidRPr="008A0812">
        <w:t>Projects in this period were selected based on assets with less than 10 years of estimated remaining useful life that were not addressed under the near-term projects.</w:t>
      </w:r>
    </w:p>
    <w:p w14:paraId="6550DEC5" w14:textId="77777777" w:rsidR="004776AB" w:rsidRPr="008A0812" w:rsidRDefault="004776AB" w:rsidP="004776AB">
      <w:pPr>
        <w:pStyle w:val="Bullet"/>
        <w:overflowPunct/>
        <w:autoSpaceDE/>
        <w:autoSpaceDN/>
        <w:adjustRightInd/>
        <w:textAlignment w:val="auto"/>
      </w:pPr>
      <w:r w:rsidRPr="008A0812">
        <w:rPr>
          <w:u w:val="single"/>
        </w:rPr>
        <w:t>Long-Term</w:t>
      </w:r>
      <w:r w:rsidRPr="008A0812">
        <w:t>: 11 to 20 years (FY 2030/2031 through FY 2039/2040)</w:t>
      </w:r>
    </w:p>
    <w:p w14:paraId="6A7F0D7F" w14:textId="77777777" w:rsidR="004776AB" w:rsidRPr="008A0812" w:rsidRDefault="004776AB" w:rsidP="004776AB">
      <w:pPr>
        <w:pStyle w:val="BulletIndent"/>
        <w:overflowPunct/>
        <w:autoSpaceDE/>
        <w:autoSpaceDN/>
        <w:adjustRightInd/>
        <w:textAlignment w:val="auto"/>
      </w:pPr>
      <w:r w:rsidRPr="008A0812">
        <w:t>Projects in this period were selected based on assets with less than 20 years of estimated remaining useful life that were not addressed under the near- or medium-term projects.</w:t>
      </w:r>
    </w:p>
    <w:p w14:paraId="2735AA7D" w14:textId="63614D9C" w:rsidR="004776AB" w:rsidRPr="008A0812" w:rsidRDefault="004776AB" w:rsidP="004776AB">
      <w:pPr>
        <w:spacing w:after="120"/>
        <w:jc w:val="both"/>
      </w:pPr>
      <w:r w:rsidRPr="008A0812">
        <w:t xml:space="preserve">The reference for R&amp;R projects and their costs is the Asset Register Version </w:t>
      </w:r>
      <w:r w:rsidR="00245903" w:rsidRPr="008A0812">
        <w:t>90</w:t>
      </w:r>
      <w:r w:rsidRPr="008A0812">
        <w:t>. As a part of the development of the Asset Registry, a Business Risk Exposure (BRE) analysis was used to describe and quantify the risks associated with failure of SBWRP’s assets (see Section 4: Risk Assessment). The BRE score that was assigned to each asset was used to prioritize near-term actions needed to mitigate asset risk and/or help meet level of service goals. BRE scores have three major components: Probability of failure (PoF); Consequence of failure (CoF); and redundancy. The BRE scores were used to prioritize asset R&amp;R by process location.</w:t>
      </w:r>
    </w:p>
    <w:p w14:paraId="26BBEE9A" w14:textId="151499BD" w:rsidR="000F6C57" w:rsidRPr="008A0812" w:rsidRDefault="000F6C57" w:rsidP="004776AB">
      <w:pPr>
        <w:spacing w:after="120"/>
        <w:jc w:val="both"/>
      </w:pPr>
      <w:r w:rsidRPr="008A0812">
        <w:t xml:space="preserve">The near-term R&amp;R projects were further prioritized using </w:t>
      </w:r>
      <w:r w:rsidR="00594688" w:rsidRPr="008A0812">
        <w:t>the</w:t>
      </w:r>
      <w:r w:rsidRPr="008A0812">
        <w:t xml:space="preserve"> scoring system described </w:t>
      </w:r>
      <w:r w:rsidR="001F5F2C" w:rsidRPr="008A0812">
        <w:t xml:space="preserve">in Section </w:t>
      </w:r>
      <w:r w:rsidR="001F5F2C" w:rsidRPr="008A0812">
        <w:fldChar w:fldCharType="begin"/>
      </w:r>
      <w:r w:rsidR="001F5F2C" w:rsidRPr="008A0812">
        <w:instrText xml:space="preserve"> REF _Ref36653795 \r \h </w:instrText>
      </w:r>
      <w:r w:rsidR="008A0812">
        <w:instrText xml:space="preserve"> \* MERGEFORMAT </w:instrText>
      </w:r>
      <w:r w:rsidR="001F5F2C" w:rsidRPr="008A0812">
        <w:fldChar w:fldCharType="separate"/>
      </w:r>
      <w:r w:rsidR="00AA68F8">
        <w:t>9.1</w:t>
      </w:r>
      <w:r w:rsidR="001F5F2C" w:rsidRPr="008A0812">
        <w:fldChar w:fldCharType="end"/>
      </w:r>
      <w:r w:rsidRPr="008A0812">
        <w:t xml:space="preserve">. </w:t>
      </w:r>
    </w:p>
    <w:p w14:paraId="50DA3FB9" w14:textId="45190FF3" w:rsidR="004776AB" w:rsidRPr="008A0812" w:rsidRDefault="004776AB" w:rsidP="004776AB">
      <w:pPr>
        <w:spacing w:after="120"/>
        <w:jc w:val="both"/>
      </w:pPr>
      <w:r w:rsidRPr="008A0812">
        <w:t>R&amp;R project costs include construction markups for general conditions, electrical and I&amp;C, contractor overhead and profit, and bonds and insurance. R&amp;R project costs also include allowances for design</w:t>
      </w:r>
      <w:r w:rsidR="00D15A6D">
        <w:t xml:space="preserve"> and</w:t>
      </w:r>
      <w:r w:rsidRPr="008A0812">
        <w:t xml:space="preserve"> construction management (see </w:t>
      </w:r>
      <w:r w:rsidR="00C4703C" w:rsidRPr="008A0812">
        <w:fldChar w:fldCharType="begin"/>
      </w:r>
      <w:r w:rsidR="00C4703C" w:rsidRPr="008A0812">
        <w:instrText xml:space="preserve"> REF _Ref36401765 \h </w:instrText>
      </w:r>
      <w:r w:rsidR="008A0812">
        <w:instrText xml:space="preserve"> \* MERGEFORMAT </w:instrText>
      </w:r>
      <w:r w:rsidR="00C4703C" w:rsidRPr="008A0812">
        <w:fldChar w:fldCharType="separate"/>
      </w:r>
      <w:r w:rsidR="00AA68F8" w:rsidRPr="008A0812">
        <w:t xml:space="preserve">Table </w:t>
      </w:r>
      <w:r w:rsidR="00AA68F8">
        <w:rPr>
          <w:noProof/>
        </w:rPr>
        <w:t>10</w:t>
      </w:r>
      <w:r w:rsidR="00AA68F8" w:rsidRPr="008A0812">
        <w:rPr>
          <w:noProof/>
        </w:rPr>
        <w:noBreakHyphen/>
      </w:r>
      <w:r w:rsidR="00AA68F8">
        <w:rPr>
          <w:noProof/>
        </w:rPr>
        <w:t>3</w:t>
      </w:r>
      <w:r w:rsidR="00C4703C" w:rsidRPr="008A0812">
        <w:fldChar w:fldCharType="end"/>
      </w:r>
      <w:r w:rsidRPr="008A0812">
        <w:t>). A 30% project contingency is included in all project cost estimates.</w:t>
      </w:r>
    </w:p>
    <w:p w14:paraId="5FCB6C87" w14:textId="77777777" w:rsidR="004776AB" w:rsidRPr="008A0812" w:rsidRDefault="004776AB" w:rsidP="004776AB">
      <w:pPr>
        <w:pStyle w:val="Heading2"/>
        <w:keepNext w:val="0"/>
        <w:numPr>
          <w:ilvl w:val="1"/>
          <w:numId w:val="1"/>
        </w:numPr>
        <w:tabs>
          <w:tab w:val="clear" w:pos="547"/>
          <w:tab w:val="num" w:pos="446"/>
        </w:tabs>
        <w:overflowPunct/>
        <w:autoSpaceDE/>
        <w:autoSpaceDN/>
        <w:adjustRightInd/>
        <w:ind w:left="446" w:hanging="446"/>
        <w:textAlignment w:val="auto"/>
      </w:pPr>
      <w:bookmarkStart w:id="523" w:name="_Ref36653795"/>
      <w:bookmarkStart w:id="524" w:name="_Toc41680910"/>
      <w:r w:rsidRPr="008A0812">
        <w:t>Near-Term R&amp;R Projects (1 to 5 Years)</w:t>
      </w:r>
      <w:bookmarkEnd w:id="523"/>
      <w:bookmarkEnd w:id="524"/>
    </w:p>
    <w:p w14:paraId="1A0F6C75" w14:textId="7A052E82" w:rsidR="004776AB" w:rsidRPr="008A0812" w:rsidRDefault="004776AB" w:rsidP="004776AB">
      <w:pPr>
        <w:pStyle w:val="BodyText"/>
      </w:pPr>
      <w:r w:rsidRPr="008A0812">
        <w:t xml:space="preserve">This section describes projects that are recommended in the Near-Term (FY 2020/2021 through FY 2024/2025). A summary of cost estimates for each project is provided in </w:t>
      </w:r>
      <w:r w:rsidR="00B76FA3" w:rsidRPr="008A0812">
        <w:fldChar w:fldCharType="begin"/>
      </w:r>
      <w:r w:rsidR="00B76FA3" w:rsidRPr="008A0812">
        <w:instrText xml:space="preserve"> REF _Ref36400759 \h </w:instrText>
      </w:r>
      <w:r w:rsidR="008A0812">
        <w:instrText xml:space="preserve"> \* MERGEFORMAT </w:instrText>
      </w:r>
      <w:r w:rsidR="00B76FA3" w:rsidRPr="008A0812">
        <w:fldChar w:fldCharType="separate"/>
      </w:r>
      <w:r w:rsidR="00AA68F8" w:rsidRPr="008A0812">
        <w:t xml:space="preserve">Table </w:t>
      </w:r>
      <w:r w:rsidR="00AA68F8">
        <w:rPr>
          <w:noProof/>
        </w:rPr>
        <w:t>9</w:t>
      </w:r>
      <w:r w:rsidR="00AA68F8" w:rsidRPr="008A0812">
        <w:rPr>
          <w:noProof/>
        </w:rPr>
        <w:noBreakHyphen/>
      </w:r>
      <w:r w:rsidR="00AA68F8">
        <w:rPr>
          <w:noProof/>
        </w:rPr>
        <w:t>1</w:t>
      </w:r>
      <w:r w:rsidR="00B76FA3" w:rsidRPr="008A0812">
        <w:fldChar w:fldCharType="end"/>
      </w:r>
      <w:r w:rsidRPr="008A0812">
        <w:t xml:space="preserve"> with more detailed cost sheets included at the end of this section. </w:t>
      </w:r>
    </w:p>
    <w:p w14:paraId="74E56750" w14:textId="77777777" w:rsidR="000926F4" w:rsidRPr="008A0812" w:rsidRDefault="000926F4" w:rsidP="004776AB">
      <w:pPr>
        <w:pStyle w:val="BodyText"/>
      </w:pPr>
    </w:p>
    <w:p w14:paraId="603FCCE7" w14:textId="06AA3DD4" w:rsidR="00B76FA3" w:rsidRPr="008A0812" w:rsidRDefault="00B76FA3" w:rsidP="00B76FA3">
      <w:pPr>
        <w:pStyle w:val="TableHeading"/>
      </w:pPr>
      <w:bookmarkStart w:id="525" w:name="_Ref36400759"/>
      <w:bookmarkStart w:id="526" w:name="_Toc36414100"/>
      <w:bookmarkStart w:id="527" w:name="_Toc41684787"/>
      <w:r w:rsidRPr="008A0812">
        <w:t xml:space="preserve">Table </w:t>
      </w:r>
      <w:r>
        <w:fldChar w:fldCharType="begin"/>
      </w:r>
      <w:r>
        <w:instrText>STYLEREF 1 \s</w:instrText>
      </w:r>
      <w:r>
        <w:fldChar w:fldCharType="separate"/>
      </w:r>
      <w:r w:rsidR="00AA68F8">
        <w:rPr>
          <w:noProof/>
        </w:rPr>
        <w:t>9</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525"/>
      <w:r w:rsidRPr="008A0812">
        <w:t>: Near-Term R&amp;R Projects (1 to 5 Years)</w:t>
      </w:r>
      <w:bookmarkEnd w:id="526"/>
      <w:bookmarkEnd w:id="527"/>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37"/>
        <w:gridCol w:w="4791"/>
        <w:gridCol w:w="2332"/>
      </w:tblGrid>
      <w:tr w:rsidR="004776AB" w:rsidRPr="008A0812" w14:paraId="2B8BFBCE" w14:textId="77777777" w:rsidTr="00B76FA3">
        <w:trPr>
          <w:cantSplit/>
          <w:trHeight w:hRule="exact" w:val="331"/>
          <w:tblHeader/>
        </w:trPr>
        <w:tc>
          <w:tcPr>
            <w:tcW w:w="2237"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center"/>
            <w:hideMark/>
          </w:tcPr>
          <w:p w14:paraId="62682015"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R&amp;R Project</w:t>
            </w:r>
          </w:p>
        </w:tc>
        <w:tc>
          <w:tcPr>
            <w:tcW w:w="4791" w:type="dxa"/>
            <w:tcBorders>
              <w:top w:val="single" w:sz="6" w:space="0" w:color="auto"/>
              <w:left w:val="nil"/>
              <w:bottom w:val="single" w:sz="6" w:space="0" w:color="auto"/>
              <w:right w:val="single" w:sz="6" w:space="0" w:color="auto"/>
            </w:tcBorders>
            <w:shd w:val="clear" w:color="auto" w:fill="BFBFBF"/>
            <w:vAlign w:val="center"/>
            <w:hideMark/>
          </w:tcPr>
          <w:p w14:paraId="4FA3AAA2"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Description</w:t>
            </w:r>
          </w:p>
        </w:tc>
        <w:tc>
          <w:tcPr>
            <w:tcW w:w="2332" w:type="dxa"/>
            <w:tcBorders>
              <w:top w:val="single" w:sz="6" w:space="0" w:color="auto"/>
              <w:left w:val="nil"/>
              <w:bottom w:val="single" w:sz="6" w:space="0" w:color="auto"/>
              <w:right w:val="single" w:sz="6" w:space="0" w:color="auto"/>
            </w:tcBorders>
            <w:shd w:val="clear" w:color="auto" w:fill="BFBFBF"/>
            <w:vAlign w:val="center"/>
          </w:tcPr>
          <w:p w14:paraId="54D5DCFF"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Cost</w:t>
            </w:r>
          </w:p>
        </w:tc>
      </w:tr>
      <w:tr w:rsidR="004776AB" w:rsidRPr="008A0812" w14:paraId="00CAF1FC"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447C728"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HVAC and Misc. Mechanical Asset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40B021A6" w14:textId="7B20AEB4"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HVAC and miscellaneous mechanical assets. Assets to be replaced include HVAC and various valves located in the Administration</w:t>
            </w:r>
            <w:r w:rsidR="00E24ACC" w:rsidRPr="008A0812">
              <w:rPr>
                <w:rFonts w:asciiTheme="majorHAnsi" w:hAnsiTheme="majorHAnsi" w:cs="Segoe UI"/>
              </w:rPr>
              <w:t xml:space="preserve"> and</w:t>
            </w:r>
            <w:r w:rsidR="00D06267" w:rsidRPr="008A0812">
              <w:rPr>
                <w:rFonts w:asciiTheme="majorHAnsi" w:hAnsiTheme="majorHAnsi" w:cs="Segoe UI"/>
              </w:rPr>
              <w:t xml:space="preserve"> </w:t>
            </w:r>
            <w:r w:rsidRPr="008A0812">
              <w:rPr>
                <w:rFonts w:asciiTheme="majorHAnsi" w:hAnsiTheme="majorHAnsi" w:cs="Segoe UI"/>
              </w:rPr>
              <w:t>Secondary Admin</w:t>
            </w:r>
            <w:r w:rsidR="00E24ACC" w:rsidRPr="008A0812">
              <w:rPr>
                <w:rFonts w:asciiTheme="majorHAnsi" w:hAnsiTheme="majorHAnsi" w:cs="Segoe UI"/>
              </w:rPr>
              <w:t xml:space="preserve"> Buildings</w:t>
            </w:r>
            <w:r w:rsidRPr="008A0812">
              <w:rPr>
                <w:rFonts w:asciiTheme="majorHAnsi" w:hAnsiTheme="majorHAnsi" w:cs="Segoe UI"/>
              </w:rPr>
              <w:t>, and Arrowhead Lift Station.</w:t>
            </w:r>
          </w:p>
        </w:tc>
        <w:tc>
          <w:tcPr>
            <w:tcW w:w="2332" w:type="dxa"/>
            <w:tcBorders>
              <w:top w:val="nil"/>
              <w:left w:val="nil"/>
              <w:bottom w:val="single" w:sz="6" w:space="0" w:color="auto"/>
              <w:right w:val="single" w:sz="6" w:space="0" w:color="auto"/>
            </w:tcBorders>
            <w:vAlign w:val="center"/>
          </w:tcPr>
          <w:p w14:paraId="4007A829" w14:textId="09551BD0" w:rsidR="004776AB" w:rsidRPr="008A0812" w:rsidRDefault="004776AB" w:rsidP="00DB4BB5">
            <w:pPr>
              <w:overflowPunct/>
              <w:autoSpaceDE/>
              <w:autoSpaceDN/>
              <w:adjustRightInd/>
              <w:spacing w:before="60" w:after="60"/>
              <w:jc w:val="center"/>
              <w:rPr>
                <w:rFonts w:asciiTheme="majorHAnsi" w:hAnsiTheme="majorHAnsi" w:cs="Segoe UI"/>
              </w:rPr>
            </w:pPr>
            <w:r w:rsidRPr="008A0812">
              <w:t>$</w:t>
            </w:r>
            <w:r w:rsidR="004C484C" w:rsidRPr="008A0812">
              <w:t>500,000</w:t>
            </w:r>
          </w:p>
        </w:tc>
      </w:tr>
      <w:tr w:rsidR="004776AB" w:rsidRPr="008A0812" w14:paraId="20FA7727" w14:textId="77777777" w:rsidTr="00B76FA3">
        <w:trPr>
          <w:cantSplit/>
          <w:trHeight w:val="288"/>
        </w:trPr>
        <w:tc>
          <w:tcPr>
            <w:tcW w:w="2237"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04B1EFC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Instrumentation R&amp;R</w:t>
            </w:r>
          </w:p>
        </w:tc>
        <w:tc>
          <w:tcPr>
            <w:tcW w:w="4791" w:type="dxa"/>
            <w:tcBorders>
              <w:top w:val="single" w:sz="6" w:space="0" w:color="auto"/>
              <w:left w:val="nil"/>
              <w:bottom w:val="single" w:sz="6" w:space="0" w:color="auto"/>
              <w:right w:val="single" w:sz="6" w:space="0" w:color="auto"/>
            </w:tcBorders>
            <w:shd w:val="clear" w:color="auto" w:fill="auto"/>
            <w:tcMar>
              <w:left w:w="72" w:type="dxa"/>
            </w:tcMar>
            <w:hideMark/>
          </w:tcPr>
          <w:p w14:paraId="39490EC5"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instrumentation assets. Instrumentation to be replaced include meters, sensors and probes located at the onsite wells, headworks buildings and outfall sample stations.</w:t>
            </w:r>
          </w:p>
        </w:tc>
        <w:tc>
          <w:tcPr>
            <w:tcW w:w="2332" w:type="dxa"/>
            <w:tcBorders>
              <w:top w:val="single" w:sz="6" w:space="0" w:color="auto"/>
              <w:left w:val="nil"/>
              <w:bottom w:val="single" w:sz="6" w:space="0" w:color="auto"/>
              <w:right w:val="single" w:sz="6" w:space="0" w:color="auto"/>
            </w:tcBorders>
            <w:vAlign w:val="center"/>
          </w:tcPr>
          <w:p w14:paraId="7AA4FFB5" w14:textId="77777777" w:rsidR="004776AB" w:rsidRPr="008A0812" w:rsidRDefault="004776AB" w:rsidP="00DB4BB5">
            <w:pPr>
              <w:overflowPunct/>
              <w:autoSpaceDE/>
              <w:autoSpaceDN/>
              <w:adjustRightInd/>
              <w:spacing w:before="60" w:after="60"/>
              <w:jc w:val="center"/>
            </w:pPr>
            <w:r w:rsidRPr="008A0812">
              <w:t>$</w:t>
            </w:r>
            <w:r w:rsidR="004C484C" w:rsidRPr="008A0812">
              <w:t>450,000</w:t>
            </w:r>
          </w:p>
          <w:p w14:paraId="4936CDDF" w14:textId="77777777" w:rsidR="000926F4" w:rsidRPr="008A0812" w:rsidRDefault="000926F4" w:rsidP="000926F4">
            <w:pPr>
              <w:rPr>
                <w:rFonts w:asciiTheme="majorHAnsi" w:hAnsiTheme="majorHAnsi" w:cs="Segoe UI"/>
              </w:rPr>
            </w:pPr>
          </w:p>
          <w:p w14:paraId="3FCCEAD7" w14:textId="77777777" w:rsidR="000926F4" w:rsidRPr="008A0812" w:rsidRDefault="000926F4" w:rsidP="000926F4">
            <w:pPr>
              <w:rPr>
                <w:rFonts w:asciiTheme="majorHAnsi" w:hAnsiTheme="majorHAnsi" w:cs="Segoe UI"/>
              </w:rPr>
            </w:pPr>
          </w:p>
          <w:p w14:paraId="1F12BB3D" w14:textId="77777777" w:rsidR="000926F4" w:rsidRPr="008A0812" w:rsidRDefault="000926F4" w:rsidP="000926F4">
            <w:pPr>
              <w:rPr>
                <w:rFonts w:asciiTheme="majorHAnsi" w:hAnsiTheme="majorHAnsi" w:cs="Segoe UI"/>
              </w:rPr>
            </w:pPr>
          </w:p>
          <w:p w14:paraId="42C8809A" w14:textId="335A0230" w:rsidR="000926F4" w:rsidRPr="008A0812" w:rsidRDefault="000926F4" w:rsidP="000926F4">
            <w:pPr>
              <w:rPr>
                <w:rFonts w:asciiTheme="majorHAnsi" w:hAnsiTheme="majorHAnsi" w:cs="Segoe UI"/>
              </w:rPr>
            </w:pPr>
          </w:p>
        </w:tc>
      </w:tr>
      <w:tr w:rsidR="004776AB" w:rsidRPr="008A0812" w14:paraId="011CF7ED"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3B9D987"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Liner and Containment Structure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4BDAD906" w14:textId="0C29ABFB"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liner and containment structure assets. Assets to be replaced include liners and containment structures located at the truck unloading bed, grit dewatering bed, and ferric chloride and hazardous material storage areas.</w:t>
            </w:r>
          </w:p>
        </w:tc>
        <w:tc>
          <w:tcPr>
            <w:tcW w:w="2332" w:type="dxa"/>
            <w:tcBorders>
              <w:top w:val="nil"/>
              <w:left w:val="nil"/>
              <w:bottom w:val="single" w:sz="6" w:space="0" w:color="auto"/>
              <w:right w:val="single" w:sz="6" w:space="0" w:color="auto"/>
            </w:tcBorders>
            <w:vAlign w:val="center"/>
          </w:tcPr>
          <w:p w14:paraId="25C491E0" w14:textId="35B78205" w:rsidR="004776AB" w:rsidRPr="008A0812" w:rsidRDefault="004776AB" w:rsidP="00DB4BB5">
            <w:pPr>
              <w:overflowPunct/>
              <w:autoSpaceDE/>
              <w:autoSpaceDN/>
              <w:adjustRightInd/>
              <w:spacing w:before="60" w:after="60"/>
              <w:jc w:val="center"/>
              <w:rPr>
                <w:rFonts w:asciiTheme="majorHAnsi" w:hAnsiTheme="majorHAnsi" w:cs="Segoe UI"/>
              </w:rPr>
            </w:pPr>
            <w:r w:rsidRPr="008A0812">
              <w:t>$</w:t>
            </w:r>
            <w:r w:rsidR="00E24ACC" w:rsidRPr="008A0812">
              <w:t>240,000</w:t>
            </w:r>
          </w:p>
        </w:tc>
      </w:tr>
      <w:tr w:rsidR="004776AB" w:rsidRPr="008A0812" w14:paraId="612068C6"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F5FDF64"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Solids Handling and Digester A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2C09E42F" w14:textId="15C554C8"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 xml:space="preserve">R&amp;R of aging and critical dewatering and digester assets. Assets to be replaced include various sludge handling, dewatering and odor control equipment located at the dewatering building, DAFTs, Digester A and sludge storage. </w:t>
            </w:r>
            <w:r w:rsidR="005E61E7" w:rsidRPr="008A0812">
              <w:rPr>
                <w:rFonts w:asciiTheme="majorHAnsi" w:hAnsiTheme="majorHAnsi" w:cs="Segoe UI"/>
              </w:rPr>
              <w:t>Digester A rehabilitation should take place after the completion of the Digester B replacement.</w:t>
            </w:r>
          </w:p>
        </w:tc>
        <w:tc>
          <w:tcPr>
            <w:tcW w:w="2332" w:type="dxa"/>
            <w:tcBorders>
              <w:top w:val="nil"/>
              <w:left w:val="nil"/>
              <w:bottom w:val="single" w:sz="6" w:space="0" w:color="auto"/>
              <w:right w:val="single" w:sz="6" w:space="0" w:color="auto"/>
            </w:tcBorders>
            <w:tcMar>
              <w:right w:w="720" w:type="dxa"/>
            </w:tcMar>
            <w:vAlign w:val="center"/>
          </w:tcPr>
          <w:p w14:paraId="1283B0C0" w14:textId="4E523394"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4,690,000</w:t>
            </w:r>
          </w:p>
        </w:tc>
      </w:tr>
      <w:tr w:rsidR="004776AB" w:rsidRPr="008A0812" w14:paraId="029B80D7"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360688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C &amp; D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14968212"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assets associated with Digesters C and D. Assets to be replaced include various process mechanical equipment. R&amp;R of Digesters C and D should not occur until Digester B is replaced (see Section 10).</w:t>
            </w:r>
          </w:p>
        </w:tc>
        <w:tc>
          <w:tcPr>
            <w:tcW w:w="2332" w:type="dxa"/>
            <w:tcBorders>
              <w:top w:val="nil"/>
              <w:left w:val="nil"/>
              <w:bottom w:val="single" w:sz="6" w:space="0" w:color="auto"/>
              <w:right w:val="single" w:sz="6" w:space="0" w:color="auto"/>
            </w:tcBorders>
            <w:tcMar>
              <w:right w:w="720" w:type="dxa"/>
            </w:tcMar>
            <w:vAlign w:val="center"/>
          </w:tcPr>
          <w:p w14:paraId="6D08B884" w14:textId="26EB408D"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220</w:t>
            </w:r>
            <w:r w:rsidRPr="008A0812">
              <w:t>,000</w:t>
            </w:r>
          </w:p>
        </w:tc>
      </w:tr>
      <w:tr w:rsidR="004776AB" w:rsidRPr="008A0812" w14:paraId="6BF147C3"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2AA6657" w14:textId="70AEDDC1"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Pavement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7E24CDDA" w14:textId="186414D2"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pavement throughout the treatment plant site.</w:t>
            </w:r>
            <w:r w:rsidR="00D06267" w:rsidRPr="008A0812">
              <w:rPr>
                <w:rFonts w:asciiTheme="majorHAnsi" w:hAnsiTheme="majorHAnsi" w:cs="Segoe UI"/>
              </w:rPr>
              <w:t xml:space="preserve"> This cost has been spread over a 10-year period.</w:t>
            </w:r>
          </w:p>
        </w:tc>
        <w:tc>
          <w:tcPr>
            <w:tcW w:w="2332" w:type="dxa"/>
            <w:tcBorders>
              <w:top w:val="nil"/>
              <w:left w:val="nil"/>
              <w:bottom w:val="single" w:sz="6" w:space="0" w:color="auto"/>
              <w:right w:val="single" w:sz="6" w:space="0" w:color="auto"/>
            </w:tcBorders>
            <w:tcMar>
              <w:right w:w="720" w:type="dxa"/>
            </w:tcMar>
            <w:vAlign w:val="center"/>
          </w:tcPr>
          <w:p w14:paraId="64FA2884" w14:textId="237CD9EB"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D03420" w:rsidRPr="008A0812">
              <w:t>3,640</w:t>
            </w:r>
            <w:r w:rsidRPr="008A0812">
              <w:t>,000</w:t>
            </w:r>
          </w:p>
        </w:tc>
      </w:tr>
      <w:tr w:rsidR="004776AB" w:rsidRPr="008A0812" w14:paraId="26C571CF"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25AEEB1"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Grit Removal System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1583B0AE"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assets associated with grit removal. Assets to be replaced include grit chamber assemblies and meters, aerator blowers, motors and VFDs.</w:t>
            </w:r>
          </w:p>
        </w:tc>
        <w:tc>
          <w:tcPr>
            <w:tcW w:w="2332" w:type="dxa"/>
            <w:tcBorders>
              <w:top w:val="nil"/>
              <w:left w:val="nil"/>
              <w:bottom w:val="single" w:sz="6" w:space="0" w:color="auto"/>
              <w:right w:val="single" w:sz="6" w:space="0" w:color="auto"/>
            </w:tcBorders>
            <w:tcMar>
              <w:right w:w="720" w:type="dxa"/>
            </w:tcMar>
            <w:vAlign w:val="center"/>
          </w:tcPr>
          <w:p w14:paraId="781DB569" w14:textId="39B8F54E" w:rsidR="004776AB" w:rsidRPr="008A0812" w:rsidRDefault="004776AB" w:rsidP="00DB4BB5">
            <w:pPr>
              <w:overflowPunct/>
              <w:autoSpaceDE/>
              <w:autoSpaceDN/>
              <w:adjustRightInd/>
              <w:spacing w:before="60" w:after="60"/>
              <w:jc w:val="right"/>
              <w:rPr>
                <w:rFonts w:asciiTheme="majorHAnsi" w:hAnsiTheme="majorHAnsi" w:cs="Segoe UI"/>
              </w:rPr>
            </w:pPr>
            <w:r w:rsidRPr="008A0812">
              <w:t>$2,</w:t>
            </w:r>
            <w:r w:rsidR="00E24ACC" w:rsidRPr="008A0812">
              <w:t>520</w:t>
            </w:r>
            <w:r w:rsidRPr="008A0812">
              <w:t>,000</w:t>
            </w:r>
          </w:p>
        </w:tc>
      </w:tr>
      <w:tr w:rsidR="004776AB" w:rsidRPr="008A0812" w14:paraId="732934BC"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FABE4FE"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Nitrogen Removal Carrousel R&amp;R</w:t>
            </w:r>
          </w:p>
        </w:tc>
        <w:tc>
          <w:tcPr>
            <w:tcW w:w="4791" w:type="dxa"/>
            <w:tcBorders>
              <w:top w:val="nil"/>
              <w:left w:val="nil"/>
              <w:bottom w:val="single" w:sz="6" w:space="0" w:color="auto"/>
              <w:right w:val="single" w:sz="6" w:space="0" w:color="auto"/>
            </w:tcBorders>
            <w:shd w:val="clear" w:color="auto" w:fill="auto"/>
            <w:tcMar>
              <w:left w:w="72" w:type="dxa"/>
            </w:tcMar>
            <w:hideMark/>
          </w:tcPr>
          <w:p w14:paraId="007CD977"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assets associated with the Nitrogen Removal Carrousel and North Outlet structure. Assets to be replaced include various process equipment.</w:t>
            </w:r>
          </w:p>
        </w:tc>
        <w:tc>
          <w:tcPr>
            <w:tcW w:w="2332" w:type="dxa"/>
            <w:tcBorders>
              <w:top w:val="nil"/>
              <w:left w:val="nil"/>
              <w:bottom w:val="single" w:sz="6" w:space="0" w:color="auto"/>
              <w:right w:val="single" w:sz="6" w:space="0" w:color="auto"/>
            </w:tcBorders>
            <w:tcMar>
              <w:right w:w="720" w:type="dxa"/>
            </w:tcMar>
            <w:vAlign w:val="center"/>
          </w:tcPr>
          <w:p w14:paraId="50AF6101" w14:textId="07A783C3"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3,830</w:t>
            </w:r>
            <w:r w:rsidRPr="008A0812">
              <w:t>,000</w:t>
            </w:r>
          </w:p>
        </w:tc>
      </w:tr>
      <w:tr w:rsidR="004776AB" w:rsidRPr="008A0812" w14:paraId="4548E442"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ED8FFA5" w14:textId="40767BD3" w:rsidR="004776AB" w:rsidRPr="008A0812" w:rsidRDefault="003665BE" w:rsidP="004776AB">
            <w:pPr>
              <w:overflowPunct/>
              <w:autoSpaceDE/>
              <w:autoSpaceDN/>
              <w:adjustRightInd/>
              <w:rPr>
                <w:rFonts w:asciiTheme="majorHAnsi" w:hAnsiTheme="majorHAnsi" w:cs="Segoe UI"/>
              </w:rPr>
            </w:pPr>
            <w:r w:rsidRPr="008A0812">
              <w:rPr>
                <w:rFonts w:asciiTheme="majorHAnsi" w:hAnsiTheme="majorHAnsi" w:cs="Segoe UI"/>
              </w:rPr>
              <w:t>Pump and VFD</w:t>
            </w:r>
            <w:r w:rsidR="004776AB" w:rsidRPr="008A0812">
              <w:rPr>
                <w:rFonts w:asciiTheme="majorHAnsi" w:hAnsiTheme="majorHAnsi" w:cs="Segoe UI"/>
              </w:rPr>
              <w:t xml:space="preserve"> Replacement Project</w:t>
            </w:r>
          </w:p>
        </w:tc>
        <w:tc>
          <w:tcPr>
            <w:tcW w:w="4791" w:type="dxa"/>
            <w:tcBorders>
              <w:top w:val="nil"/>
              <w:left w:val="nil"/>
              <w:bottom w:val="single" w:sz="6" w:space="0" w:color="auto"/>
              <w:right w:val="single" w:sz="6" w:space="0" w:color="auto"/>
            </w:tcBorders>
            <w:shd w:val="clear" w:color="auto" w:fill="auto"/>
            <w:tcMar>
              <w:left w:w="72" w:type="dxa"/>
            </w:tcMar>
            <w:hideMark/>
          </w:tcPr>
          <w:p w14:paraId="35D40D6C" w14:textId="08E34791"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 xml:space="preserve">R&amp;R of aging and critical </w:t>
            </w:r>
            <w:r w:rsidR="003665BE" w:rsidRPr="008A0812">
              <w:rPr>
                <w:rFonts w:asciiTheme="majorHAnsi" w:hAnsiTheme="majorHAnsi" w:cs="Segoe UI"/>
              </w:rPr>
              <w:t xml:space="preserve">Pumps and </w:t>
            </w:r>
            <w:r w:rsidRPr="008A0812">
              <w:rPr>
                <w:rFonts w:asciiTheme="majorHAnsi" w:hAnsiTheme="majorHAnsi" w:cs="Segoe UI"/>
              </w:rPr>
              <w:t xml:space="preserve">Variable Frequency Drives. Assets to be replaced include </w:t>
            </w:r>
            <w:r w:rsidR="003665BE" w:rsidRPr="008A0812">
              <w:rPr>
                <w:rFonts w:asciiTheme="majorHAnsi" w:hAnsiTheme="majorHAnsi" w:cs="Segoe UI"/>
              </w:rPr>
              <w:t xml:space="preserve">pumps, </w:t>
            </w:r>
            <w:r w:rsidRPr="008A0812">
              <w:rPr>
                <w:rFonts w:asciiTheme="majorHAnsi" w:hAnsiTheme="majorHAnsi" w:cs="Segoe UI"/>
              </w:rPr>
              <w:t>VFDs and instrumentation located at the Roots Blower Building, RS-1 Pump Station and Tertiary Reservoir.</w:t>
            </w:r>
          </w:p>
        </w:tc>
        <w:tc>
          <w:tcPr>
            <w:tcW w:w="2332" w:type="dxa"/>
            <w:tcBorders>
              <w:top w:val="nil"/>
              <w:left w:val="nil"/>
              <w:bottom w:val="single" w:sz="6" w:space="0" w:color="auto"/>
              <w:right w:val="single" w:sz="6" w:space="0" w:color="auto"/>
            </w:tcBorders>
            <w:tcMar>
              <w:right w:w="720" w:type="dxa"/>
            </w:tcMar>
            <w:vAlign w:val="center"/>
          </w:tcPr>
          <w:p w14:paraId="2313AFB8" w14:textId="2A1823C3"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4,940</w:t>
            </w:r>
            <w:r w:rsidRPr="008A0812">
              <w:t>,000</w:t>
            </w:r>
          </w:p>
        </w:tc>
      </w:tr>
      <w:tr w:rsidR="004776AB" w:rsidRPr="008A0812" w14:paraId="4B388C84" w14:textId="77777777" w:rsidTr="00B76FA3">
        <w:trPr>
          <w:cantSplit/>
          <w:trHeight w:val="288"/>
        </w:trPr>
        <w:tc>
          <w:tcPr>
            <w:tcW w:w="2237" w:type="dxa"/>
            <w:tcBorders>
              <w:top w:val="nil"/>
              <w:left w:val="single" w:sz="6" w:space="0" w:color="auto"/>
              <w:bottom w:val="single" w:sz="6" w:space="0" w:color="auto"/>
              <w:right w:val="single" w:sz="6" w:space="0" w:color="auto"/>
            </w:tcBorders>
            <w:shd w:val="clear" w:color="auto" w:fill="auto"/>
            <w:tcMar>
              <w:left w:w="72" w:type="dxa"/>
            </w:tcMar>
            <w:vAlign w:val="center"/>
          </w:tcPr>
          <w:p w14:paraId="18699D9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Units 1 and 2 R&amp;R</w:t>
            </w:r>
          </w:p>
        </w:tc>
        <w:tc>
          <w:tcPr>
            <w:tcW w:w="4791" w:type="dxa"/>
            <w:tcBorders>
              <w:top w:val="nil"/>
              <w:left w:val="nil"/>
              <w:bottom w:val="single" w:sz="6" w:space="0" w:color="auto"/>
              <w:right w:val="single" w:sz="6" w:space="0" w:color="auto"/>
            </w:tcBorders>
            <w:shd w:val="clear" w:color="auto" w:fill="auto"/>
            <w:tcMar>
              <w:left w:w="72" w:type="dxa"/>
            </w:tcMar>
          </w:tcPr>
          <w:p w14:paraId="26CF1C4C"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R&amp;R of aging and critical assets associated with the Unit 1 and Unit 2 process. Assets to be replaced include diffusers, mixers, motors, VFDs, platforms, and miscellaneous mechanical equipment and instrumentation.</w:t>
            </w:r>
          </w:p>
        </w:tc>
        <w:tc>
          <w:tcPr>
            <w:tcW w:w="2332" w:type="dxa"/>
            <w:tcBorders>
              <w:top w:val="nil"/>
              <w:left w:val="nil"/>
              <w:bottom w:val="single" w:sz="6" w:space="0" w:color="auto"/>
              <w:right w:val="single" w:sz="6" w:space="0" w:color="auto"/>
            </w:tcBorders>
            <w:tcMar>
              <w:right w:w="720" w:type="dxa"/>
            </w:tcMar>
            <w:vAlign w:val="center"/>
          </w:tcPr>
          <w:p w14:paraId="727D47CE" w14:textId="1C791908"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3,510</w:t>
            </w:r>
            <w:r w:rsidRPr="008A0812">
              <w:t>,000</w:t>
            </w:r>
          </w:p>
        </w:tc>
      </w:tr>
      <w:tr w:rsidR="004776AB" w:rsidRPr="008A0812" w14:paraId="5C01FFAE" w14:textId="77777777" w:rsidTr="00B76FA3">
        <w:trPr>
          <w:cantSplit/>
          <w:trHeight w:val="288"/>
        </w:trPr>
        <w:tc>
          <w:tcPr>
            <w:tcW w:w="2237" w:type="dxa"/>
            <w:tcBorders>
              <w:top w:val="nil"/>
              <w:left w:val="single" w:sz="6" w:space="0" w:color="auto"/>
              <w:bottom w:val="single" w:sz="4" w:space="0" w:color="auto"/>
              <w:right w:val="single" w:sz="6" w:space="0" w:color="auto"/>
            </w:tcBorders>
            <w:shd w:val="clear" w:color="auto" w:fill="auto"/>
            <w:tcMar>
              <w:left w:w="72" w:type="dxa"/>
            </w:tcMar>
            <w:vAlign w:val="center"/>
          </w:tcPr>
          <w:p w14:paraId="5373865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Unit 3 R&amp;R</w:t>
            </w:r>
          </w:p>
        </w:tc>
        <w:tc>
          <w:tcPr>
            <w:tcW w:w="4791" w:type="dxa"/>
            <w:tcBorders>
              <w:top w:val="nil"/>
              <w:left w:val="nil"/>
              <w:bottom w:val="single" w:sz="4" w:space="0" w:color="auto"/>
              <w:right w:val="single" w:sz="6" w:space="0" w:color="auto"/>
            </w:tcBorders>
            <w:shd w:val="clear" w:color="auto" w:fill="auto"/>
            <w:tcMar>
              <w:left w:w="72" w:type="dxa"/>
            </w:tcMar>
          </w:tcPr>
          <w:p w14:paraId="11F557AE" w14:textId="6D08BFE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 xml:space="preserve">R&amp;R of aging and critical assets associated with the Unit 3 primary process. </w:t>
            </w:r>
            <w:r w:rsidR="00907215" w:rsidRPr="008A0812">
              <w:rPr>
                <w:rFonts w:asciiTheme="majorHAnsi" w:hAnsiTheme="majorHAnsi" w:cs="Segoe UI"/>
              </w:rPr>
              <w:t>The assets under Unit 3 R&amp;R include valves and flow meters at Low Pressure Supply Air Assembly, Flight Scraper Mechanism at Primary Clarifier No. 3D, Grinders and Gas meter at Scum Pump Station and Pumps and Motors at Primary Sludge Pump Station.</w:t>
            </w:r>
          </w:p>
        </w:tc>
        <w:tc>
          <w:tcPr>
            <w:tcW w:w="2332" w:type="dxa"/>
            <w:tcBorders>
              <w:top w:val="nil"/>
              <w:left w:val="nil"/>
              <w:bottom w:val="single" w:sz="4" w:space="0" w:color="auto"/>
              <w:right w:val="single" w:sz="6" w:space="0" w:color="auto"/>
            </w:tcBorders>
            <w:tcMar>
              <w:right w:w="720" w:type="dxa"/>
            </w:tcMar>
            <w:vAlign w:val="center"/>
          </w:tcPr>
          <w:p w14:paraId="0C3157CD" w14:textId="03B6F9EE" w:rsidR="004776AB" w:rsidRPr="008A0812" w:rsidRDefault="004776AB" w:rsidP="00DB4BB5">
            <w:pPr>
              <w:overflowPunct/>
              <w:autoSpaceDE/>
              <w:autoSpaceDN/>
              <w:adjustRightInd/>
              <w:spacing w:before="60" w:after="60"/>
              <w:jc w:val="right"/>
              <w:rPr>
                <w:rFonts w:asciiTheme="majorHAnsi" w:hAnsiTheme="majorHAnsi" w:cs="Segoe UI"/>
              </w:rPr>
            </w:pPr>
            <w:r w:rsidRPr="008A0812">
              <w:t>$</w:t>
            </w:r>
            <w:r w:rsidR="00E24ACC" w:rsidRPr="008A0812">
              <w:t>1,720</w:t>
            </w:r>
            <w:r w:rsidRPr="008A0812">
              <w:t>,000</w:t>
            </w:r>
          </w:p>
        </w:tc>
      </w:tr>
      <w:tr w:rsidR="004776AB" w:rsidRPr="008A0812" w14:paraId="1603D2AE" w14:textId="77777777" w:rsidTr="00B76FA3">
        <w:trPr>
          <w:cantSplit/>
          <w:trHeight w:val="288"/>
        </w:trPr>
        <w:tc>
          <w:tcPr>
            <w:tcW w:w="702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2" w:type="dxa"/>
            </w:tcMar>
            <w:vAlign w:val="center"/>
          </w:tcPr>
          <w:p w14:paraId="53BA967E" w14:textId="77777777" w:rsidR="004776AB" w:rsidRPr="008A0812" w:rsidRDefault="004776AB" w:rsidP="00DB4BB5">
            <w:pPr>
              <w:overflowPunct/>
              <w:autoSpaceDE/>
              <w:autoSpaceDN/>
              <w:adjustRightInd/>
              <w:spacing w:before="60" w:after="60"/>
              <w:rPr>
                <w:rFonts w:asciiTheme="majorHAnsi" w:hAnsiTheme="majorHAnsi" w:cs="Segoe UI"/>
                <w:b/>
                <w:bCs/>
              </w:rPr>
            </w:pPr>
            <w:r w:rsidRPr="008A0812">
              <w:rPr>
                <w:rFonts w:asciiTheme="majorHAnsi" w:hAnsiTheme="majorHAnsi" w:cs="Segoe UI"/>
                <w:b/>
                <w:bCs/>
              </w:rPr>
              <w:t>Total Near-Term R&amp;R Project Cost</w:t>
            </w:r>
          </w:p>
        </w:tc>
        <w:tc>
          <w:tcPr>
            <w:tcW w:w="233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right w:w="720" w:type="dxa"/>
            </w:tcMar>
            <w:vAlign w:val="center"/>
          </w:tcPr>
          <w:p w14:paraId="382C4946" w14:textId="479B1AF1" w:rsidR="004776AB" w:rsidRPr="008A0812" w:rsidRDefault="004776AB" w:rsidP="00DB4BB5">
            <w:pPr>
              <w:overflowPunct/>
              <w:autoSpaceDE/>
              <w:autoSpaceDN/>
              <w:adjustRightInd/>
              <w:spacing w:before="60" w:after="60"/>
              <w:jc w:val="right"/>
              <w:rPr>
                <w:b/>
                <w:bCs/>
              </w:rPr>
            </w:pPr>
            <w:r w:rsidRPr="008A0812">
              <w:rPr>
                <w:b/>
                <w:bCs/>
              </w:rPr>
              <w:t>$</w:t>
            </w:r>
            <w:r w:rsidR="00245903" w:rsidRPr="008A0812">
              <w:rPr>
                <w:b/>
                <w:bCs/>
              </w:rPr>
              <w:t>26,260</w:t>
            </w:r>
            <w:r w:rsidRPr="008A0812">
              <w:rPr>
                <w:b/>
                <w:bCs/>
              </w:rPr>
              <w:t>,000</w:t>
            </w:r>
          </w:p>
        </w:tc>
      </w:tr>
    </w:tbl>
    <w:p w14:paraId="0149872D" w14:textId="1A8012BF" w:rsidR="000F6C57" w:rsidRPr="008A0812" w:rsidRDefault="000F6C57" w:rsidP="000F6C57">
      <w:pPr>
        <w:pStyle w:val="BodyText"/>
      </w:pPr>
      <w:r w:rsidRPr="008A0812">
        <w:t xml:space="preserve">The near-term R&amp;R projects were further prioritized using </w:t>
      </w:r>
      <w:r w:rsidR="00CD5BDE" w:rsidRPr="008A0812">
        <w:t>the</w:t>
      </w:r>
      <w:r w:rsidRPr="008A0812">
        <w:t xml:space="preserve"> scoring</w:t>
      </w:r>
      <w:r w:rsidR="00CD5BDE" w:rsidRPr="008A0812">
        <w:t xml:space="preserve"> system described in the following section. The scoring system relied on</w:t>
      </w:r>
      <w:r w:rsidRPr="008A0812">
        <w:t xml:space="preserve"> four</w:t>
      </w:r>
      <w:r w:rsidR="00CD5BDE" w:rsidRPr="008A0812">
        <w:t xml:space="preserve"> evaluation</w:t>
      </w:r>
      <w:r w:rsidRPr="008A0812">
        <w:t xml:space="preserve"> categories:</w:t>
      </w:r>
    </w:p>
    <w:p w14:paraId="21214A2A" w14:textId="3E5BEEB3" w:rsidR="000F6C57" w:rsidRPr="008A0812" w:rsidRDefault="000F6C57" w:rsidP="000F6C57">
      <w:pPr>
        <w:pStyle w:val="BodyText"/>
        <w:numPr>
          <w:ilvl w:val="0"/>
          <w:numId w:val="46"/>
        </w:numPr>
      </w:pPr>
      <w:r w:rsidRPr="008A0812">
        <w:t>Reducing consequence of failure</w:t>
      </w:r>
      <w:r w:rsidR="005E61E7" w:rsidRPr="008A0812">
        <w:t xml:space="preserve"> (COF)</w:t>
      </w:r>
    </w:p>
    <w:p w14:paraId="1526E72E" w14:textId="67E1142E" w:rsidR="000F6C57" w:rsidRPr="008A0812" w:rsidRDefault="000F6C57" w:rsidP="000F6C57">
      <w:pPr>
        <w:pStyle w:val="BodyText"/>
        <w:numPr>
          <w:ilvl w:val="0"/>
          <w:numId w:val="46"/>
        </w:numPr>
      </w:pPr>
      <w:r w:rsidRPr="008A0812">
        <w:t>Improving energy efficiency</w:t>
      </w:r>
      <w:r w:rsidR="005E61E7" w:rsidRPr="008A0812">
        <w:t xml:space="preserve"> (Energy)</w:t>
      </w:r>
    </w:p>
    <w:p w14:paraId="107F92DA" w14:textId="40D009AB" w:rsidR="000F6C57" w:rsidRPr="008A0812" w:rsidRDefault="000F6C57" w:rsidP="000F6C57">
      <w:pPr>
        <w:pStyle w:val="BodyText"/>
        <w:numPr>
          <w:ilvl w:val="0"/>
          <w:numId w:val="46"/>
        </w:numPr>
      </w:pPr>
      <w:r w:rsidRPr="008A0812">
        <w:t>Renewing or replacing aging assets</w:t>
      </w:r>
      <w:r w:rsidR="005E61E7" w:rsidRPr="008A0812">
        <w:t xml:space="preserve"> (Life)</w:t>
      </w:r>
    </w:p>
    <w:p w14:paraId="09315F15" w14:textId="080FC09D" w:rsidR="000F6C57" w:rsidRPr="008A0812" w:rsidRDefault="000F6C57" w:rsidP="000F6C57">
      <w:pPr>
        <w:pStyle w:val="BodyText"/>
        <w:numPr>
          <w:ilvl w:val="0"/>
          <w:numId w:val="46"/>
        </w:numPr>
      </w:pPr>
      <w:r w:rsidRPr="008A0812">
        <w:t>Reducing operational cost and/or simplifying operations</w:t>
      </w:r>
      <w:r w:rsidR="005E61E7" w:rsidRPr="008A0812">
        <w:t xml:space="preserve"> (Ops)</w:t>
      </w:r>
    </w:p>
    <w:p w14:paraId="4A0D294D" w14:textId="5F530E87" w:rsidR="000F6C57" w:rsidRPr="008A0812" w:rsidRDefault="000F6C57" w:rsidP="000F6C57">
      <w:pPr>
        <w:pStyle w:val="BodyText"/>
      </w:pPr>
      <w:r w:rsidRPr="008A0812">
        <w:t xml:space="preserve">Each </w:t>
      </w:r>
      <w:r w:rsidR="00CD5BDE" w:rsidRPr="008A0812">
        <w:t xml:space="preserve">evaluation </w:t>
      </w:r>
      <w:r w:rsidRPr="008A0812">
        <w:t>category was assigned a weight of 1 to 3, with three being the most significant</w:t>
      </w:r>
      <w:r w:rsidR="00CD5BDE" w:rsidRPr="008A0812">
        <w:t xml:space="preserve"> and one being the least</w:t>
      </w:r>
      <w:r w:rsidRPr="008A0812">
        <w:t xml:space="preserve">. Weights are shown in the table below. Each project was given a score of 0 to 3 in each </w:t>
      </w:r>
      <w:r w:rsidR="00CD5BDE" w:rsidRPr="008A0812">
        <w:t xml:space="preserve">evaluation </w:t>
      </w:r>
      <w:r w:rsidRPr="008A0812">
        <w:t>category based its relevance to the project. A score of three indicates that the category is highly relevant to a project; zero indicates no relevance. A total score was</w:t>
      </w:r>
      <w:r w:rsidR="00CD5BDE" w:rsidRPr="008A0812">
        <w:t xml:space="preserve"> then</w:t>
      </w:r>
      <w:r w:rsidRPr="008A0812">
        <w:t xml:space="preserve"> calculated for each project by multiplying the score for each category by its weight, then summing the weighted scores. Projects with the highest total score offer the greatest benefit to </w:t>
      </w:r>
      <w:r w:rsidR="00033123">
        <w:t>SBMWD</w:t>
      </w:r>
      <w:r w:rsidRPr="008A0812">
        <w:t xml:space="preserve">. Note that these scores are independent of the capital costs presented </w:t>
      </w:r>
      <w:r w:rsidR="00CD5BDE" w:rsidRPr="008A0812">
        <w:t>previously</w:t>
      </w:r>
      <w:r w:rsidRPr="008A0812">
        <w:t>.</w:t>
      </w:r>
    </w:p>
    <w:p w14:paraId="2F0B1187" w14:textId="011498B0" w:rsidR="000F6C57" w:rsidRPr="008A0812" w:rsidRDefault="00CD5BDE" w:rsidP="00D06267">
      <w:pPr>
        <w:pStyle w:val="BodyText"/>
      </w:pPr>
      <w:r w:rsidRPr="008A0812">
        <w:t xml:space="preserve">Scores were only developed for the near-term R&amp;R projects since a specific year for implementation needed to be identified. </w:t>
      </w:r>
      <w:r w:rsidR="000F6C57" w:rsidRPr="008A0812">
        <w:t>The scores for each near-term R&amp;R project</w:t>
      </w:r>
      <w:r w:rsidRPr="008A0812">
        <w:t xml:space="preserve"> by evaluation category and total are</w:t>
      </w:r>
      <w:r w:rsidR="000F6C57" w:rsidRPr="008A0812">
        <w:t xml:space="preserve"> presented in </w:t>
      </w:r>
      <w:r w:rsidR="00D06267" w:rsidRPr="008A0812">
        <w:fldChar w:fldCharType="begin"/>
      </w:r>
      <w:r w:rsidR="00D06267" w:rsidRPr="008A0812">
        <w:instrText xml:space="preserve"> REF _Ref36400818 \h </w:instrText>
      </w:r>
      <w:r w:rsidR="008A0812">
        <w:instrText xml:space="preserve"> \* MERGEFORMAT </w:instrText>
      </w:r>
      <w:r w:rsidR="00D06267" w:rsidRPr="008A0812">
        <w:fldChar w:fldCharType="separate"/>
      </w:r>
      <w:r w:rsidR="00AA68F8" w:rsidRPr="008A0812">
        <w:t xml:space="preserve">Table </w:t>
      </w:r>
      <w:r w:rsidR="00AA68F8">
        <w:rPr>
          <w:noProof/>
        </w:rPr>
        <w:t>9</w:t>
      </w:r>
      <w:r w:rsidR="00AA68F8" w:rsidRPr="008A0812">
        <w:rPr>
          <w:noProof/>
        </w:rPr>
        <w:noBreakHyphen/>
      </w:r>
      <w:r w:rsidR="00AA68F8">
        <w:rPr>
          <w:noProof/>
        </w:rPr>
        <w:t>2</w:t>
      </w:r>
      <w:r w:rsidR="00D06267" w:rsidRPr="008A0812">
        <w:fldChar w:fldCharType="end"/>
      </w:r>
      <w:r w:rsidR="000F6C57" w:rsidRPr="008A0812">
        <w:t xml:space="preserve">. The projects have been sorted in descending order based on their total score. </w:t>
      </w:r>
    </w:p>
    <w:p w14:paraId="09E4B49E" w14:textId="25F1C926" w:rsidR="00343739" w:rsidRPr="008A0812" w:rsidRDefault="00343739" w:rsidP="00D06267">
      <w:pPr>
        <w:pStyle w:val="BodyText"/>
      </w:pPr>
    </w:p>
    <w:p w14:paraId="47BE6FAD" w14:textId="66BC1DAE" w:rsidR="00343739" w:rsidRPr="008A0812" w:rsidRDefault="00343739" w:rsidP="00D06267">
      <w:pPr>
        <w:pStyle w:val="BodyText"/>
      </w:pPr>
    </w:p>
    <w:p w14:paraId="59CB7DFE" w14:textId="77777777" w:rsidR="00343739" w:rsidRPr="008A0812" w:rsidRDefault="00343739" w:rsidP="00D06267">
      <w:pPr>
        <w:pStyle w:val="BodyText"/>
      </w:pPr>
    </w:p>
    <w:p w14:paraId="4FAF6D2A" w14:textId="71539DE5" w:rsidR="00D06267" w:rsidRPr="008A0812" w:rsidRDefault="00D06267" w:rsidP="00D06267">
      <w:pPr>
        <w:pStyle w:val="TableHeading"/>
      </w:pPr>
      <w:bookmarkStart w:id="528" w:name="_Ref36400818"/>
      <w:bookmarkStart w:id="529" w:name="_Toc36414101"/>
      <w:bookmarkStart w:id="530" w:name="_Toc41684788"/>
      <w:r w:rsidRPr="008A0812">
        <w:t xml:space="preserve">Table </w:t>
      </w:r>
      <w:r>
        <w:fldChar w:fldCharType="begin"/>
      </w:r>
      <w:r>
        <w:instrText>STYLEREF 1 \s</w:instrText>
      </w:r>
      <w:r>
        <w:fldChar w:fldCharType="separate"/>
      </w:r>
      <w:r w:rsidR="00AA68F8">
        <w:rPr>
          <w:noProof/>
        </w:rPr>
        <w:t>9</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528"/>
      <w:r w:rsidRPr="008A0812">
        <w:t>: Near-Term R&amp;R Project Scoring and Ranking</w:t>
      </w:r>
      <w:bookmarkEnd w:id="529"/>
      <w:bookmarkEnd w:id="530"/>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0"/>
        <w:gridCol w:w="960"/>
        <w:gridCol w:w="1059"/>
        <w:gridCol w:w="960"/>
        <w:gridCol w:w="960"/>
        <w:gridCol w:w="960"/>
      </w:tblGrid>
      <w:tr w:rsidR="000F6C57" w:rsidRPr="008A0812" w14:paraId="543EE112" w14:textId="77777777" w:rsidTr="00343739">
        <w:trPr>
          <w:cantSplit/>
          <w:trHeight w:val="288"/>
          <w:tblHeader/>
          <w:jc w:val="center"/>
        </w:trPr>
        <w:tc>
          <w:tcPr>
            <w:tcW w:w="3170" w:type="dxa"/>
            <w:vMerge w:val="restart"/>
            <w:shd w:val="clear" w:color="auto" w:fill="BFBFBF" w:themeFill="background1" w:themeFillShade="BF"/>
            <w:noWrap/>
            <w:vAlign w:val="bottom"/>
          </w:tcPr>
          <w:p w14:paraId="56AC3717" w14:textId="77777777" w:rsidR="000F6C57" w:rsidRPr="008A0812" w:rsidRDefault="000F6C57" w:rsidP="000F6C57">
            <w:pPr>
              <w:rPr>
                <w:rFonts w:asciiTheme="minorHAnsi" w:hAnsiTheme="minorHAnsi" w:cs="Calibri"/>
                <w:b/>
                <w:color w:val="000000"/>
              </w:rPr>
            </w:pPr>
            <w:r w:rsidRPr="008A0812">
              <w:rPr>
                <w:rFonts w:asciiTheme="minorHAnsi" w:hAnsiTheme="minorHAnsi" w:cs="Calibri"/>
                <w:b/>
                <w:color w:val="000000"/>
              </w:rPr>
              <w:t> </w:t>
            </w:r>
          </w:p>
          <w:p w14:paraId="27CA5F66" w14:textId="77777777" w:rsidR="000F6C57" w:rsidRPr="008A0812" w:rsidRDefault="000F6C57" w:rsidP="000F6C57">
            <w:pPr>
              <w:rPr>
                <w:rFonts w:asciiTheme="minorHAnsi" w:hAnsiTheme="minorHAnsi" w:cs="Calibri"/>
                <w:b/>
                <w:color w:val="000000"/>
              </w:rPr>
            </w:pPr>
            <w:r w:rsidRPr="008A0812">
              <w:rPr>
                <w:rFonts w:asciiTheme="minorHAnsi" w:hAnsiTheme="minorHAnsi" w:cs="Calibri"/>
                <w:b/>
                <w:color w:val="000000"/>
              </w:rPr>
              <w:t>Project</w:t>
            </w:r>
          </w:p>
        </w:tc>
        <w:tc>
          <w:tcPr>
            <w:tcW w:w="960" w:type="dxa"/>
            <w:vMerge w:val="restart"/>
            <w:shd w:val="clear" w:color="auto" w:fill="BFBFBF" w:themeFill="background1" w:themeFillShade="BF"/>
            <w:noWrap/>
            <w:vAlign w:val="bottom"/>
          </w:tcPr>
          <w:p w14:paraId="19BA9111"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Total Score</w:t>
            </w:r>
          </w:p>
        </w:tc>
        <w:tc>
          <w:tcPr>
            <w:tcW w:w="3939" w:type="dxa"/>
            <w:gridSpan w:val="4"/>
            <w:shd w:val="clear" w:color="auto" w:fill="BFBFBF" w:themeFill="background1" w:themeFillShade="BF"/>
            <w:vAlign w:val="bottom"/>
          </w:tcPr>
          <w:p w14:paraId="255BF7D1"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Evaluation Category</w:t>
            </w:r>
          </w:p>
        </w:tc>
      </w:tr>
      <w:tr w:rsidR="000F6C57" w:rsidRPr="008A0812" w14:paraId="29A84154" w14:textId="77777777" w:rsidTr="00343739">
        <w:trPr>
          <w:cantSplit/>
          <w:trHeight w:val="288"/>
          <w:tblHeader/>
          <w:jc w:val="center"/>
        </w:trPr>
        <w:tc>
          <w:tcPr>
            <w:tcW w:w="3170" w:type="dxa"/>
            <w:vMerge/>
            <w:shd w:val="clear" w:color="auto" w:fill="BFBFBF" w:themeFill="background1" w:themeFillShade="BF"/>
            <w:noWrap/>
            <w:vAlign w:val="bottom"/>
            <w:hideMark/>
          </w:tcPr>
          <w:p w14:paraId="0B4D48B5" w14:textId="77777777" w:rsidR="000F6C57" w:rsidRPr="008A0812" w:rsidRDefault="000F6C57" w:rsidP="000F6C57">
            <w:pPr>
              <w:rPr>
                <w:rFonts w:asciiTheme="minorHAnsi" w:hAnsiTheme="minorHAnsi" w:cs="Calibri"/>
                <w:b/>
                <w:color w:val="000000"/>
              </w:rPr>
            </w:pPr>
          </w:p>
        </w:tc>
        <w:tc>
          <w:tcPr>
            <w:tcW w:w="960" w:type="dxa"/>
            <w:vMerge/>
            <w:shd w:val="clear" w:color="auto" w:fill="BFBFBF" w:themeFill="background1" w:themeFillShade="BF"/>
            <w:noWrap/>
            <w:vAlign w:val="bottom"/>
            <w:hideMark/>
          </w:tcPr>
          <w:p w14:paraId="2EEB0113" w14:textId="77777777" w:rsidR="000F6C57" w:rsidRPr="008A0812" w:rsidRDefault="000F6C57" w:rsidP="000F6C57">
            <w:pPr>
              <w:jc w:val="center"/>
              <w:rPr>
                <w:rFonts w:asciiTheme="minorHAnsi" w:hAnsiTheme="minorHAnsi"/>
                <w:b/>
                <w:sz w:val="20"/>
                <w:szCs w:val="20"/>
              </w:rPr>
            </w:pPr>
          </w:p>
        </w:tc>
        <w:tc>
          <w:tcPr>
            <w:tcW w:w="1059" w:type="dxa"/>
            <w:shd w:val="clear" w:color="auto" w:fill="BFBFBF" w:themeFill="background1" w:themeFillShade="BF"/>
            <w:noWrap/>
            <w:vAlign w:val="bottom"/>
            <w:hideMark/>
          </w:tcPr>
          <w:p w14:paraId="08950E06"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COF</w:t>
            </w:r>
          </w:p>
        </w:tc>
        <w:tc>
          <w:tcPr>
            <w:tcW w:w="960" w:type="dxa"/>
            <w:shd w:val="clear" w:color="auto" w:fill="BFBFBF" w:themeFill="background1" w:themeFillShade="BF"/>
            <w:noWrap/>
            <w:vAlign w:val="bottom"/>
            <w:hideMark/>
          </w:tcPr>
          <w:p w14:paraId="5947A0AB"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Energy</w:t>
            </w:r>
          </w:p>
        </w:tc>
        <w:tc>
          <w:tcPr>
            <w:tcW w:w="960" w:type="dxa"/>
            <w:shd w:val="clear" w:color="auto" w:fill="BFBFBF" w:themeFill="background1" w:themeFillShade="BF"/>
            <w:noWrap/>
            <w:vAlign w:val="bottom"/>
            <w:hideMark/>
          </w:tcPr>
          <w:p w14:paraId="2BEBAB92"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Life</w:t>
            </w:r>
          </w:p>
        </w:tc>
        <w:tc>
          <w:tcPr>
            <w:tcW w:w="960" w:type="dxa"/>
            <w:shd w:val="clear" w:color="auto" w:fill="BFBFBF" w:themeFill="background1" w:themeFillShade="BF"/>
            <w:noWrap/>
            <w:vAlign w:val="bottom"/>
            <w:hideMark/>
          </w:tcPr>
          <w:p w14:paraId="0B21C5A7"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Ops</w:t>
            </w:r>
          </w:p>
        </w:tc>
      </w:tr>
      <w:tr w:rsidR="000F6C57" w:rsidRPr="008A0812" w14:paraId="63C75591" w14:textId="77777777" w:rsidTr="00343739">
        <w:trPr>
          <w:cantSplit/>
          <w:trHeight w:val="287"/>
          <w:tblHeader/>
          <w:jc w:val="center"/>
        </w:trPr>
        <w:tc>
          <w:tcPr>
            <w:tcW w:w="3170" w:type="dxa"/>
            <w:vMerge/>
            <w:shd w:val="clear" w:color="auto" w:fill="BFBFBF" w:themeFill="background1" w:themeFillShade="BF"/>
            <w:vAlign w:val="bottom"/>
          </w:tcPr>
          <w:p w14:paraId="36DF0D0E" w14:textId="77777777" w:rsidR="000F6C57" w:rsidRPr="008A0812" w:rsidRDefault="000F6C57" w:rsidP="000F6C57">
            <w:pPr>
              <w:rPr>
                <w:rFonts w:asciiTheme="minorHAnsi" w:hAnsiTheme="minorHAnsi" w:cs="Calibri"/>
                <w:b/>
                <w:color w:val="000000"/>
              </w:rPr>
            </w:pPr>
          </w:p>
        </w:tc>
        <w:tc>
          <w:tcPr>
            <w:tcW w:w="960" w:type="dxa"/>
            <w:vMerge/>
            <w:shd w:val="clear" w:color="auto" w:fill="BFBFBF" w:themeFill="background1" w:themeFillShade="BF"/>
            <w:vAlign w:val="bottom"/>
          </w:tcPr>
          <w:p w14:paraId="2604AE40" w14:textId="77777777" w:rsidR="000F6C57" w:rsidRPr="008A0812" w:rsidRDefault="000F6C57" w:rsidP="000F6C57">
            <w:pPr>
              <w:jc w:val="center"/>
              <w:rPr>
                <w:rFonts w:asciiTheme="minorHAnsi" w:hAnsiTheme="minorHAnsi" w:cs="Calibri"/>
                <w:b/>
                <w:color w:val="000000"/>
              </w:rPr>
            </w:pPr>
          </w:p>
        </w:tc>
        <w:tc>
          <w:tcPr>
            <w:tcW w:w="3939" w:type="dxa"/>
            <w:gridSpan w:val="4"/>
            <w:shd w:val="clear" w:color="auto" w:fill="BFBFBF" w:themeFill="background1" w:themeFillShade="BF"/>
            <w:vAlign w:val="bottom"/>
          </w:tcPr>
          <w:p w14:paraId="1C9D90C3"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Category Weight</w:t>
            </w:r>
          </w:p>
        </w:tc>
      </w:tr>
      <w:tr w:rsidR="000F6C57" w:rsidRPr="008A0812" w14:paraId="034970E1" w14:textId="77777777" w:rsidTr="00343739">
        <w:trPr>
          <w:cantSplit/>
          <w:trHeight w:val="170"/>
          <w:tblHeader/>
          <w:jc w:val="center"/>
        </w:trPr>
        <w:tc>
          <w:tcPr>
            <w:tcW w:w="3170" w:type="dxa"/>
            <w:vMerge/>
            <w:shd w:val="clear" w:color="auto" w:fill="BFBFBF" w:themeFill="background1" w:themeFillShade="BF"/>
            <w:vAlign w:val="bottom"/>
            <w:hideMark/>
          </w:tcPr>
          <w:p w14:paraId="712A7583" w14:textId="77777777" w:rsidR="000F6C57" w:rsidRPr="008A0812" w:rsidRDefault="000F6C57" w:rsidP="000F6C57">
            <w:pPr>
              <w:rPr>
                <w:rFonts w:asciiTheme="minorHAnsi" w:hAnsiTheme="minorHAnsi" w:cs="Calibri"/>
                <w:b/>
                <w:color w:val="000000"/>
              </w:rPr>
            </w:pPr>
          </w:p>
        </w:tc>
        <w:tc>
          <w:tcPr>
            <w:tcW w:w="960" w:type="dxa"/>
            <w:vMerge/>
            <w:shd w:val="clear" w:color="auto" w:fill="BFBFBF" w:themeFill="background1" w:themeFillShade="BF"/>
            <w:vAlign w:val="bottom"/>
            <w:hideMark/>
          </w:tcPr>
          <w:p w14:paraId="04EB1AA1" w14:textId="77777777" w:rsidR="000F6C57" w:rsidRPr="008A0812" w:rsidRDefault="000F6C57" w:rsidP="000F6C57">
            <w:pPr>
              <w:jc w:val="center"/>
              <w:rPr>
                <w:rFonts w:asciiTheme="minorHAnsi" w:hAnsiTheme="minorHAnsi" w:cs="Calibri"/>
                <w:b/>
                <w:color w:val="000000"/>
              </w:rPr>
            </w:pPr>
          </w:p>
        </w:tc>
        <w:tc>
          <w:tcPr>
            <w:tcW w:w="1059" w:type="dxa"/>
            <w:shd w:val="clear" w:color="auto" w:fill="BFBFBF" w:themeFill="background1" w:themeFillShade="BF"/>
            <w:vAlign w:val="bottom"/>
            <w:hideMark/>
          </w:tcPr>
          <w:p w14:paraId="4A6945AA" w14:textId="77777777" w:rsidR="000F6C57" w:rsidRPr="008A0812" w:rsidRDefault="000F6C57" w:rsidP="000F6C57">
            <w:pPr>
              <w:jc w:val="center"/>
              <w:rPr>
                <w:rFonts w:asciiTheme="minorHAnsi" w:hAnsiTheme="minorHAnsi" w:cs="Calibri"/>
                <w:color w:val="000000"/>
              </w:rPr>
            </w:pPr>
            <w:r w:rsidRPr="008A0812">
              <w:rPr>
                <w:rFonts w:asciiTheme="minorHAnsi" w:hAnsiTheme="minorHAnsi" w:cs="Calibri"/>
                <w:color w:val="000000"/>
              </w:rPr>
              <w:t>3</w:t>
            </w:r>
          </w:p>
        </w:tc>
        <w:tc>
          <w:tcPr>
            <w:tcW w:w="960" w:type="dxa"/>
            <w:shd w:val="clear" w:color="auto" w:fill="BFBFBF" w:themeFill="background1" w:themeFillShade="BF"/>
            <w:vAlign w:val="bottom"/>
            <w:hideMark/>
          </w:tcPr>
          <w:p w14:paraId="43A266EB" w14:textId="77777777" w:rsidR="000F6C57" w:rsidRPr="008A0812" w:rsidRDefault="000F6C57" w:rsidP="000F6C57">
            <w:pPr>
              <w:jc w:val="center"/>
              <w:rPr>
                <w:rFonts w:asciiTheme="minorHAnsi" w:hAnsiTheme="minorHAnsi" w:cs="Calibri"/>
                <w:color w:val="000000"/>
              </w:rPr>
            </w:pPr>
            <w:r w:rsidRPr="008A0812">
              <w:rPr>
                <w:rFonts w:asciiTheme="minorHAnsi" w:hAnsiTheme="minorHAnsi" w:cs="Calibri"/>
                <w:color w:val="000000"/>
              </w:rPr>
              <w:t>1</w:t>
            </w:r>
          </w:p>
        </w:tc>
        <w:tc>
          <w:tcPr>
            <w:tcW w:w="960" w:type="dxa"/>
            <w:shd w:val="clear" w:color="auto" w:fill="BFBFBF" w:themeFill="background1" w:themeFillShade="BF"/>
            <w:vAlign w:val="bottom"/>
            <w:hideMark/>
          </w:tcPr>
          <w:p w14:paraId="48532F3F" w14:textId="77777777" w:rsidR="000F6C57" w:rsidRPr="008A0812" w:rsidRDefault="000F6C57" w:rsidP="000F6C57">
            <w:pPr>
              <w:jc w:val="center"/>
              <w:rPr>
                <w:rFonts w:asciiTheme="minorHAnsi" w:hAnsiTheme="minorHAnsi" w:cs="Calibri"/>
                <w:color w:val="000000"/>
              </w:rPr>
            </w:pPr>
            <w:r w:rsidRPr="008A0812">
              <w:rPr>
                <w:rFonts w:asciiTheme="minorHAnsi" w:hAnsiTheme="minorHAnsi" w:cs="Calibri"/>
                <w:color w:val="000000"/>
              </w:rPr>
              <w:t>2</w:t>
            </w:r>
          </w:p>
        </w:tc>
        <w:tc>
          <w:tcPr>
            <w:tcW w:w="960" w:type="dxa"/>
            <w:shd w:val="clear" w:color="auto" w:fill="BFBFBF" w:themeFill="background1" w:themeFillShade="BF"/>
            <w:vAlign w:val="bottom"/>
            <w:hideMark/>
          </w:tcPr>
          <w:p w14:paraId="3A48509D" w14:textId="77777777" w:rsidR="000F6C57" w:rsidRPr="008A0812" w:rsidRDefault="000F6C57" w:rsidP="000F6C57">
            <w:pPr>
              <w:jc w:val="center"/>
              <w:rPr>
                <w:rFonts w:asciiTheme="minorHAnsi" w:hAnsiTheme="minorHAnsi" w:cs="Calibri"/>
                <w:color w:val="000000"/>
              </w:rPr>
            </w:pPr>
            <w:r w:rsidRPr="008A0812">
              <w:rPr>
                <w:rFonts w:asciiTheme="minorHAnsi" w:hAnsiTheme="minorHAnsi" w:cs="Calibri"/>
                <w:color w:val="000000"/>
              </w:rPr>
              <w:t>1</w:t>
            </w:r>
          </w:p>
        </w:tc>
      </w:tr>
      <w:tr w:rsidR="000F6C57" w:rsidRPr="008A0812" w14:paraId="6B260DDE" w14:textId="77777777" w:rsidTr="00343739">
        <w:trPr>
          <w:cantSplit/>
          <w:trHeight w:val="288"/>
          <w:tblHeader/>
          <w:jc w:val="center"/>
        </w:trPr>
        <w:tc>
          <w:tcPr>
            <w:tcW w:w="3170" w:type="dxa"/>
            <w:vMerge/>
            <w:shd w:val="clear" w:color="auto" w:fill="auto"/>
            <w:noWrap/>
            <w:vAlign w:val="bottom"/>
          </w:tcPr>
          <w:p w14:paraId="337C130C" w14:textId="77777777" w:rsidR="000F6C57" w:rsidRPr="008A0812" w:rsidRDefault="000F6C57" w:rsidP="000F6C57">
            <w:pPr>
              <w:rPr>
                <w:rFonts w:asciiTheme="minorHAnsi" w:hAnsiTheme="minorHAnsi" w:cs="Calibri"/>
                <w:color w:val="000000"/>
              </w:rPr>
            </w:pPr>
          </w:p>
        </w:tc>
        <w:tc>
          <w:tcPr>
            <w:tcW w:w="960" w:type="dxa"/>
            <w:vMerge/>
            <w:shd w:val="clear" w:color="auto" w:fill="auto"/>
            <w:noWrap/>
            <w:vAlign w:val="bottom"/>
          </w:tcPr>
          <w:p w14:paraId="39F38CC0" w14:textId="77777777" w:rsidR="000F6C57" w:rsidRPr="008A0812" w:rsidRDefault="000F6C57" w:rsidP="000F6C57">
            <w:pPr>
              <w:jc w:val="center"/>
              <w:rPr>
                <w:rFonts w:asciiTheme="minorHAnsi" w:hAnsiTheme="minorHAnsi" w:cs="Calibri"/>
                <w:color w:val="000000"/>
              </w:rPr>
            </w:pPr>
          </w:p>
        </w:tc>
        <w:tc>
          <w:tcPr>
            <w:tcW w:w="3939" w:type="dxa"/>
            <w:gridSpan w:val="4"/>
            <w:shd w:val="clear" w:color="auto" w:fill="BFBFBF" w:themeFill="background1" w:themeFillShade="BF"/>
            <w:noWrap/>
            <w:vAlign w:val="bottom"/>
          </w:tcPr>
          <w:p w14:paraId="4F6B86FA" w14:textId="77777777" w:rsidR="000F6C57" w:rsidRPr="008A0812" w:rsidRDefault="000F6C57" w:rsidP="000F6C57">
            <w:pPr>
              <w:jc w:val="center"/>
              <w:rPr>
                <w:rFonts w:asciiTheme="minorHAnsi" w:hAnsiTheme="minorHAnsi" w:cs="Calibri"/>
                <w:b/>
                <w:color w:val="000000"/>
              </w:rPr>
            </w:pPr>
            <w:r w:rsidRPr="008A0812">
              <w:rPr>
                <w:rFonts w:asciiTheme="minorHAnsi" w:hAnsiTheme="minorHAnsi" w:cs="Calibri"/>
                <w:b/>
                <w:color w:val="000000"/>
              </w:rPr>
              <w:t>Category Score</w:t>
            </w:r>
          </w:p>
        </w:tc>
      </w:tr>
      <w:tr w:rsidR="00160C1B" w:rsidRPr="008A0812" w14:paraId="5A3DD6A0" w14:textId="77777777" w:rsidTr="00160C1B">
        <w:trPr>
          <w:trHeight w:val="288"/>
          <w:jc w:val="center"/>
        </w:trPr>
        <w:tc>
          <w:tcPr>
            <w:tcW w:w="3170" w:type="dxa"/>
            <w:shd w:val="clear" w:color="auto" w:fill="auto"/>
            <w:noWrap/>
          </w:tcPr>
          <w:p w14:paraId="0BB0B5F0" w14:textId="234BCCC8" w:rsidR="00160C1B" w:rsidRPr="008A0812" w:rsidRDefault="00160C1B" w:rsidP="00160C1B">
            <w:pPr>
              <w:rPr>
                <w:rFonts w:asciiTheme="minorHAnsi" w:hAnsiTheme="minorHAnsi" w:cs="Calibri"/>
              </w:rPr>
            </w:pPr>
            <w:r w:rsidRPr="008A0812">
              <w:t>VFD Replacement Project</w:t>
            </w:r>
          </w:p>
        </w:tc>
        <w:tc>
          <w:tcPr>
            <w:tcW w:w="960" w:type="dxa"/>
            <w:shd w:val="clear" w:color="auto" w:fill="auto"/>
            <w:noWrap/>
          </w:tcPr>
          <w:p w14:paraId="15406778" w14:textId="2DFBD971" w:rsidR="00160C1B" w:rsidRPr="008A0812" w:rsidRDefault="00160C1B" w:rsidP="00160C1B">
            <w:pPr>
              <w:jc w:val="center"/>
              <w:rPr>
                <w:rFonts w:asciiTheme="minorHAnsi" w:hAnsiTheme="minorHAnsi" w:cs="Calibri"/>
              </w:rPr>
            </w:pPr>
            <w:r w:rsidRPr="008A0812">
              <w:t>16</w:t>
            </w:r>
          </w:p>
        </w:tc>
        <w:tc>
          <w:tcPr>
            <w:tcW w:w="1059" w:type="dxa"/>
            <w:shd w:val="clear" w:color="auto" w:fill="auto"/>
            <w:noWrap/>
          </w:tcPr>
          <w:p w14:paraId="62CE31AC" w14:textId="31D19426"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1B546D7A" w14:textId="502D5650" w:rsidR="00160C1B" w:rsidRPr="008A0812" w:rsidRDefault="00160C1B" w:rsidP="00160C1B">
            <w:pPr>
              <w:jc w:val="center"/>
              <w:rPr>
                <w:rFonts w:asciiTheme="minorHAnsi" w:hAnsiTheme="minorHAnsi" w:cs="Calibri"/>
              </w:rPr>
            </w:pPr>
            <w:r w:rsidRPr="008A0812">
              <w:t>1</w:t>
            </w:r>
          </w:p>
        </w:tc>
        <w:tc>
          <w:tcPr>
            <w:tcW w:w="960" w:type="dxa"/>
            <w:shd w:val="clear" w:color="auto" w:fill="auto"/>
            <w:noWrap/>
          </w:tcPr>
          <w:p w14:paraId="10F89A92" w14:textId="7655131A"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2C4E7DD3" w14:textId="38CAB6B2" w:rsidR="00160C1B" w:rsidRPr="008A0812" w:rsidRDefault="00160C1B" w:rsidP="00160C1B">
            <w:pPr>
              <w:jc w:val="center"/>
              <w:rPr>
                <w:rFonts w:asciiTheme="minorHAnsi" w:hAnsiTheme="minorHAnsi" w:cs="Calibri"/>
              </w:rPr>
            </w:pPr>
            <w:r w:rsidRPr="008A0812">
              <w:t>0</w:t>
            </w:r>
          </w:p>
        </w:tc>
      </w:tr>
      <w:tr w:rsidR="00160C1B" w:rsidRPr="008A0812" w14:paraId="2B1C246E" w14:textId="77777777" w:rsidTr="00343739">
        <w:trPr>
          <w:trHeight w:val="288"/>
          <w:jc w:val="center"/>
        </w:trPr>
        <w:tc>
          <w:tcPr>
            <w:tcW w:w="3170" w:type="dxa"/>
            <w:shd w:val="clear" w:color="auto" w:fill="auto"/>
            <w:noWrap/>
          </w:tcPr>
          <w:p w14:paraId="43506624" w14:textId="1ADB1389" w:rsidR="00160C1B" w:rsidRPr="008A0812" w:rsidRDefault="00160C1B" w:rsidP="00160C1B">
            <w:r w:rsidRPr="008A0812">
              <w:t xml:space="preserve">Solids Handling and Digester A </w:t>
            </w:r>
          </w:p>
        </w:tc>
        <w:tc>
          <w:tcPr>
            <w:tcW w:w="960" w:type="dxa"/>
            <w:shd w:val="clear" w:color="auto" w:fill="auto"/>
            <w:noWrap/>
          </w:tcPr>
          <w:p w14:paraId="7E6B4918" w14:textId="61893127" w:rsidR="00160C1B" w:rsidRPr="008A0812" w:rsidRDefault="00160C1B" w:rsidP="00160C1B">
            <w:pPr>
              <w:jc w:val="center"/>
            </w:pPr>
            <w:r w:rsidRPr="008A0812">
              <w:t>16</w:t>
            </w:r>
          </w:p>
        </w:tc>
        <w:tc>
          <w:tcPr>
            <w:tcW w:w="1059" w:type="dxa"/>
            <w:shd w:val="clear" w:color="auto" w:fill="auto"/>
            <w:noWrap/>
          </w:tcPr>
          <w:p w14:paraId="74E00BA3" w14:textId="672FA2D2" w:rsidR="00160C1B" w:rsidRPr="008A0812" w:rsidRDefault="00160C1B" w:rsidP="00160C1B">
            <w:pPr>
              <w:jc w:val="center"/>
            </w:pPr>
            <w:r w:rsidRPr="008A0812">
              <w:t>3</w:t>
            </w:r>
          </w:p>
        </w:tc>
        <w:tc>
          <w:tcPr>
            <w:tcW w:w="960" w:type="dxa"/>
            <w:shd w:val="clear" w:color="auto" w:fill="auto"/>
            <w:noWrap/>
          </w:tcPr>
          <w:p w14:paraId="522B5809" w14:textId="29864395" w:rsidR="00160C1B" w:rsidRPr="008A0812" w:rsidRDefault="00160C1B" w:rsidP="00160C1B">
            <w:pPr>
              <w:jc w:val="center"/>
            </w:pPr>
            <w:r w:rsidRPr="008A0812">
              <w:t>1</w:t>
            </w:r>
          </w:p>
        </w:tc>
        <w:tc>
          <w:tcPr>
            <w:tcW w:w="960" w:type="dxa"/>
            <w:shd w:val="clear" w:color="auto" w:fill="auto"/>
            <w:noWrap/>
          </w:tcPr>
          <w:p w14:paraId="63DD39CB" w14:textId="1EDB772F" w:rsidR="00160C1B" w:rsidRPr="008A0812" w:rsidRDefault="00160C1B" w:rsidP="00160C1B">
            <w:pPr>
              <w:jc w:val="center"/>
            </w:pPr>
            <w:r w:rsidRPr="008A0812">
              <w:t>3</w:t>
            </w:r>
          </w:p>
        </w:tc>
        <w:tc>
          <w:tcPr>
            <w:tcW w:w="960" w:type="dxa"/>
            <w:shd w:val="clear" w:color="auto" w:fill="auto"/>
            <w:noWrap/>
          </w:tcPr>
          <w:p w14:paraId="38FF097F" w14:textId="6478078F" w:rsidR="00160C1B" w:rsidRPr="008A0812" w:rsidRDefault="00160C1B" w:rsidP="00160C1B">
            <w:pPr>
              <w:jc w:val="center"/>
            </w:pPr>
            <w:r w:rsidRPr="008A0812">
              <w:t>0</w:t>
            </w:r>
          </w:p>
        </w:tc>
      </w:tr>
      <w:tr w:rsidR="00160C1B" w:rsidRPr="008A0812" w14:paraId="31FE8F98" w14:textId="77777777" w:rsidTr="00343739">
        <w:trPr>
          <w:trHeight w:val="288"/>
          <w:jc w:val="center"/>
        </w:trPr>
        <w:tc>
          <w:tcPr>
            <w:tcW w:w="3170" w:type="dxa"/>
            <w:shd w:val="clear" w:color="auto" w:fill="auto"/>
            <w:noWrap/>
          </w:tcPr>
          <w:p w14:paraId="0CF3531B" w14:textId="3728DD8F" w:rsidR="00160C1B" w:rsidRPr="008A0812" w:rsidRDefault="00160C1B" w:rsidP="00160C1B">
            <w:r w:rsidRPr="008A0812">
              <w:t xml:space="preserve">Nitrogen Removal Carrousel </w:t>
            </w:r>
          </w:p>
        </w:tc>
        <w:tc>
          <w:tcPr>
            <w:tcW w:w="960" w:type="dxa"/>
            <w:shd w:val="clear" w:color="auto" w:fill="auto"/>
            <w:noWrap/>
          </w:tcPr>
          <w:p w14:paraId="6DC7EE73" w14:textId="35C88B3F" w:rsidR="00160C1B" w:rsidRPr="008A0812" w:rsidRDefault="00160C1B" w:rsidP="00160C1B">
            <w:pPr>
              <w:jc w:val="center"/>
            </w:pPr>
            <w:r w:rsidRPr="008A0812">
              <w:t>15</w:t>
            </w:r>
          </w:p>
        </w:tc>
        <w:tc>
          <w:tcPr>
            <w:tcW w:w="1059" w:type="dxa"/>
            <w:shd w:val="clear" w:color="auto" w:fill="auto"/>
            <w:noWrap/>
          </w:tcPr>
          <w:p w14:paraId="2A13A219" w14:textId="6992B09F" w:rsidR="00160C1B" w:rsidRPr="008A0812" w:rsidRDefault="00160C1B" w:rsidP="00160C1B">
            <w:pPr>
              <w:jc w:val="center"/>
            </w:pPr>
            <w:r w:rsidRPr="008A0812">
              <w:t>3</w:t>
            </w:r>
          </w:p>
        </w:tc>
        <w:tc>
          <w:tcPr>
            <w:tcW w:w="960" w:type="dxa"/>
            <w:shd w:val="clear" w:color="auto" w:fill="auto"/>
            <w:noWrap/>
          </w:tcPr>
          <w:p w14:paraId="4E3E5759" w14:textId="3B8EC191" w:rsidR="00160C1B" w:rsidRPr="008A0812" w:rsidRDefault="00160C1B" w:rsidP="00160C1B">
            <w:pPr>
              <w:jc w:val="center"/>
            </w:pPr>
            <w:r w:rsidRPr="008A0812">
              <w:t>0</w:t>
            </w:r>
          </w:p>
        </w:tc>
        <w:tc>
          <w:tcPr>
            <w:tcW w:w="960" w:type="dxa"/>
            <w:shd w:val="clear" w:color="auto" w:fill="auto"/>
            <w:noWrap/>
          </w:tcPr>
          <w:p w14:paraId="48A9C8FF" w14:textId="6EA4B08A" w:rsidR="00160C1B" w:rsidRPr="008A0812" w:rsidRDefault="00160C1B" w:rsidP="00160C1B">
            <w:pPr>
              <w:jc w:val="center"/>
            </w:pPr>
            <w:r w:rsidRPr="008A0812">
              <w:t>3</w:t>
            </w:r>
          </w:p>
        </w:tc>
        <w:tc>
          <w:tcPr>
            <w:tcW w:w="960" w:type="dxa"/>
            <w:shd w:val="clear" w:color="auto" w:fill="auto"/>
            <w:noWrap/>
          </w:tcPr>
          <w:p w14:paraId="3490CC68" w14:textId="3F15884E" w:rsidR="00160C1B" w:rsidRPr="008A0812" w:rsidRDefault="00160C1B" w:rsidP="00160C1B">
            <w:pPr>
              <w:jc w:val="center"/>
            </w:pPr>
            <w:r w:rsidRPr="008A0812">
              <w:t>0</w:t>
            </w:r>
          </w:p>
        </w:tc>
      </w:tr>
      <w:tr w:rsidR="00160C1B" w:rsidRPr="008A0812" w14:paraId="5C5F7C51" w14:textId="77777777" w:rsidTr="00343739">
        <w:trPr>
          <w:trHeight w:val="288"/>
          <w:jc w:val="center"/>
        </w:trPr>
        <w:tc>
          <w:tcPr>
            <w:tcW w:w="3170" w:type="dxa"/>
            <w:shd w:val="clear" w:color="auto" w:fill="auto"/>
            <w:noWrap/>
          </w:tcPr>
          <w:p w14:paraId="0DF5A6BD" w14:textId="49CE7EA9" w:rsidR="00160C1B" w:rsidRPr="008A0812" w:rsidRDefault="00160C1B" w:rsidP="00160C1B">
            <w:r w:rsidRPr="008A0812">
              <w:t xml:space="preserve">Units 1 and 2 </w:t>
            </w:r>
          </w:p>
        </w:tc>
        <w:tc>
          <w:tcPr>
            <w:tcW w:w="960" w:type="dxa"/>
            <w:shd w:val="clear" w:color="auto" w:fill="auto"/>
            <w:noWrap/>
          </w:tcPr>
          <w:p w14:paraId="240A49CC" w14:textId="11DE0452" w:rsidR="00160C1B" w:rsidRPr="008A0812" w:rsidRDefault="00160C1B" w:rsidP="00160C1B">
            <w:pPr>
              <w:jc w:val="center"/>
            </w:pPr>
            <w:r w:rsidRPr="008A0812">
              <w:t>15</w:t>
            </w:r>
          </w:p>
        </w:tc>
        <w:tc>
          <w:tcPr>
            <w:tcW w:w="1059" w:type="dxa"/>
            <w:shd w:val="clear" w:color="auto" w:fill="auto"/>
            <w:noWrap/>
          </w:tcPr>
          <w:p w14:paraId="39BDE63C" w14:textId="0D5878FC" w:rsidR="00160C1B" w:rsidRPr="008A0812" w:rsidRDefault="00160C1B" w:rsidP="00160C1B">
            <w:pPr>
              <w:jc w:val="center"/>
            </w:pPr>
            <w:r w:rsidRPr="008A0812">
              <w:t>3</w:t>
            </w:r>
          </w:p>
        </w:tc>
        <w:tc>
          <w:tcPr>
            <w:tcW w:w="960" w:type="dxa"/>
            <w:shd w:val="clear" w:color="auto" w:fill="auto"/>
            <w:noWrap/>
          </w:tcPr>
          <w:p w14:paraId="45365E71" w14:textId="1626220F" w:rsidR="00160C1B" w:rsidRPr="008A0812" w:rsidRDefault="00160C1B" w:rsidP="00160C1B">
            <w:pPr>
              <w:jc w:val="center"/>
            </w:pPr>
            <w:r w:rsidRPr="008A0812">
              <w:t>0</w:t>
            </w:r>
          </w:p>
        </w:tc>
        <w:tc>
          <w:tcPr>
            <w:tcW w:w="960" w:type="dxa"/>
            <w:shd w:val="clear" w:color="auto" w:fill="auto"/>
            <w:noWrap/>
          </w:tcPr>
          <w:p w14:paraId="51D1FC4D" w14:textId="4FF54A01" w:rsidR="00160C1B" w:rsidRPr="008A0812" w:rsidRDefault="00160C1B" w:rsidP="00160C1B">
            <w:pPr>
              <w:jc w:val="center"/>
            </w:pPr>
            <w:r w:rsidRPr="008A0812">
              <w:t>3</w:t>
            </w:r>
          </w:p>
        </w:tc>
        <w:tc>
          <w:tcPr>
            <w:tcW w:w="960" w:type="dxa"/>
            <w:shd w:val="clear" w:color="auto" w:fill="auto"/>
            <w:noWrap/>
          </w:tcPr>
          <w:p w14:paraId="7FC8FB59" w14:textId="1024D6D1" w:rsidR="00160C1B" w:rsidRPr="008A0812" w:rsidRDefault="00160C1B" w:rsidP="00160C1B">
            <w:pPr>
              <w:jc w:val="center"/>
            </w:pPr>
            <w:r w:rsidRPr="008A0812">
              <w:t>0</w:t>
            </w:r>
          </w:p>
        </w:tc>
      </w:tr>
      <w:tr w:rsidR="00160C1B" w:rsidRPr="008A0812" w14:paraId="2840F365" w14:textId="77777777" w:rsidTr="00343739">
        <w:trPr>
          <w:trHeight w:val="288"/>
          <w:jc w:val="center"/>
        </w:trPr>
        <w:tc>
          <w:tcPr>
            <w:tcW w:w="3170" w:type="dxa"/>
            <w:shd w:val="clear" w:color="auto" w:fill="auto"/>
            <w:noWrap/>
          </w:tcPr>
          <w:p w14:paraId="4DC05976" w14:textId="7051CA38" w:rsidR="00160C1B" w:rsidRPr="008A0812" w:rsidRDefault="00160C1B" w:rsidP="00160C1B">
            <w:r w:rsidRPr="008A0812">
              <w:t xml:space="preserve">Unit 3 </w:t>
            </w:r>
          </w:p>
        </w:tc>
        <w:tc>
          <w:tcPr>
            <w:tcW w:w="960" w:type="dxa"/>
            <w:shd w:val="clear" w:color="auto" w:fill="auto"/>
            <w:noWrap/>
          </w:tcPr>
          <w:p w14:paraId="6734F42F" w14:textId="0CC7AC53" w:rsidR="00160C1B" w:rsidRPr="008A0812" w:rsidRDefault="00160C1B" w:rsidP="00160C1B">
            <w:pPr>
              <w:jc w:val="center"/>
            </w:pPr>
            <w:r w:rsidRPr="008A0812">
              <w:t>15</w:t>
            </w:r>
          </w:p>
        </w:tc>
        <w:tc>
          <w:tcPr>
            <w:tcW w:w="1059" w:type="dxa"/>
            <w:shd w:val="clear" w:color="auto" w:fill="auto"/>
            <w:noWrap/>
          </w:tcPr>
          <w:p w14:paraId="758893A0" w14:textId="632AA7DE" w:rsidR="00160C1B" w:rsidRPr="008A0812" w:rsidRDefault="00160C1B" w:rsidP="00160C1B">
            <w:pPr>
              <w:jc w:val="center"/>
            </w:pPr>
            <w:r w:rsidRPr="008A0812">
              <w:t>3</w:t>
            </w:r>
          </w:p>
        </w:tc>
        <w:tc>
          <w:tcPr>
            <w:tcW w:w="960" w:type="dxa"/>
            <w:shd w:val="clear" w:color="auto" w:fill="auto"/>
            <w:noWrap/>
          </w:tcPr>
          <w:p w14:paraId="13945830" w14:textId="7676E6EE" w:rsidR="00160C1B" w:rsidRPr="008A0812" w:rsidRDefault="00160C1B" w:rsidP="00160C1B">
            <w:pPr>
              <w:jc w:val="center"/>
            </w:pPr>
            <w:r w:rsidRPr="008A0812">
              <w:t>0</w:t>
            </w:r>
          </w:p>
        </w:tc>
        <w:tc>
          <w:tcPr>
            <w:tcW w:w="960" w:type="dxa"/>
            <w:shd w:val="clear" w:color="auto" w:fill="auto"/>
            <w:noWrap/>
          </w:tcPr>
          <w:p w14:paraId="3D07F50A" w14:textId="4A863F42" w:rsidR="00160C1B" w:rsidRPr="008A0812" w:rsidRDefault="00160C1B" w:rsidP="00160C1B">
            <w:pPr>
              <w:jc w:val="center"/>
            </w:pPr>
            <w:r w:rsidRPr="008A0812">
              <w:t>3</w:t>
            </w:r>
          </w:p>
        </w:tc>
        <w:tc>
          <w:tcPr>
            <w:tcW w:w="960" w:type="dxa"/>
            <w:shd w:val="clear" w:color="auto" w:fill="auto"/>
            <w:noWrap/>
          </w:tcPr>
          <w:p w14:paraId="75506509" w14:textId="1B359820" w:rsidR="00160C1B" w:rsidRPr="008A0812" w:rsidRDefault="00160C1B" w:rsidP="00160C1B">
            <w:pPr>
              <w:jc w:val="center"/>
            </w:pPr>
            <w:r w:rsidRPr="008A0812">
              <w:t>0</w:t>
            </w:r>
          </w:p>
        </w:tc>
      </w:tr>
      <w:tr w:rsidR="00160C1B" w:rsidRPr="008A0812" w14:paraId="42B89CE4" w14:textId="77777777" w:rsidTr="00160C1B">
        <w:trPr>
          <w:trHeight w:val="288"/>
          <w:jc w:val="center"/>
        </w:trPr>
        <w:tc>
          <w:tcPr>
            <w:tcW w:w="3170" w:type="dxa"/>
            <w:shd w:val="clear" w:color="auto" w:fill="auto"/>
            <w:noWrap/>
          </w:tcPr>
          <w:p w14:paraId="115FA333" w14:textId="300882AF" w:rsidR="00160C1B" w:rsidRPr="008A0812" w:rsidRDefault="00160C1B" w:rsidP="00160C1B">
            <w:pPr>
              <w:rPr>
                <w:rFonts w:asciiTheme="minorHAnsi" w:hAnsiTheme="minorHAnsi" w:cs="Calibri"/>
              </w:rPr>
            </w:pPr>
            <w:r w:rsidRPr="008A0812">
              <w:t xml:space="preserve">Digester C &amp; D </w:t>
            </w:r>
          </w:p>
        </w:tc>
        <w:tc>
          <w:tcPr>
            <w:tcW w:w="960" w:type="dxa"/>
            <w:shd w:val="clear" w:color="auto" w:fill="auto"/>
            <w:noWrap/>
          </w:tcPr>
          <w:p w14:paraId="1D04A4A9" w14:textId="518A4ED6" w:rsidR="00160C1B" w:rsidRPr="008A0812" w:rsidRDefault="00160C1B" w:rsidP="00160C1B">
            <w:pPr>
              <w:jc w:val="center"/>
              <w:rPr>
                <w:rFonts w:asciiTheme="minorHAnsi" w:hAnsiTheme="minorHAnsi" w:cs="Calibri"/>
              </w:rPr>
            </w:pPr>
            <w:r w:rsidRPr="008A0812">
              <w:t>14</w:t>
            </w:r>
          </w:p>
        </w:tc>
        <w:tc>
          <w:tcPr>
            <w:tcW w:w="1059" w:type="dxa"/>
            <w:shd w:val="clear" w:color="auto" w:fill="auto"/>
            <w:noWrap/>
          </w:tcPr>
          <w:p w14:paraId="562DA5A9" w14:textId="41FF4AB9"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30391C10" w14:textId="79E27305" w:rsidR="00160C1B" w:rsidRPr="008A0812" w:rsidRDefault="00160C1B" w:rsidP="00160C1B">
            <w:pPr>
              <w:jc w:val="center"/>
              <w:rPr>
                <w:rFonts w:asciiTheme="minorHAnsi" w:hAnsiTheme="minorHAnsi" w:cs="Calibri"/>
              </w:rPr>
            </w:pPr>
            <w:r w:rsidRPr="008A0812">
              <w:t>1</w:t>
            </w:r>
          </w:p>
        </w:tc>
        <w:tc>
          <w:tcPr>
            <w:tcW w:w="960" w:type="dxa"/>
            <w:shd w:val="clear" w:color="auto" w:fill="auto"/>
            <w:noWrap/>
          </w:tcPr>
          <w:p w14:paraId="19F65939" w14:textId="7F638285" w:rsidR="00160C1B" w:rsidRPr="008A0812" w:rsidRDefault="00160C1B" w:rsidP="00160C1B">
            <w:pPr>
              <w:jc w:val="center"/>
              <w:rPr>
                <w:rFonts w:asciiTheme="minorHAnsi" w:hAnsiTheme="minorHAnsi" w:cs="Calibri"/>
              </w:rPr>
            </w:pPr>
            <w:r w:rsidRPr="008A0812">
              <w:t>2</w:t>
            </w:r>
          </w:p>
        </w:tc>
        <w:tc>
          <w:tcPr>
            <w:tcW w:w="960" w:type="dxa"/>
            <w:shd w:val="clear" w:color="auto" w:fill="auto"/>
            <w:noWrap/>
          </w:tcPr>
          <w:p w14:paraId="1AC99728" w14:textId="27932453" w:rsidR="00160C1B" w:rsidRPr="008A0812" w:rsidRDefault="00160C1B" w:rsidP="00160C1B">
            <w:pPr>
              <w:jc w:val="center"/>
              <w:rPr>
                <w:rFonts w:asciiTheme="minorHAnsi" w:hAnsiTheme="minorHAnsi" w:cs="Calibri"/>
              </w:rPr>
            </w:pPr>
            <w:r w:rsidRPr="008A0812">
              <w:t>0</w:t>
            </w:r>
          </w:p>
        </w:tc>
      </w:tr>
      <w:tr w:rsidR="00160C1B" w:rsidRPr="008A0812" w14:paraId="42929058" w14:textId="77777777" w:rsidTr="00160C1B">
        <w:trPr>
          <w:trHeight w:val="288"/>
          <w:jc w:val="center"/>
        </w:trPr>
        <w:tc>
          <w:tcPr>
            <w:tcW w:w="3170" w:type="dxa"/>
            <w:shd w:val="clear" w:color="auto" w:fill="auto"/>
            <w:noWrap/>
          </w:tcPr>
          <w:p w14:paraId="3F67BBFB" w14:textId="73686D58" w:rsidR="00160C1B" w:rsidRPr="008A0812" w:rsidRDefault="00160C1B" w:rsidP="00160C1B">
            <w:pPr>
              <w:rPr>
                <w:rFonts w:asciiTheme="minorHAnsi" w:hAnsiTheme="minorHAnsi" w:cs="Calibri"/>
              </w:rPr>
            </w:pPr>
            <w:r w:rsidRPr="008A0812">
              <w:t>HVAC and Misc. Mechanical Assets</w:t>
            </w:r>
          </w:p>
        </w:tc>
        <w:tc>
          <w:tcPr>
            <w:tcW w:w="960" w:type="dxa"/>
            <w:shd w:val="clear" w:color="auto" w:fill="auto"/>
            <w:noWrap/>
          </w:tcPr>
          <w:p w14:paraId="09A36E45" w14:textId="0837AF1A" w:rsidR="00160C1B" w:rsidRPr="008A0812" w:rsidRDefault="00160C1B" w:rsidP="00160C1B">
            <w:pPr>
              <w:jc w:val="center"/>
              <w:rPr>
                <w:rFonts w:asciiTheme="minorHAnsi" w:hAnsiTheme="minorHAnsi" w:cs="Calibri"/>
              </w:rPr>
            </w:pPr>
            <w:r w:rsidRPr="008A0812">
              <w:t>14</w:t>
            </w:r>
          </w:p>
        </w:tc>
        <w:tc>
          <w:tcPr>
            <w:tcW w:w="1059" w:type="dxa"/>
            <w:shd w:val="clear" w:color="auto" w:fill="auto"/>
            <w:noWrap/>
          </w:tcPr>
          <w:p w14:paraId="5DC9F7A0" w14:textId="5B451BBC" w:rsidR="00160C1B" w:rsidRPr="008A0812" w:rsidRDefault="00160C1B" w:rsidP="00160C1B">
            <w:pPr>
              <w:jc w:val="center"/>
              <w:rPr>
                <w:rFonts w:asciiTheme="minorHAnsi" w:hAnsiTheme="minorHAnsi" w:cs="Calibri"/>
              </w:rPr>
            </w:pPr>
            <w:r w:rsidRPr="008A0812">
              <w:t>2</w:t>
            </w:r>
          </w:p>
        </w:tc>
        <w:tc>
          <w:tcPr>
            <w:tcW w:w="960" w:type="dxa"/>
            <w:shd w:val="clear" w:color="auto" w:fill="auto"/>
            <w:noWrap/>
          </w:tcPr>
          <w:p w14:paraId="282D958F" w14:textId="0545EA58" w:rsidR="00160C1B" w:rsidRPr="008A0812" w:rsidRDefault="00160C1B" w:rsidP="00160C1B">
            <w:pPr>
              <w:jc w:val="center"/>
              <w:rPr>
                <w:rFonts w:asciiTheme="minorHAnsi" w:hAnsiTheme="minorHAnsi" w:cs="Calibri"/>
              </w:rPr>
            </w:pPr>
            <w:r w:rsidRPr="008A0812">
              <w:t>1</w:t>
            </w:r>
          </w:p>
        </w:tc>
        <w:tc>
          <w:tcPr>
            <w:tcW w:w="960" w:type="dxa"/>
            <w:shd w:val="clear" w:color="auto" w:fill="auto"/>
            <w:noWrap/>
          </w:tcPr>
          <w:p w14:paraId="77CF6005" w14:textId="663BECC9"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69A38E2F" w14:textId="23F7CB6A" w:rsidR="00160C1B" w:rsidRPr="008A0812" w:rsidRDefault="00160C1B" w:rsidP="00160C1B">
            <w:pPr>
              <w:jc w:val="center"/>
              <w:rPr>
                <w:rFonts w:asciiTheme="minorHAnsi" w:hAnsiTheme="minorHAnsi" w:cs="Calibri"/>
              </w:rPr>
            </w:pPr>
            <w:r w:rsidRPr="008A0812">
              <w:t>1</w:t>
            </w:r>
          </w:p>
        </w:tc>
      </w:tr>
      <w:tr w:rsidR="00160C1B" w:rsidRPr="008A0812" w14:paraId="4E65A89C" w14:textId="77777777" w:rsidTr="00160C1B">
        <w:trPr>
          <w:trHeight w:val="288"/>
          <w:jc w:val="center"/>
        </w:trPr>
        <w:tc>
          <w:tcPr>
            <w:tcW w:w="3170" w:type="dxa"/>
            <w:shd w:val="clear" w:color="auto" w:fill="auto"/>
            <w:noWrap/>
          </w:tcPr>
          <w:p w14:paraId="0BB84FB2" w14:textId="522592CC" w:rsidR="00160C1B" w:rsidRPr="008A0812" w:rsidRDefault="00160C1B" w:rsidP="00160C1B">
            <w:pPr>
              <w:rPr>
                <w:rFonts w:asciiTheme="minorHAnsi" w:hAnsiTheme="minorHAnsi" w:cs="Calibri"/>
              </w:rPr>
            </w:pPr>
            <w:r w:rsidRPr="008A0812">
              <w:t xml:space="preserve">Instrumentation </w:t>
            </w:r>
          </w:p>
        </w:tc>
        <w:tc>
          <w:tcPr>
            <w:tcW w:w="960" w:type="dxa"/>
            <w:shd w:val="clear" w:color="auto" w:fill="auto"/>
            <w:noWrap/>
          </w:tcPr>
          <w:p w14:paraId="38D61D55" w14:textId="067D8157" w:rsidR="00160C1B" w:rsidRPr="008A0812" w:rsidRDefault="00160C1B" w:rsidP="00160C1B">
            <w:pPr>
              <w:jc w:val="center"/>
              <w:rPr>
                <w:rFonts w:asciiTheme="minorHAnsi" w:hAnsiTheme="minorHAnsi" w:cs="Calibri"/>
              </w:rPr>
            </w:pPr>
            <w:r w:rsidRPr="008A0812">
              <w:t>13</w:t>
            </w:r>
          </w:p>
        </w:tc>
        <w:tc>
          <w:tcPr>
            <w:tcW w:w="1059" w:type="dxa"/>
            <w:shd w:val="clear" w:color="auto" w:fill="auto"/>
            <w:noWrap/>
          </w:tcPr>
          <w:p w14:paraId="09300C2A" w14:textId="17D7A94B" w:rsidR="00160C1B" w:rsidRPr="008A0812" w:rsidRDefault="00160C1B" w:rsidP="00160C1B">
            <w:pPr>
              <w:jc w:val="center"/>
              <w:rPr>
                <w:rFonts w:asciiTheme="minorHAnsi" w:hAnsiTheme="minorHAnsi" w:cs="Calibri"/>
              </w:rPr>
            </w:pPr>
            <w:r w:rsidRPr="008A0812">
              <w:t>2</w:t>
            </w:r>
          </w:p>
        </w:tc>
        <w:tc>
          <w:tcPr>
            <w:tcW w:w="960" w:type="dxa"/>
            <w:shd w:val="clear" w:color="auto" w:fill="auto"/>
            <w:noWrap/>
          </w:tcPr>
          <w:p w14:paraId="134F6946" w14:textId="47866F0C" w:rsidR="00160C1B" w:rsidRPr="008A0812" w:rsidRDefault="00160C1B" w:rsidP="00160C1B">
            <w:pPr>
              <w:jc w:val="center"/>
              <w:rPr>
                <w:rFonts w:asciiTheme="minorHAnsi" w:hAnsiTheme="minorHAnsi" w:cs="Calibri"/>
              </w:rPr>
            </w:pPr>
            <w:r w:rsidRPr="008A0812">
              <w:t>0</w:t>
            </w:r>
          </w:p>
        </w:tc>
        <w:tc>
          <w:tcPr>
            <w:tcW w:w="960" w:type="dxa"/>
            <w:shd w:val="clear" w:color="auto" w:fill="auto"/>
            <w:noWrap/>
          </w:tcPr>
          <w:p w14:paraId="688656E1" w14:textId="0B5F002C"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04BFD547" w14:textId="56963F2C" w:rsidR="00160C1B" w:rsidRPr="008A0812" w:rsidRDefault="00160C1B" w:rsidP="00160C1B">
            <w:pPr>
              <w:jc w:val="center"/>
              <w:rPr>
                <w:rFonts w:asciiTheme="minorHAnsi" w:hAnsiTheme="minorHAnsi" w:cs="Calibri"/>
              </w:rPr>
            </w:pPr>
            <w:r w:rsidRPr="008A0812">
              <w:t>1</w:t>
            </w:r>
          </w:p>
        </w:tc>
      </w:tr>
      <w:tr w:rsidR="00160C1B" w:rsidRPr="008A0812" w14:paraId="7A9AB88C" w14:textId="77777777" w:rsidTr="00160C1B">
        <w:trPr>
          <w:trHeight w:val="288"/>
          <w:jc w:val="center"/>
        </w:trPr>
        <w:tc>
          <w:tcPr>
            <w:tcW w:w="3170" w:type="dxa"/>
            <w:shd w:val="clear" w:color="auto" w:fill="auto"/>
            <w:noWrap/>
          </w:tcPr>
          <w:p w14:paraId="16A34413" w14:textId="6D120A74" w:rsidR="00160C1B" w:rsidRPr="008A0812" w:rsidRDefault="00160C1B" w:rsidP="00160C1B">
            <w:pPr>
              <w:rPr>
                <w:rFonts w:asciiTheme="minorHAnsi" w:hAnsiTheme="minorHAnsi" w:cs="Calibri"/>
              </w:rPr>
            </w:pPr>
            <w:r w:rsidRPr="008A0812">
              <w:t>Liner and Containment Structures</w:t>
            </w:r>
          </w:p>
        </w:tc>
        <w:tc>
          <w:tcPr>
            <w:tcW w:w="960" w:type="dxa"/>
            <w:shd w:val="clear" w:color="auto" w:fill="auto"/>
            <w:noWrap/>
          </w:tcPr>
          <w:p w14:paraId="10775702" w14:textId="6827E851" w:rsidR="00160C1B" w:rsidRPr="008A0812" w:rsidRDefault="00160C1B" w:rsidP="00160C1B">
            <w:pPr>
              <w:jc w:val="center"/>
              <w:rPr>
                <w:rFonts w:asciiTheme="minorHAnsi" w:hAnsiTheme="minorHAnsi" w:cs="Calibri"/>
              </w:rPr>
            </w:pPr>
            <w:r w:rsidRPr="008A0812">
              <w:t>12</w:t>
            </w:r>
          </w:p>
        </w:tc>
        <w:tc>
          <w:tcPr>
            <w:tcW w:w="1059" w:type="dxa"/>
            <w:shd w:val="clear" w:color="auto" w:fill="auto"/>
            <w:noWrap/>
          </w:tcPr>
          <w:p w14:paraId="4D51B3DA" w14:textId="5E086615" w:rsidR="00160C1B" w:rsidRPr="008A0812" w:rsidRDefault="00160C1B" w:rsidP="00160C1B">
            <w:pPr>
              <w:jc w:val="center"/>
              <w:rPr>
                <w:rFonts w:asciiTheme="minorHAnsi" w:hAnsiTheme="minorHAnsi" w:cs="Calibri"/>
              </w:rPr>
            </w:pPr>
            <w:r w:rsidRPr="008A0812">
              <w:t>2</w:t>
            </w:r>
          </w:p>
        </w:tc>
        <w:tc>
          <w:tcPr>
            <w:tcW w:w="960" w:type="dxa"/>
            <w:shd w:val="clear" w:color="auto" w:fill="auto"/>
            <w:noWrap/>
          </w:tcPr>
          <w:p w14:paraId="526DA103" w14:textId="03411ABC" w:rsidR="00160C1B" w:rsidRPr="008A0812" w:rsidRDefault="00160C1B" w:rsidP="00160C1B">
            <w:pPr>
              <w:jc w:val="center"/>
              <w:rPr>
                <w:rFonts w:asciiTheme="minorHAnsi" w:hAnsiTheme="minorHAnsi" w:cs="Calibri"/>
              </w:rPr>
            </w:pPr>
            <w:r w:rsidRPr="008A0812">
              <w:t>0</w:t>
            </w:r>
          </w:p>
        </w:tc>
        <w:tc>
          <w:tcPr>
            <w:tcW w:w="960" w:type="dxa"/>
            <w:shd w:val="clear" w:color="auto" w:fill="auto"/>
            <w:noWrap/>
          </w:tcPr>
          <w:p w14:paraId="52C6E2BB" w14:textId="73AB4F5F"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32F4F654" w14:textId="0E10EEBF" w:rsidR="00160C1B" w:rsidRPr="008A0812" w:rsidRDefault="00160C1B" w:rsidP="00160C1B">
            <w:pPr>
              <w:jc w:val="center"/>
              <w:rPr>
                <w:rFonts w:asciiTheme="minorHAnsi" w:hAnsiTheme="minorHAnsi" w:cs="Calibri"/>
              </w:rPr>
            </w:pPr>
            <w:r w:rsidRPr="008A0812">
              <w:t>0</w:t>
            </w:r>
          </w:p>
        </w:tc>
      </w:tr>
      <w:tr w:rsidR="00160C1B" w:rsidRPr="008A0812" w14:paraId="6465E227" w14:textId="77777777" w:rsidTr="00343739">
        <w:trPr>
          <w:trHeight w:val="288"/>
          <w:jc w:val="center"/>
        </w:trPr>
        <w:tc>
          <w:tcPr>
            <w:tcW w:w="3170" w:type="dxa"/>
            <w:shd w:val="clear" w:color="auto" w:fill="auto"/>
            <w:noWrap/>
            <w:hideMark/>
          </w:tcPr>
          <w:p w14:paraId="1CA6D05E" w14:textId="5CBC2896" w:rsidR="00160C1B" w:rsidRPr="008A0812" w:rsidRDefault="00160C1B" w:rsidP="00160C1B">
            <w:pPr>
              <w:rPr>
                <w:rFonts w:asciiTheme="minorHAnsi" w:hAnsiTheme="minorHAnsi" w:cs="Calibri"/>
              </w:rPr>
            </w:pPr>
            <w:r w:rsidRPr="008A0812">
              <w:t xml:space="preserve">Grit Removal System </w:t>
            </w:r>
          </w:p>
        </w:tc>
        <w:tc>
          <w:tcPr>
            <w:tcW w:w="960" w:type="dxa"/>
            <w:shd w:val="clear" w:color="auto" w:fill="auto"/>
            <w:noWrap/>
            <w:hideMark/>
          </w:tcPr>
          <w:p w14:paraId="46946337" w14:textId="41006407" w:rsidR="00160C1B" w:rsidRPr="008A0812" w:rsidRDefault="00160C1B" w:rsidP="00160C1B">
            <w:pPr>
              <w:jc w:val="center"/>
              <w:rPr>
                <w:rFonts w:asciiTheme="minorHAnsi" w:hAnsiTheme="minorHAnsi" w:cs="Calibri"/>
              </w:rPr>
            </w:pPr>
            <w:r w:rsidRPr="008A0812">
              <w:t>12</w:t>
            </w:r>
          </w:p>
        </w:tc>
        <w:tc>
          <w:tcPr>
            <w:tcW w:w="1059" w:type="dxa"/>
            <w:shd w:val="clear" w:color="auto" w:fill="auto"/>
            <w:noWrap/>
            <w:hideMark/>
          </w:tcPr>
          <w:p w14:paraId="45AF103E" w14:textId="6C100E8F" w:rsidR="00160C1B" w:rsidRPr="008A0812" w:rsidRDefault="00160C1B" w:rsidP="00160C1B">
            <w:pPr>
              <w:jc w:val="center"/>
              <w:rPr>
                <w:rFonts w:asciiTheme="minorHAnsi" w:hAnsiTheme="minorHAnsi" w:cs="Calibri"/>
              </w:rPr>
            </w:pPr>
            <w:r w:rsidRPr="008A0812">
              <w:t>2</w:t>
            </w:r>
          </w:p>
        </w:tc>
        <w:tc>
          <w:tcPr>
            <w:tcW w:w="960" w:type="dxa"/>
            <w:shd w:val="clear" w:color="auto" w:fill="auto"/>
            <w:noWrap/>
            <w:hideMark/>
          </w:tcPr>
          <w:p w14:paraId="680EFD80" w14:textId="35DCD4E2" w:rsidR="00160C1B" w:rsidRPr="008A0812" w:rsidRDefault="00160C1B" w:rsidP="00160C1B">
            <w:pPr>
              <w:jc w:val="center"/>
              <w:rPr>
                <w:rFonts w:asciiTheme="minorHAnsi" w:hAnsiTheme="minorHAnsi" w:cs="Calibri"/>
              </w:rPr>
            </w:pPr>
            <w:r w:rsidRPr="008A0812">
              <w:t>0</w:t>
            </w:r>
          </w:p>
        </w:tc>
        <w:tc>
          <w:tcPr>
            <w:tcW w:w="960" w:type="dxa"/>
            <w:shd w:val="clear" w:color="auto" w:fill="auto"/>
            <w:noWrap/>
            <w:hideMark/>
          </w:tcPr>
          <w:p w14:paraId="222015AE" w14:textId="6593A840" w:rsidR="00160C1B" w:rsidRPr="008A0812" w:rsidRDefault="00160C1B" w:rsidP="00160C1B">
            <w:pPr>
              <w:jc w:val="center"/>
              <w:rPr>
                <w:rFonts w:asciiTheme="minorHAnsi" w:hAnsiTheme="minorHAnsi" w:cs="Calibri"/>
              </w:rPr>
            </w:pPr>
            <w:r w:rsidRPr="008A0812">
              <w:t>3</w:t>
            </w:r>
          </w:p>
        </w:tc>
        <w:tc>
          <w:tcPr>
            <w:tcW w:w="960" w:type="dxa"/>
            <w:shd w:val="clear" w:color="auto" w:fill="auto"/>
            <w:noWrap/>
            <w:hideMark/>
          </w:tcPr>
          <w:p w14:paraId="43EC898E" w14:textId="68243D47" w:rsidR="00160C1B" w:rsidRPr="008A0812" w:rsidRDefault="00160C1B" w:rsidP="00160C1B">
            <w:pPr>
              <w:jc w:val="center"/>
              <w:rPr>
                <w:rFonts w:asciiTheme="minorHAnsi" w:hAnsiTheme="minorHAnsi" w:cs="Calibri"/>
              </w:rPr>
            </w:pPr>
            <w:r w:rsidRPr="008A0812">
              <w:t>0</w:t>
            </w:r>
          </w:p>
        </w:tc>
      </w:tr>
      <w:tr w:rsidR="00160C1B" w:rsidRPr="008A0812" w14:paraId="6ECE4546" w14:textId="77777777" w:rsidTr="00160C1B">
        <w:trPr>
          <w:trHeight w:val="288"/>
          <w:jc w:val="center"/>
        </w:trPr>
        <w:tc>
          <w:tcPr>
            <w:tcW w:w="3170" w:type="dxa"/>
            <w:shd w:val="clear" w:color="auto" w:fill="auto"/>
            <w:noWrap/>
          </w:tcPr>
          <w:p w14:paraId="513C8F53" w14:textId="6781DD86" w:rsidR="00160C1B" w:rsidRPr="008A0812" w:rsidRDefault="00160C1B" w:rsidP="00160C1B">
            <w:pPr>
              <w:rPr>
                <w:rFonts w:asciiTheme="minorHAnsi" w:hAnsiTheme="minorHAnsi" w:cs="Calibri"/>
              </w:rPr>
            </w:pPr>
            <w:r w:rsidRPr="008A0812">
              <w:t>Pavement  </w:t>
            </w:r>
          </w:p>
        </w:tc>
        <w:tc>
          <w:tcPr>
            <w:tcW w:w="960" w:type="dxa"/>
            <w:shd w:val="clear" w:color="auto" w:fill="auto"/>
            <w:noWrap/>
          </w:tcPr>
          <w:p w14:paraId="1B5344DD" w14:textId="7C1C52A4" w:rsidR="00160C1B" w:rsidRPr="008A0812" w:rsidRDefault="00160C1B" w:rsidP="00160C1B">
            <w:pPr>
              <w:jc w:val="center"/>
              <w:rPr>
                <w:rFonts w:asciiTheme="minorHAnsi" w:hAnsiTheme="minorHAnsi" w:cs="Calibri"/>
              </w:rPr>
            </w:pPr>
            <w:r w:rsidRPr="008A0812">
              <w:t>10</w:t>
            </w:r>
          </w:p>
        </w:tc>
        <w:tc>
          <w:tcPr>
            <w:tcW w:w="1059" w:type="dxa"/>
            <w:shd w:val="clear" w:color="auto" w:fill="auto"/>
            <w:noWrap/>
          </w:tcPr>
          <w:p w14:paraId="6485805D" w14:textId="659B4C2C" w:rsidR="00160C1B" w:rsidRPr="008A0812" w:rsidRDefault="00160C1B" w:rsidP="00160C1B">
            <w:pPr>
              <w:jc w:val="center"/>
              <w:rPr>
                <w:rFonts w:asciiTheme="minorHAnsi" w:hAnsiTheme="minorHAnsi" w:cs="Calibri"/>
              </w:rPr>
            </w:pPr>
            <w:r w:rsidRPr="008A0812">
              <w:t>1</w:t>
            </w:r>
          </w:p>
        </w:tc>
        <w:tc>
          <w:tcPr>
            <w:tcW w:w="960" w:type="dxa"/>
            <w:shd w:val="clear" w:color="auto" w:fill="auto"/>
            <w:noWrap/>
          </w:tcPr>
          <w:p w14:paraId="709A64D2" w14:textId="11C611B9" w:rsidR="00160C1B" w:rsidRPr="008A0812" w:rsidRDefault="00160C1B" w:rsidP="00160C1B">
            <w:pPr>
              <w:jc w:val="center"/>
              <w:rPr>
                <w:rFonts w:asciiTheme="minorHAnsi" w:hAnsiTheme="minorHAnsi" w:cs="Calibri"/>
              </w:rPr>
            </w:pPr>
            <w:r w:rsidRPr="008A0812">
              <w:t>0</w:t>
            </w:r>
          </w:p>
        </w:tc>
        <w:tc>
          <w:tcPr>
            <w:tcW w:w="960" w:type="dxa"/>
            <w:shd w:val="clear" w:color="auto" w:fill="auto"/>
            <w:noWrap/>
          </w:tcPr>
          <w:p w14:paraId="6E1AC1D9" w14:textId="76A2A299" w:rsidR="00160C1B" w:rsidRPr="008A0812" w:rsidRDefault="00160C1B" w:rsidP="00160C1B">
            <w:pPr>
              <w:jc w:val="center"/>
              <w:rPr>
                <w:rFonts w:asciiTheme="minorHAnsi" w:hAnsiTheme="minorHAnsi" w:cs="Calibri"/>
              </w:rPr>
            </w:pPr>
            <w:r w:rsidRPr="008A0812">
              <w:t>3</w:t>
            </w:r>
          </w:p>
        </w:tc>
        <w:tc>
          <w:tcPr>
            <w:tcW w:w="960" w:type="dxa"/>
            <w:shd w:val="clear" w:color="auto" w:fill="auto"/>
            <w:noWrap/>
          </w:tcPr>
          <w:p w14:paraId="138BA1E3" w14:textId="5844B0DB" w:rsidR="00160C1B" w:rsidRPr="008A0812" w:rsidRDefault="00160C1B" w:rsidP="00160C1B">
            <w:pPr>
              <w:jc w:val="center"/>
              <w:rPr>
                <w:rFonts w:asciiTheme="minorHAnsi" w:hAnsiTheme="minorHAnsi" w:cs="Calibri"/>
              </w:rPr>
            </w:pPr>
            <w:r w:rsidRPr="008A0812">
              <w:t>1</w:t>
            </w:r>
          </w:p>
        </w:tc>
      </w:tr>
    </w:tbl>
    <w:p w14:paraId="79CF36CC" w14:textId="77777777" w:rsidR="004776AB" w:rsidRPr="008A0812" w:rsidRDefault="004776AB" w:rsidP="004776AB">
      <w:pPr>
        <w:pStyle w:val="Heading2"/>
        <w:numPr>
          <w:ilvl w:val="1"/>
          <w:numId w:val="1"/>
        </w:numPr>
        <w:tabs>
          <w:tab w:val="clear" w:pos="547"/>
          <w:tab w:val="num" w:pos="446"/>
        </w:tabs>
      </w:pPr>
      <w:bookmarkStart w:id="531" w:name="_Toc41680911"/>
      <w:r w:rsidRPr="008A0812">
        <w:t>Medium-Term R&amp;R Projects (6 to 10 Years)</w:t>
      </w:r>
      <w:bookmarkEnd w:id="531"/>
    </w:p>
    <w:p w14:paraId="56A76728" w14:textId="1B08CF51" w:rsidR="004776AB" w:rsidRPr="008A0812" w:rsidRDefault="004776AB" w:rsidP="00D06267">
      <w:pPr>
        <w:pStyle w:val="BodyText"/>
      </w:pPr>
      <w:r w:rsidRPr="008A0812">
        <w:t xml:space="preserve">This section describes projects that are recommended in the Medium-Term (FY 2025/2026 through FY 2029/2030). A summary of cost estimates for each project is provided in </w:t>
      </w:r>
      <w:r w:rsidR="00D06267" w:rsidRPr="008A0812">
        <w:fldChar w:fldCharType="begin"/>
      </w:r>
      <w:r w:rsidR="00D06267" w:rsidRPr="008A0812">
        <w:instrText xml:space="preserve"> REF _Ref36400888 \h </w:instrText>
      </w:r>
      <w:r w:rsidR="008A0812">
        <w:instrText xml:space="preserve"> \* MERGEFORMAT </w:instrText>
      </w:r>
      <w:r w:rsidR="00D06267" w:rsidRPr="008A0812">
        <w:fldChar w:fldCharType="separate"/>
      </w:r>
      <w:r w:rsidR="00AA68F8" w:rsidRPr="008A0812">
        <w:t xml:space="preserve">Table </w:t>
      </w:r>
      <w:r w:rsidR="00AA68F8">
        <w:rPr>
          <w:noProof/>
        </w:rPr>
        <w:t>9</w:t>
      </w:r>
      <w:r w:rsidR="00AA68F8" w:rsidRPr="008A0812">
        <w:rPr>
          <w:noProof/>
        </w:rPr>
        <w:noBreakHyphen/>
      </w:r>
      <w:r w:rsidR="00AA68F8">
        <w:rPr>
          <w:noProof/>
        </w:rPr>
        <w:t>3</w:t>
      </w:r>
      <w:r w:rsidR="00D06267" w:rsidRPr="008A0812">
        <w:fldChar w:fldCharType="end"/>
      </w:r>
      <w:r w:rsidRPr="008A0812">
        <w:t xml:space="preserve"> with more detailed cost sheets included at the end of this section. </w:t>
      </w:r>
    </w:p>
    <w:p w14:paraId="432344D6" w14:textId="44E5B1E7" w:rsidR="00D06267" w:rsidRPr="008A0812" w:rsidRDefault="00D06267" w:rsidP="00D06267">
      <w:pPr>
        <w:pStyle w:val="TableHeading"/>
      </w:pPr>
      <w:bookmarkStart w:id="532" w:name="_Ref36400888"/>
      <w:bookmarkStart w:id="533" w:name="_Toc36414102"/>
      <w:bookmarkStart w:id="534" w:name="_Toc41684789"/>
      <w:r w:rsidRPr="008A0812">
        <w:t xml:space="preserve">Table </w:t>
      </w:r>
      <w:r>
        <w:fldChar w:fldCharType="begin"/>
      </w:r>
      <w:r>
        <w:instrText>STYLEREF 1 \s</w:instrText>
      </w:r>
      <w:r>
        <w:fldChar w:fldCharType="separate"/>
      </w:r>
      <w:r w:rsidR="00AA68F8">
        <w:rPr>
          <w:noProof/>
        </w:rPr>
        <w:t>9</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532"/>
      <w:r w:rsidRPr="008A0812">
        <w:t>: Medium-Term R&amp;R Projects (6 to 10 Years)</w:t>
      </w:r>
      <w:bookmarkEnd w:id="533"/>
      <w:bookmarkEnd w:id="534"/>
    </w:p>
    <w:tbl>
      <w:tblPr>
        <w:tblW w:w="93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52"/>
        <w:gridCol w:w="4860"/>
        <w:gridCol w:w="2340"/>
      </w:tblGrid>
      <w:tr w:rsidR="004776AB" w:rsidRPr="008A0812" w14:paraId="5FA39B7F" w14:textId="77777777" w:rsidTr="004776AB">
        <w:trPr>
          <w:cantSplit/>
          <w:trHeight w:hRule="exact" w:val="331"/>
          <w:tblHeader/>
        </w:trPr>
        <w:tc>
          <w:tcPr>
            <w:tcW w:w="2152"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center"/>
            <w:hideMark/>
          </w:tcPr>
          <w:p w14:paraId="6F2D5DAB"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CIP Project</w:t>
            </w:r>
          </w:p>
        </w:tc>
        <w:tc>
          <w:tcPr>
            <w:tcW w:w="4860" w:type="dxa"/>
            <w:tcBorders>
              <w:top w:val="single" w:sz="6" w:space="0" w:color="auto"/>
              <w:left w:val="nil"/>
              <w:bottom w:val="single" w:sz="6" w:space="0" w:color="auto"/>
              <w:right w:val="single" w:sz="6" w:space="0" w:color="auto"/>
            </w:tcBorders>
            <w:shd w:val="clear" w:color="auto" w:fill="BFBFBF"/>
            <w:vAlign w:val="center"/>
            <w:hideMark/>
          </w:tcPr>
          <w:p w14:paraId="3A6F57CA"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Description</w:t>
            </w:r>
          </w:p>
        </w:tc>
        <w:tc>
          <w:tcPr>
            <w:tcW w:w="2340" w:type="dxa"/>
            <w:tcBorders>
              <w:top w:val="single" w:sz="6" w:space="0" w:color="auto"/>
              <w:left w:val="nil"/>
              <w:bottom w:val="single" w:sz="6" w:space="0" w:color="auto"/>
              <w:right w:val="single" w:sz="6" w:space="0" w:color="auto"/>
            </w:tcBorders>
            <w:shd w:val="clear" w:color="auto" w:fill="BFBFBF"/>
            <w:vAlign w:val="center"/>
          </w:tcPr>
          <w:p w14:paraId="5C87C529"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Cost</w:t>
            </w:r>
          </w:p>
        </w:tc>
      </w:tr>
      <w:tr w:rsidR="004776AB" w:rsidRPr="008A0812" w14:paraId="09D5601E"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2913CAB" w14:textId="77777777" w:rsidR="004776AB" w:rsidRPr="008A0812" w:rsidRDefault="004776AB" w:rsidP="00DB4BB5">
            <w:pPr>
              <w:keepNext/>
              <w:overflowPunct/>
              <w:autoSpaceDE/>
              <w:autoSpaceDN/>
              <w:adjustRightInd/>
              <w:spacing w:before="60" w:after="60"/>
              <w:rPr>
                <w:rFonts w:asciiTheme="majorHAnsi" w:hAnsiTheme="majorHAnsi" w:cs="Segoe UI"/>
              </w:rPr>
            </w:pPr>
            <w:r w:rsidRPr="008A0812">
              <w:rPr>
                <w:rFonts w:asciiTheme="majorHAnsi" w:hAnsiTheme="majorHAnsi" w:cs="Segoe UI"/>
              </w:rPr>
              <w:t>HVAC and Misc. Mechanical Asset R&amp;R</w:t>
            </w:r>
          </w:p>
        </w:tc>
        <w:tc>
          <w:tcPr>
            <w:tcW w:w="4860" w:type="dxa"/>
            <w:tcBorders>
              <w:top w:val="nil"/>
              <w:left w:val="nil"/>
              <w:bottom w:val="single" w:sz="6" w:space="0" w:color="auto"/>
              <w:right w:val="single" w:sz="6" w:space="0" w:color="auto"/>
            </w:tcBorders>
            <w:shd w:val="clear" w:color="auto" w:fill="auto"/>
            <w:hideMark/>
          </w:tcPr>
          <w:p w14:paraId="38D12451" w14:textId="77777777" w:rsidR="004776AB" w:rsidRPr="008A0812" w:rsidRDefault="004776AB" w:rsidP="00DB4BB5">
            <w:pPr>
              <w:keepNext/>
              <w:overflowPunct/>
              <w:autoSpaceDE/>
              <w:autoSpaceDN/>
              <w:adjustRightInd/>
              <w:spacing w:before="60" w:after="60"/>
              <w:ind w:left="90"/>
              <w:rPr>
                <w:rFonts w:asciiTheme="majorHAnsi" w:hAnsiTheme="majorHAnsi" w:cs="Segoe UI"/>
              </w:rPr>
            </w:pPr>
            <w:r w:rsidRPr="008A0812">
              <w:t>R&amp;R of aging HVAC and miscellaneous mechanical assets. Assets to replaced include HVAC and various valves located in Electrical Administration Building, Boiler Building, and Headworks Tunnel and Splitter box.</w:t>
            </w:r>
          </w:p>
        </w:tc>
        <w:tc>
          <w:tcPr>
            <w:tcW w:w="2340" w:type="dxa"/>
            <w:tcBorders>
              <w:top w:val="nil"/>
              <w:left w:val="nil"/>
              <w:bottom w:val="single" w:sz="6" w:space="0" w:color="auto"/>
              <w:right w:val="single" w:sz="6" w:space="0" w:color="auto"/>
            </w:tcBorders>
            <w:tcMar>
              <w:right w:w="720" w:type="dxa"/>
            </w:tcMar>
            <w:vAlign w:val="center"/>
          </w:tcPr>
          <w:p w14:paraId="4A6B1A1B" w14:textId="77777777" w:rsidR="004776AB" w:rsidRPr="008A0812" w:rsidRDefault="004776AB" w:rsidP="00DB4BB5">
            <w:pPr>
              <w:keepNext/>
              <w:keepLines/>
              <w:overflowPunct/>
              <w:autoSpaceDE/>
              <w:autoSpaceDN/>
              <w:adjustRightInd/>
              <w:spacing w:before="60" w:after="60"/>
              <w:jc w:val="right"/>
            </w:pPr>
            <w:r w:rsidRPr="008A0812">
              <w:t>$1,671,000</w:t>
            </w:r>
          </w:p>
        </w:tc>
      </w:tr>
      <w:tr w:rsidR="004776AB" w:rsidRPr="008A0812" w14:paraId="4283B7EB" w14:textId="77777777" w:rsidTr="004776AB">
        <w:trPr>
          <w:trHeight w:val="331"/>
        </w:trPr>
        <w:tc>
          <w:tcPr>
            <w:tcW w:w="2152"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59D51E5D"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Instrumentation R&amp;R</w:t>
            </w:r>
          </w:p>
        </w:tc>
        <w:tc>
          <w:tcPr>
            <w:tcW w:w="4860" w:type="dxa"/>
            <w:tcBorders>
              <w:top w:val="single" w:sz="6" w:space="0" w:color="auto"/>
              <w:left w:val="nil"/>
              <w:bottom w:val="single" w:sz="6" w:space="0" w:color="auto"/>
              <w:right w:val="single" w:sz="6" w:space="0" w:color="auto"/>
            </w:tcBorders>
            <w:shd w:val="clear" w:color="auto" w:fill="auto"/>
            <w:hideMark/>
          </w:tcPr>
          <w:p w14:paraId="5FFAA9DA"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instrumentation assets. Instrumentation to be replaced include meters, sensors and probes located at the onsite wells, bar screen building and outfall sample stations.</w:t>
            </w:r>
          </w:p>
        </w:tc>
        <w:tc>
          <w:tcPr>
            <w:tcW w:w="2340" w:type="dxa"/>
            <w:tcBorders>
              <w:top w:val="single" w:sz="6" w:space="0" w:color="auto"/>
              <w:left w:val="nil"/>
              <w:bottom w:val="single" w:sz="6" w:space="0" w:color="auto"/>
              <w:right w:val="single" w:sz="6" w:space="0" w:color="auto"/>
            </w:tcBorders>
            <w:tcMar>
              <w:right w:w="720" w:type="dxa"/>
            </w:tcMar>
            <w:vAlign w:val="center"/>
          </w:tcPr>
          <w:p w14:paraId="2E5308C2" w14:textId="77777777" w:rsidR="004776AB" w:rsidRPr="008A0812" w:rsidRDefault="004776AB" w:rsidP="00DB4BB5">
            <w:pPr>
              <w:overflowPunct/>
              <w:autoSpaceDE/>
              <w:autoSpaceDN/>
              <w:adjustRightInd/>
              <w:spacing w:before="60" w:after="60"/>
              <w:jc w:val="right"/>
            </w:pPr>
            <w:r w:rsidRPr="008A0812">
              <w:t>$5,552,000</w:t>
            </w:r>
          </w:p>
        </w:tc>
      </w:tr>
      <w:tr w:rsidR="004776AB" w:rsidRPr="008A0812" w14:paraId="72E262F9"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2338A1D"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General Site Civil</w:t>
            </w:r>
          </w:p>
        </w:tc>
        <w:tc>
          <w:tcPr>
            <w:tcW w:w="4860" w:type="dxa"/>
            <w:tcBorders>
              <w:top w:val="nil"/>
              <w:left w:val="nil"/>
              <w:bottom w:val="single" w:sz="6" w:space="0" w:color="auto"/>
              <w:right w:val="single" w:sz="6" w:space="0" w:color="auto"/>
            </w:tcBorders>
            <w:shd w:val="clear" w:color="auto" w:fill="auto"/>
            <w:hideMark/>
          </w:tcPr>
          <w:p w14:paraId="1E4648EA"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at the Septage and Brine Receiving Station, Irrigation Control Building and Brine Ponds.</w:t>
            </w:r>
          </w:p>
        </w:tc>
        <w:tc>
          <w:tcPr>
            <w:tcW w:w="2340" w:type="dxa"/>
            <w:tcBorders>
              <w:top w:val="nil"/>
              <w:left w:val="nil"/>
              <w:bottom w:val="single" w:sz="6" w:space="0" w:color="auto"/>
              <w:right w:val="single" w:sz="6" w:space="0" w:color="auto"/>
            </w:tcBorders>
            <w:tcMar>
              <w:right w:w="720" w:type="dxa"/>
            </w:tcMar>
            <w:vAlign w:val="center"/>
          </w:tcPr>
          <w:p w14:paraId="0967EC56" w14:textId="77777777" w:rsidR="004776AB" w:rsidRPr="008A0812" w:rsidRDefault="004776AB" w:rsidP="00DB4BB5">
            <w:pPr>
              <w:overflowPunct/>
              <w:autoSpaceDE/>
              <w:autoSpaceDN/>
              <w:adjustRightInd/>
              <w:spacing w:before="60" w:after="60"/>
              <w:jc w:val="right"/>
            </w:pPr>
            <w:r w:rsidRPr="008A0812">
              <w:t>$340,000</w:t>
            </w:r>
          </w:p>
        </w:tc>
      </w:tr>
      <w:tr w:rsidR="004776AB" w:rsidRPr="008A0812" w14:paraId="7A01B7BF"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1FBF273"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Solids Handling R&amp;R</w:t>
            </w:r>
          </w:p>
        </w:tc>
        <w:tc>
          <w:tcPr>
            <w:tcW w:w="4860" w:type="dxa"/>
            <w:tcBorders>
              <w:top w:val="nil"/>
              <w:left w:val="nil"/>
              <w:bottom w:val="single" w:sz="6" w:space="0" w:color="auto"/>
              <w:right w:val="single" w:sz="6" w:space="0" w:color="auto"/>
            </w:tcBorders>
            <w:shd w:val="clear" w:color="auto" w:fill="auto"/>
            <w:hideMark/>
          </w:tcPr>
          <w:p w14:paraId="699119B0"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dewatering and digester assets. Assets to be replaced include various sludge handling, dewatering and odor control equipment located at the dewatering building, DAFTs, Digester A and sludge storage.</w:t>
            </w:r>
          </w:p>
        </w:tc>
        <w:tc>
          <w:tcPr>
            <w:tcW w:w="2340" w:type="dxa"/>
            <w:tcBorders>
              <w:top w:val="nil"/>
              <w:left w:val="nil"/>
              <w:bottom w:val="single" w:sz="6" w:space="0" w:color="auto"/>
              <w:right w:val="single" w:sz="6" w:space="0" w:color="auto"/>
            </w:tcBorders>
            <w:tcMar>
              <w:right w:w="720" w:type="dxa"/>
            </w:tcMar>
            <w:vAlign w:val="center"/>
          </w:tcPr>
          <w:p w14:paraId="7E937523" w14:textId="77777777" w:rsidR="004776AB" w:rsidRPr="008A0812" w:rsidRDefault="004776AB" w:rsidP="00DB4BB5">
            <w:pPr>
              <w:overflowPunct/>
              <w:autoSpaceDE/>
              <w:autoSpaceDN/>
              <w:adjustRightInd/>
              <w:spacing w:before="60" w:after="60"/>
              <w:jc w:val="right"/>
            </w:pPr>
            <w:r w:rsidRPr="008A0812">
              <w:t>$11,274,000</w:t>
            </w:r>
          </w:p>
        </w:tc>
      </w:tr>
      <w:tr w:rsidR="004776AB" w:rsidRPr="008A0812" w14:paraId="0D3CE1A2"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EF31A4A"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Lift Station R&amp;R</w:t>
            </w:r>
          </w:p>
        </w:tc>
        <w:tc>
          <w:tcPr>
            <w:tcW w:w="4860" w:type="dxa"/>
            <w:tcBorders>
              <w:top w:val="nil"/>
              <w:left w:val="nil"/>
              <w:bottom w:val="single" w:sz="6" w:space="0" w:color="auto"/>
              <w:right w:val="single" w:sz="6" w:space="0" w:color="auto"/>
            </w:tcBorders>
            <w:shd w:val="clear" w:color="auto" w:fill="auto"/>
            <w:hideMark/>
          </w:tcPr>
          <w:p w14:paraId="3F44651F" w14:textId="60B770C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Arrowhead and East</w:t>
            </w:r>
            <w:r w:rsidR="00CC2A20">
              <w:t xml:space="preserve"> Influent</w:t>
            </w:r>
            <w:r w:rsidRPr="008A0812">
              <w:t xml:space="preserve"> Lift Stations. Assets to be replaced include pumps, motors, and sensors.</w:t>
            </w:r>
          </w:p>
        </w:tc>
        <w:tc>
          <w:tcPr>
            <w:tcW w:w="2340" w:type="dxa"/>
            <w:tcBorders>
              <w:top w:val="nil"/>
              <w:left w:val="nil"/>
              <w:bottom w:val="single" w:sz="6" w:space="0" w:color="auto"/>
              <w:right w:val="single" w:sz="6" w:space="0" w:color="auto"/>
            </w:tcBorders>
            <w:tcMar>
              <w:right w:w="720" w:type="dxa"/>
            </w:tcMar>
            <w:vAlign w:val="center"/>
          </w:tcPr>
          <w:p w14:paraId="3DE820BE" w14:textId="77777777" w:rsidR="004776AB" w:rsidRPr="008A0812" w:rsidRDefault="004776AB" w:rsidP="00DB4BB5">
            <w:pPr>
              <w:overflowPunct/>
              <w:autoSpaceDE/>
              <w:autoSpaceDN/>
              <w:adjustRightInd/>
              <w:spacing w:before="60" w:after="60"/>
              <w:jc w:val="right"/>
            </w:pPr>
            <w:r w:rsidRPr="008A0812">
              <w:t>$2,846,000</w:t>
            </w:r>
          </w:p>
        </w:tc>
      </w:tr>
      <w:tr w:rsidR="00D06267" w:rsidRPr="008A0812" w14:paraId="4621AC46"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tcPr>
          <w:p w14:paraId="2A30CFED" w14:textId="0563473F" w:rsidR="00D06267" w:rsidRPr="008A0812" w:rsidRDefault="00D06267"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Pavement R&amp;R</w:t>
            </w:r>
          </w:p>
        </w:tc>
        <w:tc>
          <w:tcPr>
            <w:tcW w:w="4860" w:type="dxa"/>
            <w:tcBorders>
              <w:top w:val="nil"/>
              <w:left w:val="nil"/>
              <w:bottom w:val="single" w:sz="6" w:space="0" w:color="auto"/>
              <w:right w:val="single" w:sz="6" w:space="0" w:color="auto"/>
            </w:tcBorders>
            <w:shd w:val="clear" w:color="auto" w:fill="auto"/>
          </w:tcPr>
          <w:p w14:paraId="2DA58134" w14:textId="3A06DE07" w:rsidR="00D06267" w:rsidRPr="008A0812" w:rsidRDefault="00D06267" w:rsidP="00DB4BB5">
            <w:pPr>
              <w:overflowPunct/>
              <w:autoSpaceDE/>
              <w:autoSpaceDN/>
              <w:adjustRightInd/>
              <w:spacing w:before="60" w:after="60"/>
              <w:ind w:left="90"/>
            </w:pPr>
            <w:r w:rsidRPr="008A0812">
              <w:rPr>
                <w:rFonts w:asciiTheme="majorHAnsi" w:hAnsiTheme="majorHAnsi" w:cs="Segoe UI"/>
              </w:rPr>
              <w:t>R&amp;R of pavement throughout the treatment plant site. This cost has been spread over a 10-year period.</w:t>
            </w:r>
          </w:p>
        </w:tc>
        <w:tc>
          <w:tcPr>
            <w:tcW w:w="2340" w:type="dxa"/>
            <w:tcBorders>
              <w:top w:val="nil"/>
              <w:left w:val="nil"/>
              <w:bottom w:val="single" w:sz="6" w:space="0" w:color="auto"/>
              <w:right w:val="single" w:sz="6" w:space="0" w:color="auto"/>
            </w:tcBorders>
            <w:tcMar>
              <w:right w:w="720" w:type="dxa"/>
            </w:tcMar>
            <w:vAlign w:val="center"/>
          </w:tcPr>
          <w:p w14:paraId="415A7405" w14:textId="423A6169" w:rsidR="00D06267" w:rsidRPr="008A0812" w:rsidRDefault="00D06267" w:rsidP="00DB4BB5">
            <w:pPr>
              <w:overflowPunct/>
              <w:autoSpaceDE/>
              <w:autoSpaceDN/>
              <w:adjustRightInd/>
              <w:spacing w:before="60" w:after="60"/>
              <w:jc w:val="right"/>
            </w:pPr>
            <w:r w:rsidRPr="008A0812">
              <w:t>$3,640,000</w:t>
            </w:r>
          </w:p>
        </w:tc>
      </w:tr>
      <w:tr w:rsidR="004776AB" w:rsidRPr="008A0812" w14:paraId="026EE121"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3A8B7B3"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Headworks R&amp;R</w:t>
            </w:r>
          </w:p>
        </w:tc>
        <w:tc>
          <w:tcPr>
            <w:tcW w:w="4860" w:type="dxa"/>
            <w:tcBorders>
              <w:top w:val="nil"/>
              <w:left w:val="nil"/>
              <w:bottom w:val="single" w:sz="6" w:space="0" w:color="auto"/>
              <w:right w:val="single" w:sz="6" w:space="0" w:color="auto"/>
            </w:tcBorders>
            <w:shd w:val="clear" w:color="auto" w:fill="auto"/>
            <w:hideMark/>
          </w:tcPr>
          <w:p w14:paraId="2A9C428B"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headworks including grit removal and odor control systems.</w:t>
            </w:r>
          </w:p>
        </w:tc>
        <w:tc>
          <w:tcPr>
            <w:tcW w:w="2340" w:type="dxa"/>
            <w:tcBorders>
              <w:top w:val="nil"/>
              <w:left w:val="nil"/>
              <w:bottom w:val="single" w:sz="6" w:space="0" w:color="auto"/>
              <w:right w:val="single" w:sz="6" w:space="0" w:color="auto"/>
            </w:tcBorders>
            <w:tcMar>
              <w:right w:w="720" w:type="dxa"/>
            </w:tcMar>
            <w:vAlign w:val="center"/>
          </w:tcPr>
          <w:p w14:paraId="47B1935B" w14:textId="77777777" w:rsidR="004776AB" w:rsidRPr="008A0812" w:rsidRDefault="004776AB" w:rsidP="00DB4BB5">
            <w:pPr>
              <w:overflowPunct/>
              <w:autoSpaceDE/>
              <w:autoSpaceDN/>
              <w:adjustRightInd/>
              <w:spacing w:before="60" w:after="60"/>
              <w:jc w:val="right"/>
            </w:pPr>
            <w:r w:rsidRPr="008A0812">
              <w:t>$3,853,000</w:t>
            </w:r>
          </w:p>
        </w:tc>
      </w:tr>
      <w:tr w:rsidR="004776AB" w:rsidRPr="008A0812" w14:paraId="48841EFC"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2BF6502"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Nitrogen Removal Carousel R&amp;R</w:t>
            </w:r>
          </w:p>
        </w:tc>
        <w:tc>
          <w:tcPr>
            <w:tcW w:w="4860" w:type="dxa"/>
            <w:tcBorders>
              <w:top w:val="nil"/>
              <w:left w:val="nil"/>
              <w:bottom w:val="single" w:sz="6" w:space="0" w:color="auto"/>
              <w:right w:val="single" w:sz="6" w:space="0" w:color="auto"/>
            </w:tcBorders>
            <w:shd w:val="clear" w:color="auto" w:fill="auto"/>
            <w:hideMark/>
          </w:tcPr>
          <w:p w14:paraId="3392FC82"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Nitrogen Removal Carousel. Assets to be replaced include RAS/WAS pumps and motors, and various mechanical equipment.</w:t>
            </w:r>
          </w:p>
        </w:tc>
        <w:tc>
          <w:tcPr>
            <w:tcW w:w="2340" w:type="dxa"/>
            <w:tcBorders>
              <w:top w:val="nil"/>
              <w:left w:val="nil"/>
              <w:bottom w:val="single" w:sz="6" w:space="0" w:color="auto"/>
              <w:right w:val="single" w:sz="6" w:space="0" w:color="auto"/>
            </w:tcBorders>
            <w:tcMar>
              <w:right w:w="720" w:type="dxa"/>
            </w:tcMar>
            <w:vAlign w:val="center"/>
          </w:tcPr>
          <w:p w14:paraId="28EDDEAB" w14:textId="77777777" w:rsidR="004776AB" w:rsidRPr="008A0812" w:rsidRDefault="004776AB" w:rsidP="00DB4BB5">
            <w:pPr>
              <w:overflowPunct/>
              <w:autoSpaceDE/>
              <w:autoSpaceDN/>
              <w:adjustRightInd/>
              <w:spacing w:before="60" w:after="60"/>
              <w:jc w:val="right"/>
            </w:pPr>
            <w:r w:rsidRPr="008A0812">
              <w:t>$1,900,000</w:t>
            </w:r>
          </w:p>
        </w:tc>
      </w:tr>
      <w:tr w:rsidR="004776AB" w:rsidRPr="008A0812" w14:paraId="30A370BD"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FA593B9" w14:textId="35AD25F0" w:rsidR="004776AB" w:rsidRPr="008A0812" w:rsidRDefault="000064C4"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VFD R&amp;R</w:t>
            </w:r>
          </w:p>
        </w:tc>
        <w:tc>
          <w:tcPr>
            <w:tcW w:w="4860" w:type="dxa"/>
            <w:tcBorders>
              <w:top w:val="nil"/>
              <w:left w:val="nil"/>
              <w:bottom w:val="single" w:sz="6" w:space="0" w:color="auto"/>
              <w:right w:val="single" w:sz="6" w:space="0" w:color="auto"/>
            </w:tcBorders>
            <w:shd w:val="clear" w:color="auto" w:fill="auto"/>
            <w:hideMark/>
          </w:tcPr>
          <w:p w14:paraId="5E20E271" w14:textId="1DBC4F81"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Variable Frequency Drives. Assets to be replaced include VFD and instrumentation located at the Roots Blower Building and Tertiary Reservoir.</w:t>
            </w:r>
            <w:r w:rsidR="008916F2" w:rsidRPr="008A0812">
              <w:t xml:space="preserve"> Consideration should be given to replacing the Roots blowers in addition to the VFDs for this project.</w:t>
            </w:r>
          </w:p>
        </w:tc>
        <w:tc>
          <w:tcPr>
            <w:tcW w:w="2340" w:type="dxa"/>
            <w:tcBorders>
              <w:top w:val="nil"/>
              <w:left w:val="nil"/>
              <w:bottom w:val="single" w:sz="6" w:space="0" w:color="auto"/>
              <w:right w:val="single" w:sz="6" w:space="0" w:color="auto"/>
            </w:tcBorders>
            <w:tcMar>
              <w:right w:w="720" w:type="dxa"/>
            </w:tcMar>
            <w:vAlign w:val="center"/>
          </w:tcPr>
          <w:p w14:paraId="2E9BF8C5" w14:textId="77777777" w:rsidR="004776AB" w:rsidRPr="008A0812" w:rsidRDefault="004776AB" w:rsidP="00DB4BB5">
            <w:pPr>
              <w:overflowPunct/>
              <w:autoSpaceDE/>
              <w:autoSpaceDN/>
              <w:adjustRightInd/>
              <w:spacing w:before="60" w:after="60"/>
              <w:jc w:val="right"/>
            </w:pPr>
            <w:r w:rsidRPr="008A0812">
              <w:t>$3,263,000</w:t>
            </w:r>
          </w:p>
        </w:tc>
      </w:tr>
      <w:tr w:rsidR="004776AB" w:rsidRPr="008A0812" w14:paraId="2DE8C2D7" w14:textId="77777777" w:rsidTr="004776AB">
        <w:trPr>
          <w:trHeight w:val="331"/>
        </w:trPr>
        <w:tc>
          <w:tcPr>
            <w:tcW w:w="2152" w:type="dxa"/>
            <w:tcBorders>
              <w:top w:val="nil"/>
              <w:left w:val="single" w:sz="6" w:space="0" w:color="auto"/>
              <w:bottom w:val="single" w:sz="6" w:space="0" w:color="auto"/>
              <w:right w:val="single" w:sz="6" w:space="0" w:color="auto"/>
            </w:tcBorders>
            <w:shd w:val="clear" w:color="auto" w:fill="auto"/>
            <w:tcMar>
              <w:left w:w="72" w:type="dxa"/>
            </w:tcMar>
            <w:vAlign w:val="center"/>
          </w:tcPr>
          <w:p w14:paraId="0928CDF7"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Units 1 and 2 R&amp;R</w:t>
            </w:r>
          </w:p>
        </w:tc>
        <w:tc>
          <w:tcPr>
            <w:tcW w:w="4860" w:type="dxa"/>
            <w:tcBorders>
              <w:top w:val="nil"/>
              <w:left w:val="nil"/>
              <w:bottom w:val="single" w:sz="6" w:space="0" w:color="auto"/>
              <w:right w:val="single" w:sz="6" w:space="0" w:color="auto"/>
            </w:tcBorders>
            <w:shd w:val="clear" w:color="auto" w:fill="auto"/>
          </w:tcPr>
          <w:p w14:paraId="7D724542"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Unit 1 and Unit 2 process. Assets to be replaced include diffusers, mixers, motors and miscellaneous mechanical equipment and instrumentation.</w:t>
            </w:r>
          </w:p>
        </w:tc>
        <w:tc>
          <w:tcPr>
            <w:tcW w:w="2340" w:type="dxa"/>
            <w:tcBorders>
              <w:top w:val="nil"/>
              <w:left w:val="nil"/>
              <w:bottom w:val="single" w:sz="6" w:space="0" w:color="auto"/>
              <w:right w:val="single" w:sz="6" w:space="0" w:color="auto"/>
            </w:tcBorders>
            <w:tcMar>
              <w:right w:w="720" w:type="dxa"/>
            </w:tcMar>
            <w:vAlign w:val="center"/>
          </w:tcPr>
          <w:p w14:paraId="23D7EE96" w14:textId="77777777" w:rsidR="004776AB" w:rsidRPr="008A0812" w:rsidRDefault="004776AB" w:rsidP="00DB4BB5">
            <w:pPr>
              <w:overflowPunct/>
              <w:autoSpaceDE/>
              <w:autoSpaceDN/>
              <w:adjustRightInd/>
              <w:spacing w:before="60" w:after="60"/>
              <w:jc w:val="right"/>
            </w:pPr>
            <w:r w:rsidRPr="008A0812">
              <w:t>$6,296,000</w:t>
            </w:r>
          </w:p>
        </w:tc>
      </w:tr>
      <w:tr w:rsidR="004776AB" w:rsidRPr="008A0812" w14:paraId="1B159032" w14:textId="77777777" w:rsidTr="004776AB">
        <w:trPr>
          <w:trHeight w:val="331"/>
        </w:trPr>
        <w:tc>
          <w:tcPr>
            <w:tcW w:w="2152" w:type="dxa"/>
            <w:tcBorders>
              <w:top w:val="nil"/>
              <w:left w:val="single" w:sz="6" w:space="0" w:color="auto"/>
              <w:bottom w:val="single" w:sz="4" w:space="0" w:color="auto"/>
              <w:right w:val="single" w:sz="6" w:space="0" w:color="auto"/>
            </w:tcBorders>
            <w:shd w:val="clear" w:color="auto" w:fill="auto"/>
            <w:tcMar>
              <w:left w:w="72" w:type="dxa"/>
            </w:tcMar>
            <w:vAlign w:val="center"/>
          </w:tcPr>
          <w:p w14:paraId="55877D7B"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Unit 3 R&amp;R</w:t>
            </w:r>
          </w:p>
        </w:tc>
        <w:tc>
          <w:tcPr>
            <w:tcW w:w="4860" w:type="dxa"/>
            <w:tcBorders>
              <w:top w:val="nil"/>
              <w:left w:val="nil"/>
              <w:bottom w:val="single" w:sz="4" w:space="0" w:color="auto"/>
              <w:right w:val="single" w:sz="6" w:space="0" w:color="auto"/>
            </w:tcBorders>
            <w:shd w:val="clear" w:color="auto" w:fill="auto"/>
          </w:tcPr>
          <w:p w14:paraId="49E5CD8C"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Unit 3 primary process. Assets to be replaced include scum pumps, motors, grinders, and miscellaneous mechanical equipment and instrumentation.</w:t>
            </w:r>
          </w:p>
        </w:tc>
        <w:tc>
          <w:tcPr>
            <w:tcW w:w="2340" w:type="dxa"/>
            <w:tcBorders>
              <w:top w:val="nil"/>
              <w:left w:val="nil"/>
              <w:bottom w:val="single" w:sz="4" w:space="0" w:color="auto"/>
              <w:right w:val="single" w:sz="6" w:space="0" w:color="auto"/>
            </w:tcBorders>
            <w:tcMar>
              <w:right w:w="720" w:type="dxa"/>
            </w:tcMar>
            <w:vAlign w:val="center"/>
          </w:tcPr>
          <w:p w14:paraId="100B42FD" w14:textId="77777777" w:rsidR="004776AB" w:rsidRPr="008A0812" w:rsidRDefault="004776AB" w:rsidP="00DB4BB5">
            <w:pPr>
              <w:overflowPunct/>
              <w:autoSpaceDE/>
              <w:autoSpaceDN/>
              <w:adjustRightInd/>
              <w:spacing w:before="60" w:after="60"/>
              <w:jc w:val="right"/>
            </w:pPr>
            <w:r w:rsidRPr="008A0812">
              <w:t>$3,791,000</w:t>
            </w:r>
          </w:p>
        </w:tc>
      </w:tr>
      <w:tr w:rsidR="004776AB" w:rsidRPr="008A0812" w14:paraId="69D97511" w14:textId="77777777" w:rsidTr="004776AB">
        <w:trPr>
          <w:trHeight w:val="331"/>
        </w:trPr>
        <w:tc>
          <w:tcPr>
            <w:tcW w:w="701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2" w:type="dxa"/>
            </w:tcMar>
            <w:vAlign w:val="center"/>
          </w:tcPr>
          <w:p w14:paraId="25498F0E" w14:textId="77777777" w:rsidR="004776AB" w:rsidRPr="008A0812" w:rsidRDefault="004776AB" w:rsidP="00DB4BB5">
            <w:pPr>
              <w:overflowPunct/>
              <w:autoSpaceDE/>
              <w:autoSpaceDN/>
              <w:adjustRightInd/>
              <w:spacing w:before="60" w:after="60"/>
              <w:ind w:left="90"/>
            </w:pPr>
            <w:r w:rsidRPr="008A0812">
              <w:rPr>
                <w:rFonts w:asciiTheme="majorHAnsi" w:hAnsiTheme="majorHAnsi" w:cs="Segoe UI"/>
                <w:b/>
                <w:bCs/>
              </w:rPr>
              <w:t>Total Medium-Term R&amp;R Project Costs</w:t>
            </w:r>
          </w:p>
        </w:tc>
        <w:tc>
          <w:tcPr>
            <w:tcW w:w="234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right w:w="720" w:type="dxa"/>
            </w:tcMar>
            <w:vAlign w:val="center"/>
          </w:tcPr>
          <w:p w14:paraId="1201CB1B" w14:textId="77777777" w:rsidR="004776AB" w:rsidRPr="008A0812" w:rsidRDefault="004776AB" w:rsidP="00DB4BB5">
            <w:pPr>
              <w:overflowPunct/>
              <w:autoSpaceDE/>
              <w:autoSpaceDN/>
              <w:adjustRightInd/>
              <w:spacing w:before="60" w:after="60"/>
              <w:jc w:val="right"/>
              <w:rPr>
                <w:b/>
                <w:bCs/>
              </w:rPr>
            </w:pPr>
            <w:r w:rsidRPr="008A0812">
              <w:rPr>
                <w:b/>
                <w:bCs/>
              </w:rPr>
              <w:t>$40,786,000</w:t>
            </w:r>
          </w:p>
        </w:tc>
      </w:tr>
    </w:tbl>
    <w:p w14:paraId="566CF819" w14:textId="77777777" w:rsidR="004776AB" w:rsidRPr="008A0812" w:rsidRDefault="004776AB" w:rsidP="004776AB">
      <w:pPr>
        <w:pStyle w:val="Heading2"/>
        <w:numPr>
          <w:ilvl w:val="1"/>
          <w:numId w:val="1"/>
        </w:numPr>
        <w:tabs>
          <w:tab w:val="clear" w:pos="547"/>
          <w:tab w:val="num" w:pos="446"/>
        </w:tabs>
      </w:pPr>
      <w:bookmarkStart w:id="535" w:name="_Toc41680912"/>
      <w:r w:rsidRPr="008A0812">
        <w:t>Long-Term R&amp;R Projects (11 to 20 Years)</w:t>
      </w:r>
      <w:bookmarkEnd w:id="535"/>
    </w:p>
    <w:p w14:paraId="3E963216" w14:textId="3B8D7DEA" w:rsidR="004776AB" w:rsidRPr="008A0812" w:rsidRDefault="004776AB" w:rsidP="00D06267">
      <w:pPr>
        <w:pStyle w:val="BodyText"/>
      </w:pPr>
      <w:r w:rsidRPr="008A0812">
        <w:t xml:space="preserve">This section summarizes projects that are recommended in the Long-Term (FY 2030/2031 through FY 2039/2040). A summary of cost estimates for each project is provided in </w:t>
      </w:r>
      <w:r w:rsidR="00D06267" w:rsidRPr="008A0812">
        <w:fldChar w:fldCharType="begin"/>
      </w:r>
      <w:r w:rsidR="00D06267" w:rsidRPr="008A0812">
        <w:instrText xml:space="preserve"> REF _Ref36401395 \h </w:instrText>
      </w:r>
      <w:r w:rsidR="008A0812">
        <w:instrText xml:space="preserve"> \* MERGEFORMAT </w:instrText>
      </w:r>
      <w:r w:rsidR="00D06267" w:rsidRPr="008A0812">
        <w:fldChar w:fldCharType="separate"/>
      </w:r>
      <w:r w:rsidR="00AA68F8" w:rsidRPr="008A0812">
        <w:t xml:space="preserve">Table </w:t>
      </w:r>
      <w:r w:rsidR="00AA68F8">
        <w:rPr>
          <w:noProof/>
        </w:rPr>
        <w:t>9</w:t>
      </w:r>
      <w:r w:rsidR="00AA68F8" w:rsidRPr="008A0812">
        <w:rPr>
          <w:noProof/>
        </w:rPr>
        <w:noBreakHyphen/>
      </w:r>
      <w:r w:rsidR="00AA68F8">
        <w:rPr>
          <w:noProof/>
        </w:rPr>
        <w:t>4</w:t>
      </w:r>
      <w:r w:rsidR="00D06267" w:rsidRPr="008A0812">
        <w:fldChar w:fldCharType="end"/>
      </w:r>
      <w:r w:rsidRPr="008A0812">
        <w:t xml:space="preserve"> with more detailed cost sheets included at the end of this section. </w:t>
      </w:r>
    </w:p>
    <w:p w14:paraId="656D67F9" w14:textId="4B329FD1" w:rsidR="00D06267" w:rsidRPr="008A0812" w:rsidRDefault="00D06267" w:rsidP="00D06267">
      <w:pPr>
        <w:pStyle w:val="TableHeading"/>
      </w:pPr>
      <w:bookmarkStart w:id="536" w:name="_Ref36401395"/>
      <w:bookmarkStart w:id="537" w:name="_Toc36414103"/>
      <w:bookmarkStart w:id="538" w:name="_Toc41684790"/>
      <w:r w:rsidRPr="008A0812">
        <w:t xml:space="preserve">Table </w:t>
      </w:r>
      <w:r>
        <w:fldChar w:fldCharType="begin"/>
      </w:r>
      <w:r>
        <w:instrText>STYLEREF 1 \s</w:instrText>
      </w:r>
      <w:r>
        <w:fldChar w:fldCharType="separate"/>
      </w:r>
      <w:r w:rsidR="00AA68F8">
        <w:rPr>
          <w:noProof/>
        </w:rPr>
        <w:t>9</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536"/>
      <w:r w:rsidRPr="008A0812">
        <w:t>: Long-Term R&amp;R Projects (11 to 20 Years)</w:t>
      </w:r>
      <w:bookmarkEnd w:id="537"/>
      <w:bookmarkEnd w:id="538"/>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95"/>
        <w:gridCol w:w="2465"/>
      </w:tblGrid>
      <w:tr w:rsidR="004776AB" w:rsidRPr="008A0812" w14:paraId="5DA05A60" w14:textId="77777777" w:rsidTr="00D06267">
        <w:trPr>
          <w:trHeight w:hRule="exact" w:val="331"/>
          <w:tblHeader/>
        </w:trPr>
        <w:tc>
          <w:tcPr>
            <w:tcW w:w="6895"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center"/>
            <w:hideMark/>
          </w:tcPr>
          <w:p w14:paraId="230C4CE9" w14:textId="77777777" w:rsidR="004776AB" w:rsidRPr="008A0812" w:rsidRDefault="004776AB" w:rsidP="004776AB">
            <w:pPr>
              <w:keepNext/>
              <w:overflowPunct/>
              <w:autoSpaceDE/>
              <w:autoSpaceDN/>
              <w:adjustRightInd/>
              <w:jc w:val="center"/>
              <w:rPr>
                <w:rFonts w:asciiTheme="majorHAnsi" w:hAnsiTheme="majorHAnsi" w:cs="Segoe UI"/>
                <w:b/>
                <w:bCs/>
              </w:rPr>
            </w:pPr>
            <w:r w:rsidRPr="008A0812">
              <w:rPr>
                <w:rFonts w:asciiTheme="majorHAnsi" w:hAnsiTheme="majorHAnsi" w:cs="Segoe UI"/>
                <w:b/>
                <w:bCs/>
              </w:rPr>
              <w:t>CIP Project</w:t>
            </w:r>
          </w:p>
        </w:tc>
        <w:tc>
          <w:tcPr>
            <w:tcW w:w="2465" w:type="dxa"/>
            <w:tcBorders>
              <w:top w:val="single" w:sz="6" w:space="0" w:color="auto"/>
              <w:left w:val="nil"/>
              <w:bottom w:val="single" w:sz="6" w:space="0" w:color="auto"/>
              <w:right w:val="single" w:sz="6" w:space="0" w:color="auto"/>
            </w:tcBorders>
            <w:shd w:val="clear" w:color="auto" w:fill="BFBFBF"/>
            <w:vAlign w:val="center"/>
          </w:tcPr>
          <w:p w14:paraId="29EF5519"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Cost</w:t>
            </w:r>
          </w:p>
        </w:tc>
      </w:tr>
      <w:tr w:rsidR="004776AB" w:rsidRPr="008A0812" w14:paraId="2A9417D9"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BB7FADA"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HVAC and Misc. Mechanical Asset R&amp;R</w:t>
            </w:r>
          </w:p>
        </w:tc>
        <w:tc>
          <w:tcPr>
            <w:tcW w:w="2465" w:type="dxa"/>
            <w:tcBorders>
              <w:top w:val="nil"/>
              <w:left w:val="nil"/>
              <w:bottom w:val="single" w:sz="6" w:space="0" w:color="auto"/>
              <w:right w:val="single" w:sz="6" w:space="0" w:color="auto"/>
            </w:tcBorders>
            <w:tcMar>
              <w:right w:w="720" w:type="dxa"/>
            </w:tcMar>
            <w:vAlign w:val="center"/>
          </w:tcPr>
          <w:p w14:paraId="0C1F5F34" w14:textId="77777777" w:rsidR="004776AB" w:rsidRPr="008A0812" w:rsidRDefault="004776AB" w:rsidP="00DB4BB5">
            <w:pPr>
              <w:keepNext/>
              <w:keepLines/>
              <w:overflowPunct/>
              <w:autoSpaceDE/>
              <w:autoSpaceDN/>
              <w:adjustRightInd/>
              <w:spacing w:before="60" w:after="60"/>
              <w:jc w:val="right"/>
              <w:rPr>
                <w:rFonts w:asciiTheme="majorHAnsi" w:hAnsiTheme="majorHAnsi"/>
              </w:rPr>
            </w:pPr>
            <w:r w:rsidRPr="008A0812">
              <w:rPr>
                <w:rFonts w:asciiTheme="majorHAnsi" w:hAnsiTheme="majorHAnsi"/>
              </w:rPr>
              <w:t>$8,886,000</w:t>
            </w:r>
          </w:p>
        </w:tc>
      </w:tr>
      <w:tr w:rsidR="004776AB" w:rsidRPr="008A0812" w14:paraId="320AAF44" w14:textId="77777777" w:rsidTr="00D06267">
        <w:trPr>
          <w:trHeight w:hRule="exact" w:val="331"/>
        </w:trPr>
        <w:tc>
          <w:tcPr>
            <w:tcW w:w="6895"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0E639E07"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Instrumentation R&amp;R</w:t>
            </w:r>
          </w:p>
        </w:tc>
        <w:tc>
          <w:tcPr>
            <w:tcW w:w="2465" w:type="dxa"/>
            <w:tcBorders>
              <w:top w:val="single" w:sz="6" w:space="0" w:color="auto"/>
              <w:left w:val="nil"/>
              <w:bottom w:val="single" w:sz="6" w:space="0" w:color="auto"/>
              <w:right w:val="single" w:sz="6" w:space="0" w:color="auto"/>
            </w:tcBorders>
            <w:tcMar>
              <w:right w:w="720" w:type="dxa"/>
            </w:tcMar>
            <w:vAlign w:val="center"/>
          </w:tcPr>
          <w:p w14:paraId="1EB21CE1"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$19,128,000</w:t>
            </w:r>
          </w:p>
        </w:tc>
      </w:tr>
      <w:tr w:rsidR="004776AB" w:rsidRPr="008A0812" w14:paraId="6F8AB8C3"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EF2A123"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General Site Civil</w:t>
            </w:r>
          </w:p>
        </w:tc>
        <w:tc>
          <w:tcPr>
            <w:tcW w:w="2465" w:type="dxa"/>
            <w:tcBorders>
              <w:top w:val="nil"/>
              <w:left w:val="nil"/>
              <w:bottom w:val="single" w:sz="6" w:space="0" w:color="auto"/>
              <w:right w:val="single" w:sz="6" w:space="0" w:color="auto"/>
            </w:tcBorders>
            <w:tcMar>
              <w:right w:w="720" w:type="dxa"/>
            </w:tcMar>
            <w:vAlign w:val="center"/>
          </w:tcPr>
          <w:p w14:paraId="1D1CA8F6"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$956,000</w:t>
            </w:r>
          </w:p>
        </w:tc>
      </w:tr>
      <w:tr w:rsidR="004776AB" w:rsidRPr="008A0812" w14:paraId="62506E32"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7DEF10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Solids Handling R&amp;R</w:t>
            </w:r>
          </w:p>
        </w:tc>
        <w:tc>
          <w:tcPr>
            <w:tcW w:w="2465" w:type="dxa"/>
            <w:tcBorders>
              <w:top w:val="nil"/>
              <w:left w:val="nil"/>
              <w:bottom w:val="single" w:sz="6" w:space="0" w:color="auto"/>
              <w:right w:val="single" w:sz="6" w:space="0" w:color="auto"/>
            </w:tcBorders>
            <w:tcMar>
              <w:right w:w="720" w:type="dxa"/>
            </w:tcMar>
            <w:vAlign w:val="center"/>
          </w:tcPr>
          <w:p w14:paraId="7ED23BE3"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$36,745,000</w:t>
            </w:r>
          </w:p>
        </w:tc>
      </w:tr>
      <w:tr w:rsidR="004776AB" w:rsidRPr="008A0812" w14:paraId="61D80AEB"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tcPr>
          <w:p w14:paraId="42A06262"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Lift Station R&amp;R</w:t>
            </w:r>
          </w:p>
        </w:tc>
        <w:tc>
          <w:tcPr>
            <w:tcW w:w="2465" w:type="dxa"/>
            <w:tcBorders>
              <w:top w:val="nil"/>
              <w:left w:val="nil"/>
              <w:bottom w:val="single" w:sz="6" w:space="0" w:color="auto"/>
              <w:right w:val="single" w:sz="6" w:space="0" w:color="auto"/>
            </w:tcBorders>
            <w:tcMar>
              <w:right w:w="720" w:type="dxa"/>
            </w:tcMar>
            <w:vAlign w:val="center"/>
          </w:tcPr>
          <w:p w14:paraId="1DEB2ADC"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$7,701,000</w:t>
            </w:r>
          </w:p>
        </w:tc>
      </w:tr>
      <w:tr w:rsidR="004776AB" w:rsidRPr="008A0812" w14:paraId="7761FE7B"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tcPr>
          <w:p w14:paraId="3827C0C6"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C &amp; D R&amp;R</w:t>
            </w:r>
          </w:p>
        </w:tc>
        <w:tc>
          <w:tcPr>
            <w:tcW w:w="2465" w:type="dxa"/>
            <w:tcBorders>
              <w:top w:val="nil"/>
              <w:left w:val="nil"/>
              <w:bottom w:val="single" w:sz="6" w:space="0" w:color="auto"/>
              <w:right w:val="single" w:sz="6" w:space="0" w:color="auto"/>
            </w:tcBorders>
            <w:tcMar>
              <w:right w:w="720" w:type="dxa"/>
            </w:tcMar>
            <w:vAlign w:val="center"/>
          </w:tcPr>
          <w:p w14:paraId="681B38E1"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$1,931,000</w:t>
            </w:r>
          </w:p>
        </w:tc>
      </w:tr>
      <w:tr w:rsidR="004776AB" w:rsidRPr="008A0812" w14:paraId="36BCB3EF"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56CA05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Paving R&amp;R</w:t>
            </w:r>
          </w:p>
        </w:tc>
        <w:tc>
          <w:tcPr>
            <w:tcW w:w="2465" w:type="dxa"/>
            <w:tcBorders>
              <w:top w:val="nil"/>
              <w:left w:val="nil"/>
              <w:bottom w:val="single" w:sz="6" w:space="0" w:color="auto"/>
              <w:right w:val="single" w:sz="6" w:space="0" w:color="auto"/>
            </w:tcBorders>
            <w:tcMar>
              <w:right w:w="720" w:type="dxa"/>
            </w:tcMar>
            <w:vAlign w:val="center"/>
          </w:tcPr>
          <w:p w14:paraId="33509DA6"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$1,107,000</w:t>
            </w:r>
          </w:p>
        </w:tc>
      </w:tr>
      <w:tr w:rsidR="004776AB" w:rsidRPr="008A0812" w14:paraId="564D5A29"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04FAE5F"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Headworks R&amp;R</w:t>
            </w:r>
          </w:p>
        </w:tc>
        <w:tc>
          <w:tcPr>
            <w:tcW w:w="2465" w:type="dxa"/>
            <w:tcBorders>
              <w:top w:val="nil"/>
              <w:left w:val="nil"/>
              <w:bottom w:val="single" w:sz="6" w:space="0" w:color="auto"/>
              <w:right w:val="single" w:sz="6" w:space="0" w:color="auto"/>
            </w:tcBorders>
            <w:tcMar>
              <w:right w:w="720" w:type="dxa"/>
            </w:tcMar>
            <w:vAlign w:val="center"/>
          </w:tcPr>
          <w:p w14:paraId="0BE11E20"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$10,100,000</w:t>
            </w:r>
          </w:p>
        </w:tc>
      </w:tr>
      <w:tr w:rsidR="004776AB" w:rsidRPr="008A0812" w14:paraId="4E9A5166" w14:textId="77777777" w:rsidTr="00D06267">
        <w:trPr>
          <w:trHeight w:hRule="exact" w:val="331"/>
        </w:trPr>
        <w:tc>
          <w:tcPr>
            <w:tcW w:w="689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088C95F"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VFD R&amp;R</w:t>
            </w:r>
          </w:p>
        </w:tc>
        <w:tc>
          <w:tcPr>
            <w:tcW w:w="2465" w:type="dxa"/>
            <w:tcBorders>
              <w:top w:val="nil"/>
              <w:left w:val="nil"/>
              <w:bottom w:val="single" w:sz="6" w:space="0" w:color="auto"/>
              <w:right w:val="single" w:sz="6" w:space="0" w:color="auto"/>
            </w:tcBorders>
            <w:tcMar>
              <w:right w:w="720" w:type="dxa"/>
            </w:tcMar>
            <w:vAlign w:val="center"/>
          </w:tcPr>
          <w:p w14:paraId="4AA24769"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$6,232,000</w:t>
            </w:r>
          </w:p>
        </w:tc>
      </w:tr>
      <w:tr w:rsidR="004776AB" w:rsidRPr="008A0812" w14:paraId="0CA8D65A" w14:textId="77777777" w:rsidTr="00D06267">
        <w:trPr>
          <w:trHeight w:hRule="exact" w:val="331"/>
        </w:trPr>
        <w:tc>
          <w:tcPr>
            <w:tcW w:w="6895" w:type="dxa"/>
            <w:tcBorders>
              <w:top w:val="nil"/>
              <w:left w:val="single" w:sz="6" w:space="0" w:color="auto"/>
              <w:bottom w:val="single" w:sz="4" w:space="0" w:color="auto"/>
              <w:right w:val="single" w:sz="6" w:space="0" w:color="auto"/>
            </w:tcBorders>
            <w:shd w:val="clear" w:color="auto" w:fill="auto"/>
            <w:tcMar>
              <w:left w:w="72" w:type="dxa"/>
            </w:tcMar>
            <w:vAlign w:val="center"/>
          </w:tcPr>
          <w:p w14:paraId="1131901F"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Unit 3 R&amp;R</w:t>
            </w:r>
          </w:p>
        </w:tc>
        <w:tc>
          <w:tcPr>
            <w:tcW w:w="2465" w:type="dxa"/>
            <w:tcBorders>
              <w:top w:val="nil"/>
              <w:left w:val="nil"/>
              <w:bottom w:val="single" w:sz="4" w:space="0" w:color="auto"/>
              <w:right w:val="single" w:sz="6" w:space="0" w:color="auto"/>
            </w:tcBorders>
            <w:tcMar>
              <w:right w:w="720" w:type="dxa"/>
            </w:tcMar>
            <w:vAlign w:val="center"/>
          </w:tcPr>
          <w:p w14:paraId="3572B57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$2,639,000</w:t>
            </w:r>
          </w:p>
        </w:tc>
      </w:tr>
      <w:tr w:rsidR="004776AB" w:rsidRPr="008A0812" w14:paraId="79C320BA" w14:textId="77777777" w:rsidTr="00D06267">
        <w:trPr>
          <w:trHeight w:hRule="exact" w:val="331"/>
        </w:trPr>
        <w:tc>
          <w:tcPr>
            <w:tcW w:w="689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2" w:type="dxa"/>
            </w:tcMar>
            <w:vAlign w:val="center"/>
          </w:tcPr>
          <w:p w14:paraId="4433E3AE" w14:textId="77777777" w:rsidR="004776AB" w:rsidRPr="008A0812" w:rsidRDefault="004776AB" w:rsidP="004776AB">
            <w:pPr>
              <w:overflowPunct/>
              <w:autoSpaceDE/>
              <w:autoSpaceDN/>
              <w:adjustRightInd/>
              <w:rPr>
                <w:rFonts w:asciiTheme="majorHAnsi" w:hAnsiTheme="majorHAnsi" w:cs="Segoe UI"/>
                <w:b/>
                <w:bCs/>
              </w:rPr>
            </w:pPr>
            <w:r w:rsidRPr="008A0812">
              <w:rPr>
                <w:rFonts w:asciiTheme="majorHAnsi" w:hAnsiTheme="majorHAnsi" w:cs="Segoe UI"/>
                <w:b/>
                <w:bCs/>
              </w:rPr>
              <w:t>Total Long-Term R&amp;R Project Costs</w:t>
            </w:r>
          </w:p>
        </w:tc>
        <w:tc>
          <w:tcPr>
            <w:tcW w:w="246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right w:w="720" w:type="dxa"/>
            </w:tcMar>
            <w:vAlign w:val="center"/>
          </w:tcPr>
          <w:p w14:paraId="15B271C4" w14:textId="77777777" w:rsidR="004776AB" w:rsidRPr="008A0812" w:rsidRDefault="004776AB" w:rsidP="00DB4BB5">
            <w:pPr>
              <w:overflowPunct/>
              <w:autoSpaceDE/>
              <w:autoSpaceDN/>
              <w:adjustRightInd/>
              <w:spacing w:before="60" w:after="60"/>
              <w:jc w:val="right"/>
              <w:rPr>
                <w:rFonts w:asciiTheme="majorHAnsi" w:hAnsiTheme="majorHAnsi"/>
                <w:b/>
                <w:bCs/>
              </w:rPr>
            </w:pPr>
            <w:r w:rsidRPr="008A0812">
              <w:rPr>
                <w:rFonts w:asciiTheme="majorHAnsi" w:hAnsiTheme="majorHAnsi"/>
                <w:b/>
                <w:bCs/>
              </w:rPr>
              <w:t>$95,425,000</w:t>
            </w:r>
          </w:p>
        </w:tc>
      </w:tr>
    </w:tbl>
    <w:p w14:paraId="4DCB6612" w14:textId="77777777" w:rsidR="004776AB" w:rsidRPr="008A0812" w:rsidRDefault="004776AB" w:rsidP="004776AB">
      <w:pPr>
        <w:pStyle w:val="BodyText"/>
      </w:pPr>
    </w:p>
    <w:p w14:paraId="0F17ACF7" w14:textId="77777777" w:rsidR="004776AB" w:rsidRPr="008A0812" w:rsidRDefault="004776AB" w:rsidP="004776AB">
      <w:pPr>
        <w:overflowPunct/>
        <w:autoSpaceDE/>
        <w:autoSpaceDN/>
        <w:adjustRightInd/>
        <w:textAlignment w:val="auto"/>
      </w:pPr>
      <w:r w:rsidRPr="008A0812">
        <w:br w:type="page"/>
      </w:r>
    </w:p>
    <w:p w14:paraId="1A532CD7" w14:textId="77777777" w:rsidR="004776AB" w:rsidRPr="008A0812" w:rsidRDefault="004776AB" w:rsidP="004776AB">
      <w:pPr>
        <w:pStyle w:val="BodyText"/>
      </w:pPr>
    </w:p>
    <w:p w14:paraId="269EF577" w14:textId="77777777" w:rsidR="000926F4" w:rsidRPr="008A0812" w:rsidRDefault="004776AB" w:rsidP="004776AB">
      <w:pPr>
        <w:pStyle w:val="BodyText"/>
        <w:sectPr w:rsidR="000926F4" w:rsidRPr="008A0812" w:rsidSect="000926F4">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r w:rsidRPr="008A0812">
        <w:t>Insert PDFs of the R&amp;R cost sheets here and delete this page in PDF</w:t>
      </w:r>
    </w:p>
    <w:p w14:paraId="0E1FB9C9" w14:textId="77777777" w:rsidR="004776AB" w:rsidRPr="008A0812" w:rsidRDefault="004776AB" w:rsidP="000926F4">
      <w:pPr>
        <w:pStyle w:val="Heading1"/>
      </w:pPr>
      <w:bookmarkStart w:id="539" w:name="_Toc23931742"/>
      <w:bookmarkStart w:id="540" w:name="_Ref36414877"/>
      <w:bookmarkStart w:id="541" w:name="_Toc41680913"/>
      <w:bookmarkStart w:id="542" w:name="_Hlk20837948"/>
      <w:r w:rsidRPr="008A0812">
        <w:t>Operational Efficiency and Optimization Projects</w:t>
      </w:r>
      <w:bookmarkEnd w:id="539"/>
      <w:bookmarkEnd w:id="540"/>
      <w:bookmarkEnd w:id="541"/>
    </w:p>
    <w:p w14:paraId="01B4482D" w14:textId="11AEC925" w:rsidR="000B6EC6" w:rsidRPr="008A0812" w:rsidRDefault="00DD30AF" w:rsidP="004776AB">
      <w:pPr>
        <w:pStyle w:val="BodyText"/>
      </w:pPr>
      <w:bookmarkStart w:id="543" w:name="_Hlk36030519"/>
      <w:bookmarkStart w:id="544" w:name="_Toc23931743"/>
      <w:bookmarkEnd w:id="542"/>
      <w:r w:rsidRPr="008A0812">
        <w:t xml:space="preserve">This Section considers ten capital improvement projects and four special studies to analyze opportunities for increased efficiency and address needs identified in this Master Plan including peak-flow management, reduction of flow from EVWD, energy conservation, and process reliability. The projects described in this Section are in addition to projects currently in the Capital Improvement Plan (which are discussed in Section </w:t>
      </w:r>
      <w:r w:rsidRPr="008A0812">
        <w:fldChar w:fldCharType="begin"/>
      </w:r>
      <w:r w:rsidRPr="008A0812">
        <w:instrText xml:space="preserve"> REF _Ref20730810 \r \h </w:instrText>
      </w:r>
      <w:r w:rsidR="008A0812">
        <w:instrText xml:space="preserve"> \* MERGEFORMAT </w:instrText>
      </w:r>
      <w:r w:rsidRPr="008A0812">
        <w:fldChar w:fldCharType="separate"/>
      </w:r>
      <w:r w:rsidR="00AA68F8">
        <w:t>0</w:t>
      </w:r>
      <w:r w:rsidRPr="008A0812">
        <w:fldChar w:fldCharType="end"/>
      </w:r>
      <w:r w:rsidRPr="008A0812">
        <w:t xml:space="preserve">). </w:t>
      </w:r>
    </w:p>
    <w:p w14:paraId="4406667C" w14:textId="300317C9" w:rsidR="00DD30AF" w:rsidRPr="008A0812" w:rsidRDefault="00DD30AF" w:rsidP="004776AB">
      <w:pPr>
        <w:pStyle w:val="BodyText"/>
      </w:pPr>
      <w:r w:rsidRPr="008A0812">
        <w:t xml:space="preserve">The following list is a summary of the projects and studies that were </w:t>
      </w:r>
      <w:r w:rsidR="00657B79" w:rsidRPr="008A0812">
        <w:t xml:space="preserve">developed and </w:t>
      </w:r>
      <w:r w:rsidRPr="008A0812">
        <w:t>evaluated. The rest of this Section discusses each of these projects in detail:</w:t>
      </w:r>
    </w:p>
    <w:p w14:paraId="44966C8D" w14:textId="77777777" w:rsidR="00DD30AF" w:rsidRPr="008A0812" w:rsidRDefault="00DD30AF" w:rsidP="002D2C79">
      <w:pPr>
        <w:pStyle w:val="BodyText"/>
        <w:ind w:firstLine="360"/>
        <w:rPr>
          <w:u w:val="single"/>
        </w:rPr>
      </w:pPr>
      <w:r w:rsidRPr="008A0812">
        <w:rPr>
          <w:u w:val="single"/>
        </w:rPr>
        <w:t>Capital Projects</w:t>
      </w:r>
    </w:p>
    <w:p w14:paraId="59CF3E54" w14:textId="77777777" w:rsidR="00DD30AF" w:rsidRPr="008A0812" w:rsidRDefault="00DD30AF" w:rsidP="00DD30AF">
      <w:pPr>
        <w:pStyle w:val="Numbering"/>
        <w:numPr>
          <w:ilvl w:val="0"/>
          <w:numId w:val="43"/>
        </w:numPr>
        <w:overflowPunct/>
        <w:autoSpaceDE/>
        <w:autoSpaceDN/>
        <w:adjustRightInd/>
        <w:textAlignment w:val="auto"/>
      </w:pPr>
      <w:r w:rsidRPr="008A0812">
        <w:t>Primary Treatment</w:t>
      </w:r>
    </w:p>
    <w:p w14:paraId="7E9705F0" w14:textId="0D6B3498" w:rsidR="00DD30AF" w:rsidRPr="008A0812" w:rsidRDefault="00DD30AF" w:rsidP="00DD30AF">
      <w:pPr>
        <w:pStyle w:val="NumberingIndent"/>
        <w:numPr>
          <w:ilvl w:val="1"/>
          <w:numId w:val="43"/>
        </w:numPr>
        <w:tabs>
          <w:tab w:val="clear" w:pos="1080"/>
        </w:tabs>
        <w:overflowPunct/>
        <w:autoSpaceDE/>
        <w:autoSpaceDN/>
        <w:adjustRightInd/>
        <w:textAlignment w:val="auto"/>
      </w:pPr>
      <w:r w:rsidRPr="008A0812">
        <w:t xml:space="preserve">Primary Flow Equalization: Increase wet-weather storage capacity by adding primary flow equalization (EQ). Project is discussed in further detail in Section </w:t>
      </w:r>
      <w:r w:rsidR="00D06267" w:rsidRPr="008A0812">
        <w:fldChar w:fldCharType="begin"/>
      </w:r>
      <w:r w:rsidR="00D06267" w:rsidRPr="008A0812">
        <w:instrText xml:space="preserve"> REF _Ref36401434 \r \h </w:instrText>
      </w:r>
      <w:r w:rsidR="008A0812">
        <w:instrText xml:space="preserve"> \* MERGEFORMAT </w:instrText>
      </w:r>
      <w:r w:rsidR="00D06267" w:rsidRPr="008A0812">
        <w:fldChar w:fldCharType="separate"/>
      </w:r>
      <w:r w:rsidR="00AA68F8">
        <w:t>10.1.1</w:t>
      </w:r>
      <w:r w:rsidR="00D06267" w:rsidRPr="008A0812">
        <w:fldChar w:fldCharType="end"/>
      </w:r>
      <w:r w:rsidRPr="008A0812">
        <w:t>.</w:t>
      </w:r>
    </w:p>
    <w:p w14:paraId="02CBB7D6" w14:textId="35212B10" w:rsidR="00DD30AF" w:rsidRPr="008A0812" w:rsidRDefault="00DD30AF" w:rsidP="00DD30AF">
      <w:pPr>
        <w:pStyle w:val="NumberingIndent"/>
        <w:numPr>
          <w:ilvl w:val="1"/>
          <w:numId w:val="43"/>
        </w:numPr>
        <w:tabs>
          <w:tab w:val="clear" w:pos="1080"/>
        </w:tabs>
      </w:pPr>
      <w:r w:rsidRPr="008A0812">
        <w:t xml:space="preserve">Chemically Enhanced Primary Treatment: Improve solids removal in the primary clarifiers through chemically enhanced primary treatment (CEPT). Project is discussed in further detail in Section </w:t>
      </w:r>
      <w:r w:rsidRPr="008A0812">
        <w:fldChar w:fldCharType="begin"/>
      </w:r>
      <w:r w:rsidRPr="008A0812">
        <w:instrText xml:space="preserve"> REF _Ref36025596 \r \h </w:instrText>
      </w:r>
      <w:r w:rsidR="008A0812">
        <w:instrText xml:space="preserve"> \* MERGEFORMAT </w:instrText>
      </w:r>
      <w:r w:rsidRPr="008A0812">
        <w:fldChar w:fldCharType="separate"/>
      </w:r>
      <w:r w:rsidR="00AA68F8">
        <w:t>10.1.2</w:t>
      </w:r>
      <w:r w:rsidRPr="008A0812">
        <w:fldChar w:fldCharType="end"/>
      </w:r>
      <w:r w:rsidRPr="008A0812">
        <w:t>.</w:t>
      </w:r>
    </w:p>
    <w:p w14:paraId="5C5832BB" w14:textId="77777777" w:rsidR="00DD30AF" w:rsidRPr="008A0812" w:rsidRDefault="00DD30AF" w:rsidP="00DD30AF">
      <w:pPr>
        <w:pStyle w:val="Numbering"/>
        <w:numPr>
          <w:ilvl w:val="0"/>
          <w:numId w:val="43"/>
        </w:numPr>
      </w:pPr>
      <w:r w:rsidRPr="008A0812">
        <w:t>Secondary Treatment</w:t>
      </w:r>
    </w:p>
    <w:p w14:paraId="3E9F0D4C" w14:textId="7960DA88" w:rsidR="00DD30AF" w:rsidRPr="008A0812" w:rsidRDefault="00DD30AF" w:rsidP="00DD30AF">
      <w:pPr>
        <w:pStyle w:val="NumberingIndent"/>
        <w:numPr>
          <w:ilvl w:val="1"/>
          <w:numId w:val="43"/>
        </w:numPr>
        <w:tabs>
          <w:tab w:val="clear" w:pos="1080"/>
        </w:tabs>
      </w:pPr>
      <w:r w:rsidRPr="008A0812">
        <w:t xml:space="preserve">Liquid Process Optimization: Improve nitrogen removal and sludge settleability by studying and pilot testing different operational modes for Units 1 and 2 and the addition of Mixed Liquor Return (MLR) pumps to Unit 2. Project is discussed in further detail in Section </w:t>
      </w:r>
      <w:r w:rsidRPr="008A0812">
        <w:fldChar w:fldCharType="begin"/>
      </w:r>
      <w:r w:rsidRPr="008A0812">
        <w:instrText xml:space="preserve"> REF _Ref36025618 \r \h </w:instrText>
      </w:r>
      <w:r w:rsidR="008A0812">
        <w:instrText xml:space="preserve"> \* MERGEFORMAT </w:instrText>
      </w:r>
      <w:r w:rsidRPr="008A0812">
        <w:fldChar w:fldCharType="separate"/>
      </w:r>
      <w:r w:rsidR="00AA68F8">
        <w:t>10.2.1</w:t>
      </w:r>
      <w:r w:rsidRPr="008A0812">
        <w:fldChar w:fldCharType="end"/>
      </w:r>
      <w:r w:rsidR="00D06267" w:rsidRPr="008A0812">
        <w:t>.</w:t>
      </w:r>
    </w:p>
    <w:p w14:paraId="76CDF386" w14:textId="5B3DC0BB" w:rsidR="00DD30AF" w:rsidRPr="008A0812" w:rsidRDefault="00DD30AF" w:rsidP="00DD30AF">
      <w:pPr>
        <w:pStyle w:val="NumberingIndent"/>
        <w:numPr>
          <w:ilvl w:val="1"/>
          <w:numId w:val="43"/>
        </w:numPr>
        <w:tabs>
          <w:tab w:val="clear" w:pos="1080"/>
        </w:tabs>
      </w:pPr>
      <w:r w:rsidRPr="008A0812">
        <w:t xml:space="preserve">Secondary Capacity Reduction: Reduce operational costs and complexity by taking one of the Unit 2 trains off-line after the reduction of flow from EVWD. Project is discussed in further detail in Section </w:t>
      </w:r>
      <w:r w:rsidRPr="008A0812">
        <w:fldChar w:fldCharType="begin"/>
      </w:r>
      <w:r w:rsidRPr="008A0812">
        <w:instrText xml:space="preserve"> REF _Ref20216624 \r \h </w:instrText>
      </w:r>
      <w:r w:rsidR="008A0812">
        <w:instrText xml:space="preserve"> \* MERGEFORMAT </w:instrText>
      </w:r>
      <w:r w:rsidRPr="008A0812">
        <w:fldChar w:fldCharType="separate"/>
      </w:r>
      <w:r w:rsidR="00AA68F8">
        <w:t>10.2.2</w:t>
      </w:r>
      <w:r w:rsidRPr="008A0812">
        <w:fldChar w:fldCharType="end"/>
      </w:r>
      <w:r w:rsidRPr="008A0812">
        <w:t>.</w:t>
      </w:r>
    </w:p>
    <w:p w14:paraId="5604507E" w14:textId="091929E6" w:rsidR="00DD30AF" w:rsidRPr="008A0812" w:rsidRDefault="00DD30AF" w:rsidP="00DD30AF">
      <w:pPr>
        <w:pStyle w:val="NumberingIndent"/>
        <w:numPr>
          <w:ilvl w:val="1"/>
          <w:numId w:val="43"/>
        </w:numPr>
        <w:tabs>
          <w:tab w:val="clear" w:pos="1080"/>
        </w:tabs>
      </w:pPr>
      <w:r w:rsidRPr="008A0812">
        <w:t xml:space="preserve">NRC Conversion to Diffused Air: Improve NRC process control and increase energy savings by converting mechanical aerators to diffused air and installing DO control. Project is discussed in further detail in Section </w:t>
      </w:r>
      <w:r w:rsidRPr="008A0812">
        <w:fldChar w:fldCharType="begin"/>
      </w:r>
      <w:r w:rsidRPr="008A0812">
        <w:instrText xml:space="preserve"> REF _Ref36025661 \r \h </w:instrText>
      </w:r>
      <w:r w:rsidR="008A0812">
        <w:instrText xml:space="preserve"> \* MERGEFORMAT </w:instrText>
      </w:r>
      <w:r w:rsidRPr="008A0812">
        <w:fldChar w:fldCharType="separate"/>
      </w:r>
      <w:r w:rsidR="00AA68F8">
        <w:t>10.2.3</w:t>
      </w:r>
      <w:r w:rsidRPr="008A0812">
        <w:fldChar w:fldCharType="end"/>
      </w:r>
      <w:r w:rsidRPr="008A0812">
        <w:t>.</w:t>
      </w:r>
    </w:p>
    <w:p w14:paraId="7E90D281" w14:textId="4DC3701C" w:rsidR="00DD30AF" w:rsidRPr="008A0812" w:rsidRDefault="001979BE" w:rsidP="00DD30AF">
      <w:pPr>
        <w:pStyle w:val="NumberingIndent"/>
        <w:numPr>
          <w:ilvl w:val="1"/>
          <w:numId w:val="43"/>
        </w:numPr>
        <w:tabs>
          <w:tab w:val="clear" w:pos="1080"/>
        </w:tabs>
      </w:pPr>
      <w:r w:rsidRPr="008A0812">
        <w:t>Unit 3 Expansion and Completion</w:t>
      </w:r>
      <w:r w:rsidR="00DD30AF" w:rsidRPr="008A0812">
        <w:t xml:space="preserve">: Improve overall plant efficiency and performance by replacing multiple liquid processes with a unified conventional activated sludge process designed for nitrogen removal. Project is discussed in further detail in Section </w:t>
      </w:r>
      <w:r w:rsidR="00DD30AF" w:rsidRPr="008A0812">
        <w:fldChar w:fldCharType="begin"/>
      </w:r>
      <w:r w:rsidR="00DD30AF" w:rsidRPr="008A0812">
        <w:instrText xml:space="preserve"> REF _Ref36025676 \r \h </w:instrText>
      </w:r>
      <w:r w:rsidR="008A0812">
        <w:instrText xml:space="preserve"> \* MERGEFORMAT </w:instrText>
      </w:r>
      <w:r w:rsidR="00DD30AF" w:rsidRPr="008A0812">
        <w:fldChar w:fldCharType="separate"/>
      </w:r>
      <w:r w:rsidR="00AA68F8">
        <w:t></w:t>
      </w:r>
      <w:r w:rsidR="00DD30AF" w:rsidRPr="008A0812">
        <w:fldChar w:fldCharType="end"/>
      </w:r>
      <w:r w:rsidR="00DD30AF" w:rsidRPr="008A0812">
        <w:t>.</w:t>
      </w:r>
    </w:p>
    <w:p w14:paraId="14E88BD0" w14:textId="77777777" w:rsidR="00DD30AF" w:rsidRPr="008A0812" w:rsidRDefault="00DD30AF" w:rsidP="00DD30AF">
      <w:pPr>
        <w:pStyle w:val="Numbering"/>
        <w:numPr>
          <w:ilvl w:val="0"/>
          <w:numId w:val="43"/>
        </w:numPr>
      </w:pPr>
      <w:r w:rsidRPr="008A0812">
        <w:t>Solids Handling</w:t>
      </w:r>
    </w:p>
    <w:p w14:paraId="3848623C" w14:textId="5E6924EF" w:rsidR="00DD30AF" w:rsidRPr="008A0812" w:rsidRDefault="00DD30AF" w:rsidP="00DD30AF">
      <w:pPr>
        <w:pStyle w:val="NumberingIndent"/>
        <w:numPr>
          <w:ilvl w:val="1"/>
          <w:numId w:val="43"/>
        </w:numPr>
        <w:tabs>
          <w:tab w:val="clear" w:pos="1080"/>
        </w:tabs>
      </w:pPr>
      <w:r w:rsidRPr="008A0812">
        <w:t xml:space="preserve">Digester B Replacement: Provide digester redundancy by replacing Digester B, which is currently offline due to leakage. Project is discussed in further detail in Section </w:t>
      </w:r>
      <w:r w:rsidR="00D06267" w:rsidRPr="008A0812">
        <w:fldChar w:fldCharType="begin"/>
      </w:r>
      <w:r w:rsidR="00D06267" w:rsidRPr="008A0812">
        <w:instrText xml:space="preserve"> REF _Ref36401537 \r \h </w:instrText>
      </w:r>
      <w:r w:rsidR="008A0812">
        <w:instrText xml:space="preserve"> \* MERGEFORMAT </w:instrText>
      </w:r>
      <w:r w:rsidR="00D06267" w:rsidRPr="008A0812">
        <w:fldChar w:fldCharType="separate"/>
      </w:r>
      <w:r w:rsidR="00AA68F8">
        <w:t>10.3.1</w:t>
      </w:r>
      <w:r w:rsidR="00D06267" w:rsidRPr="008A0812">
        <w:fldChar w:fldCharType="end"/>
      </w:r>
      <w:r w:rsidRPr="008A0812">
        <w:t>.</w:t>
      </w:r>
    </w:p>
    <w:p w14:paraId="4BED7010" w14:textId="557B6007" w:rsidR="00DD30AF" w:rsidRPr="008A0812" w:rsidRDefault="00DD30AF" w:rsidP="00DD30AF">
      <w:pPr>
        <w:pStyle w:val="NumberingIndent"/>
        <w:numPr>
          <w:ilvl w:val="1"/>
          <w:numId w:val="43"/>
        </w:numPr>
        <w:tabs>
          <w:tab w:val="clear" w:pos="1080"/>
        </w:tabs>
      </w:pPr>
      <w:r w:rsidRPr="008A0812">
        <w:t xml:space="preserve">Digester Cleaning: Maintain digester performance and reliability by cleaning the existing digesters. Project is discussed in further detail in Section </w:t>
      </w:r>
      <w:r w:rsidR="00D06267" w:rsidRPr="008A0812">
        <w:fldChar w:fldCharType="begin"/>
      </w:r>
      <w:r w:rsidR="00D06267" w:rsidRPr="008A0812">
        <w:instrText xml:space="preserve"> REF _Ref36401547 \r \h </w:instrText>
      </w:r>
      <w:r w:rsidR="008A0812">
        <w:instrText xml:space="preserve"> \* MERGEFORMAT </w:instrText>
      </w:r>
      <w:r w:rsidR="00D06267" w:rsidRPr="008A0812">
        <w:fldChar w:fldCharType="separate"/>
      </w:r>
      <w:r w:rsidR="00AA68F8">
        <w:t>10.3.2</w:t>
      </w:r>
      <w:r w:rsidR="00D06267" w:rsidRPr="008A0812">
        <w:fldChar w:fldCharType="end"/>
      </w:r>
      <w:r w:rsidRPr="008A0812">
        <w:t>.</w:t>
      </w:r>
    </w:p>
    <w:p w14:paraId="6EF0EE9A" w14:textId="52C58961" w:rsidR="00DD30AF" w:rsidRPr="008A0812" w:rsidRDefault="00DD30AF" w:rsidP="00DD30AF">
      <w:pPr>
        <w:pStyle w:val="NumberingIndent"/>
        <w:numPr>
          <w:ilvl w:val="1"/>
          <w:numId w:val="43"/>
        </w:numPr>
        <w:tabs>
          <w:tab w:val="clear" w:pos="1080"/>
        </w:tabs>
      </w:pPr>
      <w:r w:rsidRPr="008A0812">
        <w:t xml:space="preserve">Digester Mixing Optimization: Save energy by optimizing digester mixing. Project is discussed in further detail in Section </w:t>
      </w:r>
      <w:r w:rsidR="00D06267" w:rsidRPr="008A0812">
        <w:fldChar w:fldCharType="begin"/>
      </w:r>
      <w:r w:rsidR="00D06267" w:rsidRPr="008A0812">
        <w:instrText xml:space="preserve"> REF _Ref36401556 \r \h </w:instrText>
      </w:r>
      <w:r w:rsidR="008A0812">
        <w:instrText xml:space="preserve"> \* MERGEFORMAT </w:instrText>
      </w:r>
      <w:r w:rsidR="00D06267" w:rsidRPr="008A0812">
        <w:fldChar w:fldCharType="separate"/>
      </w:r>
      <w:r w:rsidR="00AA68F8">
        <w:t>10.3.3</w:t>
      </w:r>
      <w:r w:rsidR="00D06267" w:rsidRPr="008A0812">
        <w:fldChar w:fldCharType="end"/>
      </w:r>
      <w:r w:rsidRPr="008A0812">
        <w:t>.</w:t>
      </w:r>
    </w:p>
    <w:p w14:paraId="2BFE6D27" w14:textId="77777777" w:rsidR="00DD30AF" w:rsidRPr="008A0812" w:rsidRDefault="00DD30AF" w:rsidP="00DD30AF">
      <w:pPr>
        <w:pStyle w:val="Numbering"/>
        <w:numPr>
          <w:ilvl w:val="0"/>
          <w:numId w:val="43"/>
        </w:numPr>
      </w:pPr>
      <w:r w:rsidRPr="008A0812">
        <w:t>Brine Line Improvements</w:t>
      </w:r>
    </w:p>
    <w:p w14:paraId="5AAE3786" w14:textId="10DB02F5" w:rsidR="00DD30AF" w:rsidRDefault="00DD30AF" w:rsidP="00DD30AF">
      <w:pPr>
        <w:pStyle w:val="NumberingIndent"/>
        <w:numPr>
          <w:ilvl w:val="1"/>
          <w:numId w:val="43"/>
        </w:numPr>
        <w:tabs>
          <w:tab w:val="clear" w:pos="1080"/>
        </w:tabs>
      </w:pPr>
      <w:r w:rsidRPr="008A0812">
        <w:t xml:space="preserve">Increase efficiency by installing manholes in the brine line connecting the septage/brine receiving station to the Inland Empire Brine Line to reduce cleaning time and cost. Project is discussed in further detail in Section </w:t>
      </w:r>
      <w:r w:rsidR="00D06267" w:rsidRPr="008A0812">
        <w:fldChar w:fldCharType="begin"/>
      </w:r>
      <w:r w:rsidR="00D06267" w:rsidRPr="008A0812">
        <w:instrText xml:space="preserve"> REF _Ref36401576 \r \h </w:instrText>
      </w:r>
      <w:r w:rsidR="008A0812">
        <w:instrText xml:space="preserve"> \* MERGEFORMAT </w:instrText>
      </w:r>
      <w:r w:rsidR="00D06267" w:rsidRPr="008A0812">
        <w:fldChar w:fldCharType="separate"/>
      </w:r>
      <w:r w:rsidR="00AA68F8">
        <w:t>0</w:t>
      </w:r>
      <w:r w:rsidR="00D06267" w:rsidRPr="008A0812">
        <w:fldChar w:fldCharType="end"/>
      </w:r>
      <w:r w:rsidRPr="008A0812">
        <w:t>.</w:t>
      </w:r>
    </w:p>
    <w:p w14:paraId="777EF65D" w14:textId="42640E4B" w:rsidR="005C0E50" w:rsidRDefault="005C0E50" w:rsidP="005C0E50">
      <w:pPr>
        <w:pStyle w:val="NumberingIndent"/>
        <w:numPr>
          <w:ilvl w:val="0"/>
          <w:numId w:val="43"/>
        </w:numPr>
        <w:tabs>
          <w:tab w:val="clear" w:pos="1080"/>
        </w:tabs>
      </w:pPr>
      <w:r>
        <w:t>Influent Lift Stations</w:t>
      </w:r>
    </w:p>
    <w:p w14:paraId="13852A17" w14:textId="6134744C" w:rsidR="005C0E50" w:rsidRPr="008A0812" w:rsidRDefault="005C0E50" w:rsidP="005C0E50">
      <w:pPr>
        <w:pStyle w:val="NumberingIndent"/>
        <w:numPr>
          <w:ilvl w:val="1"/>
          <w:numId w:val="43"/>
        </w:numPr>
        <w:tabs>
          <w:tab w:val="clear" w:pos="1080"/>
        </w:tabs>
      </w:pPr>
      <w:r>
        <w:t xml:space="preserve">Downsizing of the East Influent Lift Station </w:t>
      </w:r>
    </w:p>
    <w:p w14:paraId="6894FF05" w14:textId="77777777" w:rsidR="00DD30AF" w:rsidRPr="008A0812" w:rsidRDefault="00DD30AF" w:rsidP="00C4703C">
      <w:pPr>
        <w:pStyle w:val="Numbering"/>
        <w:keepNext/>
        <w:numPr>
          <w:ilvl w:val="0"/>
          <w:numId w:val="43"/>
        </w:numPr>
        <w:rPr>
          <w:u w:val="single"/>
        </w:rPr>
      </w:pPr>
      <w:r w:rsidRPr="008A0812">
        <w:rPr>
          <w:u w:val="single"/>
        </w:rPr>
        <w:t>Special Studies</w:t>
      </w:r>
    </w:p>
    <w:p w14:paraId="37085FDF" w14:textId="3AAAE676" w:rsidR="00DD30AF" w:rsidRPr="008A0812" w:rsidRDefault="00DD30AF" w:rsidP="00C4703C">
      <w:pPr>
        <w:pStyle w:val="NumberingIndent"/>
        <w:keepNext/>
        <w:numPr>
          <w:ilvl w:val="1"/>
          <w:numId w:val="43"/>
        </w:numPr>
        <w:tabs>
          <w:tab w:val="clear" w:pos="1080"/>
        </w:tabs>
      </w:pPr>
      <w:r w:rsidRPr="008A0812">
        <w:t xml:space="preserve">Electrical Master Plan: Electrical master plan to provide a comprehensive, strategic approach to guide future projects and improve reliability. Project is discussed in further detail in Section </w:t>
      </w:r>
      <w:r w:rsidR="00D06267" w:rsidRPr="008A0812">
        <w:fldChar w:fldCharType="begin"/>
      </w:r>
      <w:r w:rsidR="00D06267" w:rsidRPr="008A0812">
        <w:instrText xml:space="preserve"> REF _Ref36401590 \r \h </w:instrText>
      </w:r>
      <w:r w:rsidR="008A0812">
        <w:instrText xml:space="preserve"> \* MERGEFORMAT </w:instrText>
      </w:r>
      <w:r w:rsidR="00D06267" w:rsidRPr="008A0812">
        <w:fldChar w:fldCharType="separate"/>
      </w:r>
      <w:r w:rsidR="00AA68F8">
        <w:t>10.6.1</w:t>
      </w:r>
      <w:r w:rsidR="00D06267" w:rsidRPr="008A0812">
        <w:fldChar w:fldCharType="end"/>
      </w:r>
      <w:r w:rsidRPr="008A0812">
        <w:t>.</w:t>
      </w:r>
    </w:p>
    <w:p w14:paraId="5752CDEB" w14:textId="53942D9D" w:rsidR="00DD30AF" w:rsidRPr="008A0812" w:rsidRDefault="00DD30AF" w:rsidP="00DD30AF">
      <w:pPr>
        <w:pStyle w:val="NumberingIndent"/>
        <w:numPr>
          <w:ilvl w:val="1"/>
          <w:numId w:val="43"/>
        </w:numPr>
        <w:tabs>
          <w:tab w:val="clear" w:pos="1080"/>
        </w:tabs>
      </w:pPr>
      <w:r w:rsidRPr="008A0812">
        <w:t xml:space="preserve">SCADA Master Plan: SCADA master plan to achieve a secure, flexible, reliable, and comprehensive SCADA environment. Project is discussed in further detail in Section </w:t>
      </w:r>
      <w:r w:rsidR="00D06267" w:rsidRPr="008A0812">
        <w:fldChar w:fldCharType="begin"/>
      </w:r>
      <w:r w:rsidR="00D06267" w:rsidRPr="008A0812">
        <w:instrText xml:space="preserve"> REF _Ref36401602 \r \h </w:instrText>
      </w:r>
      <w:r w:rsidR="008A0812">
        <w:instrText xml:space="preserve"> \* MERGEFORMAT </w:instrText>
      </w:r>
      <w:r w:rsidR="00D06267" w:rsidRPr="008A0812">
        <w:fldChar w:fldCharType="separate"/>
      </w:r>
      <w:r w:rsidR="00AA68F8">
        <w:t>10.6.2</w:t>
      </w:r>
      <w:r w:rsidR="00D06267" w:rsidRPr="008A0812">
        <w:fldChar w:fldCharType="end"/>
      </w:r>
      <w:r w:rsidRPr="008A0812">
        <w:t>.</w:t>
      </w:r>
    </w:p>
    <w:p w14:paraId="1EB29D65" w14:textId="77FE77F9" w:rsidR="00DD30AF" w:rsidRPr="008A0812" w:rsidRDefault="00DD30AF" w:rsidP="00DD30AF">
      <w:pPr>
        <w:pStyle w:val="NumberingIndent"/>
        <w:numPr>
          <w:ilvl w:val="1"/>
          <w:numId w:val="43"/>
        </w:numPr>
        <w:tabs>
          <w:tab w:val="clear" w:pos="1080"/>
        </w:tabs>
      </w:pPr>
      <w:r w:rsidRPr="008A0812">
        <w:t xml:space="preserve">Biosolids Strategic Plan: Strategic plan for biosolids management to identify multiple options and ensure reliable disposal and/or reuse of biosolids. Project is discussed in further detail in Section </w:t>
      </w:r>
      <w:r w:rsidR="00D06267" w:rsidRPr="008A0812">
        <w:fldChar w:fldCharType="begin"/>
      </w:r>
      <w:r w:rsidR="00D06267" w:rsidRPr="008A0812">
        <w:instrText xml:space="preserve"> REF _Ref36401628 \r \h </w:instrText>
      </w:r>
      <w:r w:rsidR="008A0812">
        <w:instrText xml:space="preserve"> \* MERGEFORMAT </w:instrText>
      </w:r>
      <w:r w:rsidR="00D06267" w:rsidRPr="008A0812">
        <w:fldChar w:fldCharType="separate"/>
      </w:r>
      <w:r w:rsidR="00AA68F8">
        <w:t>0</w:t>
      </w:r>
      <w:r w:rsidR="00D06267" w:rsidRPr="008A0812">
        <w:fldChar w:fldCharType="end"/>
      </w:r>
      <w:r w:rsidRPr="008A0812">
        <w:t>.</w:t>
      </w:r>
    </w:p>
    <w:p w14:paraId="454CEA2E" w14:textId="4E394F14" w:rsidR="00DD30AF" w:rsidRPr="008A0812" w:rsidRDefault="00DD30AF" w:rsidP="00DD30AF">
      <w:pPr>
        <w:pStyle w:val="NumberingIndent"/>
        <w:numPr>
          <w:ilvl w:val="1"/>
          <w:numId w:val="43"/>
        </w:numPr>
        <w:tabs>
          <w:tab w:val="clear" w:pos="1080"/>
        </w:tabs>
      </w:pPr>
      <w:r w:rsidRPr="008A0812">
        <w:t xml:space="preserve">RIX Facility Plan: RIX master plan to evaluate the performance and current efficacy of the RIX facility, which filters and disinfects secondary effluent from SBWRP and the City of Colton for discharge to the Santa Ana River. Project is discussed in further detail in Section </w:t>
      </w:r>
      <w:r w:rsidR="00D06267" w:rsidRPr="008A0812">
        <w:fldChar w:fldCharType="begin"/>
      </w:r>
      <w:r w:rsidR="00D06267" w:rsidRPr="008A0812">
        <w:instrText xml:space="preserve"> REF _Ref36401638 \r \h </w:instrText>
      </w:r>
      <w:r w:rsidR="008A0812">
        <w:instrText xml:space="preserve"> \* MERGEFORMAT </w:instrText>
      </w:r>
      <w:r w:rsidR="00D06267" w:rsidRPr="008A0812">
        <w:fldChar w:fldCharType="separate"/>
      </w:r>
      <w:r w:rsidR="00AA68F8">
        <w:t>10.6.4</w:t>
      </w:r>
      <w:r w:rsidR="00D06267" w:rsidRPr="008A0812">
        <w:fldChar w:fldCharType="end"/>
      </w:r>
      <w:r w:rsidRPr="008A0812">
        <w:t xml:space="preserve">.  </w:t>
      </w:r>
    </w:p>
    <w:bookmarkEnd w:id="543"/>
    <w:p w14:paraId="32033477" w14:textId="77777777" w:rsidR="004776AB" w:rsidRPr="008A0812" w:rsidRDefault="004776AB" w:rsidP="004776AB">
      <w:pPr>
        <w:pStyle w:val="Subtitle"/>
      </w:pPr>
      <w:r w:rsidRPr="008A0812">
        <w:t>Basis of Cost</w:t>
      </w:r>
      <w:bookmarkEnd w:id="544"/>
    </w:p>
    <w:p w14:paraId="400094B8" w14:textId="77777777" w:rsidR="004776AB" w:rsidRPr="008A0812" w:rsidRDefault="004776AB" w:rsidP="004776AB">
      <w:pPr>
        <w:pStyle w:val="BodyText"/>
      </w:pPr>
      <w:r w:rsidRPr="008A0812">
        <w:t>For each project, a conceptual/feasibility-level cost estimate was prepared, with a simple payback approach used to evaluate projects to determine whether economically viable. Projects were also evaluated based on their operational benefits. When estimates have been based on costs of recent past projects, costs have been escalated using a construction cost index (CCI) to the present day (Sept 2019) CCI of 12021.45 for Los Angeles.</w:t>
      </w:r>
    </w:p>
    <w:p w14:paraId="1157699B" w14:textId="602D702D" w:rsidR="004776AB" w:rsidRPr="008A0812" w:rsidRDefault="004776AB" w:rsidP="00C4703C">
      <w:pPr>
        <w:pStyle w:val="BodyText"/>
      </w:pPr>
      <w:r w:rsidRPr="008A0812">
        <w:t xml:space="preserve">The International Association for the Advancement of Cost Engineering (AACE International) suggests five levels of accuracy for cost estimates. </w:t>
      </w:r>
      <w:r w:rsidR="00C4703C" w:rsidRPr="008A0812">
        <w:fldChar w:fldCharType="begin"/>
      </w:r>
      <w:r w:rsidR="00C4703C" w:rsidRPr="008A0812">
        <w:instrText xml:space="preserve"> REF _Ref36401705 \h </w:instrText>
      </w:r>
      <w:r w:rsidR="008A0812">
        <w:instrText xml:space="preserve"> \* MERGEFORMAT </w:instrText>
      </w:r>
      <w:r w:rsidR="00C4703C" w:rsidRPr="008A0812">
        <w:fldChar w:fldCharType="separate"/>
      </w:r>
      <w:r w:rsidR="00AA68F8" w:rsidRPr="008A0812">
        <w:t xml:space="preserve">Table </w:t>
      </w:r>
      <w:r w:rsidR="00AA68F8">
        <w:rPr>
          <w:noProof/>
        </w:rPr>
        <w:t>10</w:t>
      </w:r>
      <w:r w:rsidR="00AA68F8" w:rsidRPr="008A0812">
        <w:rPr>
          <w:noProof/>
        </w:rPr>
        <w:noBreakHyphen/>
      </w:r>
      <w:r w:rsidR="00AA68F8">
        <w:rPr>
          <w:noProof/>
        </w:rPr>
        <w:t>1</w:t>
      </w:r>
      <w:r w:rsidR="00C4703C" w:rsidRPr="008A0812">
        <w:fldChar w:fldCharType="end"/>
      </w:r>
      <w:r w:rsidRPr="008A0812">
        <w:t xml:space="preserve"> shows the five classes and their respective accuracy ranges. As this study is for preliminary planning, the provided estimates are considered Class 4 or Class 5. Some, such as the estimate for flow equalization, were based on similar projects adjusted for capacity (Class 5). Others, such as CEPT and the </w:t>
      </w:r>
      <w:r w:rsidR="005A5E88" w:rsidRPr="008A0812">
        <w:t>Unit 3 Expansion and Completion Project</w:t>
      </w:r>
      <w:r w:rsidRPr="008A0812">
        <w:t xml:space="preserve">, were based on factored equipment costs (Class 4). </w:t>
      </w:r>
    </w:p>
    <w:p w14:paraId="067AB462" w14:textId="6552F3C0" w:rsidR="00C4703C" w:rsidRPr="008A0812" w:rsidRDefault="00C4703C" w:rsidP="00C4703C">
      <w:pPr>
        <w:pStyle w:val="TableHeading"/>
      </w:pPr>
      <w:bookmarkStart w:id="545" w:name="_Ref36401705"/>
      <w:bookmarkStart w:id="546" w:name="_Toc36414104"/>
      <w:bookmarkStart w:id="547" w:name="_Toc41684791"/>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w:t>
      </w:r>
      <w:r>
        <w:fldChar w:fldCharType="end"/>
      </w:r>
      <w:bookmarkEnd w:id="545"/>
      <w:r w:rsidRPr="008A0812">
        <w:t>: Classes of Cost Estimates</w:t>
      </w:r>
      <w:bookmarkEnd w:id="546"/>
      <w:bookmarkEnd w:id="547"/>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92"/>
        <w:gridCol w:w="1437"/>
        <w:gridCol w:w="1437"/>
        <w:gridCol w:w="1983"/>
        <w:gridCol w:w="1983"/>
        <w:gridCol w:w="1599"/>
      </w:tblGrid>
      <w:tr w:rsidR="004776AB" w:rsidRPr="008A0812" w14:paraId="02A30648" w14:textId="77777777" w:rsidTr="000926F4">
        <w:trPr>
          <w:cantSplit/>
          <w:tblHeader/>
        </w:trPr>
        <w:tc>
          <w:tcPr>
            <w:tcW w:w="892"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617B0F7C"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Estimate Class</w:t>
            </w:r>
          </w:p>
        </w:tc>
        <w:tc>
          <w:tcPr>
            <w:tcW w:w="1437" w:type="dxa"/>
            <w:tcBorders>
              <w:top w:val="single" w:sz="6" w:space="0" w:color="auto"/>
              <w:left w:val="nil"/>
              <w:bottom w:val="single" w:sz="6" w:space="0" w:color="auto"/>
              <w:right w:val="single" w:sz="6" w:space="0" w:color="auto"/>
            </w:tcBorders>
            <w:shd w:val="clear" w:color="auto" w:fill="BFBFBF"/>
            <w:vAlign w:val="bottom"/>
            <w:hideMark/>
          </w:tcPr>
          <w:p w14:paraId="490E0062"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Level of Project Definition</w:t>
            </w:r>
          </w:p>
        </w:tc>
        <w:tc>
          <w:tcPr>
            <w:tcW w:w="1437" w:type="dxa"/>
            <w:tcBorders>
              <w:top w:val="single" w:sz="6" w:space="0" w:color="auto"/>
              <w:left w:val="nil"/>
              <w:bottom w:val="single" w:sz="6" w:space="0" w:color="auto"/>
              <w:right w:val="single" w:sz="6" w:space="0" w:color="auto"/>
            </w:tcBorders>
            <w:shd w:val="clear" w:color="auto" w:fill="BFBFBF"/>
            <w:vAlign w:val="bottom"/>
            <w:hideMark/>
          </w:tcPr>
          <w:p w14:paraId="39317E80" w14:textId="77777777" w:rsidR="004776AB" w:rsidRPr="008A0812" w:rsidRDefault="004776AB" w:rsidP="004776AB">
            <w:pPr>
              <w:overflowPunct/>
              <w:autoSpaceDE/>
              <w:autoSpaceDN/>
              <w:adjustRightInd/>
              <w:jc w:val="center"/>
              <w:rPr>
                <w:rFonts w:cs="Segoe UI"/>
                <w:b/>
                <w:bCs/>
              </w:rPr>
            </w:pPr>
            <w:r w:rsidRPr="008A0812">
              <w:rPr>
                <w:rFonts w:cs="Segoe UI"/>
                <w:b/>
                <w:bCs/>
              </w:rPr>
              <w:t>Typical</w:t>
            </w:r>
          </w:p>
          <w:p w14:paraId="3ACED89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Purpose</w:t>
            </w:r>
          </w:p>
        </w:tc>
        <w:tc>
          <w:tcPr>
            <w:tcW w:w="1983" w:type="dxa"/>
            <w:tcBorders>
              <w:top w:val="single" w:sz="6" w:space="0" w:color="auto"/>
              <w:left w:val="nil"/>
              <w:bottom w:val="single" w:sz="6" w:space="0" w:color="auto"/>
              <w:right w:val="single" w:sz="6" w:space="0" w:color="auto"/>
            </w:tcBorders>
            <w:shd w:val="clear" w:color="auto" w:fill="BFBFBF"/>
            <w:vAlign w:val="bottom"/>
            <w:hideMark/>
          </w:tcPr>
          <w:p w14:paraId="2C587F90"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Methodology</w:t>
            </w:r>
          </w:p>
        </w:tc>
        <w:tc>
          <w:tcPr>
            <w:tcW w:w="1983" w:type="dxa"/>
            <w:tcBorders>
              <w:top w:val="single" w:sz="6" w:space="0" w:color="auto"/>
              <w:left w:val="nil"/>
              <w:bottom w:val="single" w:sz="6" w:space="0" w:color="auto"/>
              <w:right w:val="single" w:sz="6" w:space="0" w:color="auto"/>
            </w:tcBorders>
            <w:shd w:val="clear" w:color="auto" w:fill="BFBFBF"/>
            <w:vAlign w:val="bottom"/>
            <w:hideMark/>
          </w:tcPr>
          <w:p w14:paraId="5A227534"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Expected Accuracy Range</w:t>
            </w:r>
          </w:p>
        </w:tc>
        <w:tc>
          <w:tcPr>
            <w:tcW w:w="1599" w:type="dxa"/>
            <w:tcBorders>
              <w:top w:val="single" w:sz="6" w:space="0" w:color="auto"/>
              <w:left w:val="nil"/>
              <w:bottom w:val="single" w:sz="6" w:space="0" w:color="auto"/>
              <w:right w:val="single" w:sz="6" w:space="0" w:color="auto"/>
            </w:tcBorders>
            <w:shd w:val="clear" w:color="auto" w:fill="BFBFBF"/>
            <w:vAlign w:val="bottom"/>
            <w:hideMark/>
          </w:tcPr>
          <w:p w14:paraId="76F72713"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b/>
                <w:bCs/>
              </w:rPr>
              <w:t>Preparation Effort Relative to Least Cost Index of 1</w:t>
            </w:r>
          </w:p>
        </w:tc>
      </w:tr>
      <w:tr w:rsidR="004776AB" w:rsidRPr="008A0812" w14:paraId="699265D1" w14:textId="77777777" w:rsidTr="000B6EC6">
        <w:trPr>
          <w:trHeight w:val="576"/>
        </w:trPr>
        <w:tc>
          <w:tcPr>
            <w:tcW w:w="892" w:type="dxa"/>
            <w:tcBorders>
              <w:top w:val="nil"/>
              <w:left w:val="single" w:sz="6" w:space="0" w:color="auto"/>
              <w:bottom w:val="single" w:sz="6" w:space="0" w:color="auto"/>
              <w:right w:val="single" w:sz="6" w:space="0" w:color="auto"/>
            </w:tcBorders>
            <w:shd w:val="clear" w:color="auto" w:fill="auto"/>
            <w:vAlign w:val="center"/>
            <w:hideMark/>
          </w:tcPr>
          <w:p w14:paraId="4334ADB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5</w:t>
            </w:r>
          </w:p>
        </w:tc>
        <w:tc>
          <w:tcPr>
            <w:tcW w:w="1437" w:type="dxa"/>
            <w:tcBorders>
              <w:top w:val="nil"/>
              <w:left w:val="nil"/>
              <w:bottom w:val="single" w:sz="6" w:space="0" w:color="auto"/>
              <w:right w:val="single" w:sz="6" w:space="0" w:color="auto"/>
            </w:tcBorders>
            <w:shd w:val="clear" w:color="auto" w:fill="auto"/>
            <w:vAlign w:val="center"/>
            <w:hideMark/>
          </w:tcPr>
          <w:p w14:paraId="56F9B3E7"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0% to 2%</w:t>
            </w:r>
          </w:p>
        </w:tc>
        <w:tc>
          <w:tcPr>
            <w:tcW w:w="1437" w:type="dxa"/>
            <w:tcBorders>
              <w:top w:val="nil"/>
              <w:left w:val="nil"/>
              <w:bottom w:val="single" w:sz="6" w:space="0" w:color="auto"/>
              <w:right w:val="single" w:sz="6" w:space="0" w:color="auto"/>
            </w:tcBorders>
            <w:shd w:val="clear" w:color="auto" w:fill="auto"/>
            <w:vAlign w:val="center"/>
            <w:hideMark/>
          </w:tcPr>
          <w:p w14:paraId="44779503"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Concept Screening</w:t>
            </w:r>
          </w:p>
        </w:tc>
        <w:tc>
          <w:tcPr>
            <w:tcW w:w="1983" w:type="dxa"/>
            <w:tcBorders>
              <w:top w:val="nil"/>
              <w:left w:val="nil"/>
              <w:bottom w:val="single" w:sz="6" w:space="0" w:color="auto"/>
              <w:right w:val="single" w:sz="6" w:space="0" w:color="auto"/>
            </w:tcBorders>
            <w:shd w:val="clear" w:color="auto" w:fill="auto"/>
            <w:vAlign w:val="center"/>
            <w:hideMark/>
          </w:tcPr>
          <w:p w14:paraId="3A9C63BD"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Capacity factored, parametric models, judgement or analogy</w:t>
            </w:r>
          </w:p>
        </w:tc>
        <w:tc>
          <w:tcPr>
            <w:tcW w:w="1983" w:type="dxa"/>
            <w:tcBorders>
              <w:top w:val="nil"/>
              <w:left w:val="nil"/>
              <w:bottom w:val="single" w:sz="6" w:space="0" w:color="auto"/>
              <w:right w:val="single" w:sz="6" w:space="0" w:color="auto"/>
            </w:tcBorders>
            <w:shd w:val="clear" w:color="auto" w:fill="auto"/>
            <w:vAlign w:val="center"/>
            <w:hideMark/>
          </w:tcPr>
          <w:p w14:paraId="1CAB26B9"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Low: -20% to -50%</w:t>
            </w:r>
          </w:p>
          <w:p w14:paraId="6CF9519C"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High: +30% to +100%</w:t>
            </w:r>
          </w:p>
        </w:tc>
        <w:tc>
          <w:tcPr>
            <w:tcW w:w="1599" w:type="dxa"/>
            <w:tcBorders>
              <w:top w:val="nil"/>
              <w:left w:val="nil"/>
              <w:bottom w:val="single" w:sz="6" w:space="0" w:color="auto"/>
              <w:right w:val="single" w:sz="6" w:space="0" w:color="auto"/>
            </w:tcBorders>
            <w:shd w:val="clear" w:color="auto" w:fill="auto"/>
            <w:vAlign w:val="center"/>
            <w:hideMark/>
          </w:tcPr>
          <w:p w14:paraId="33BCB5AC"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w:t>
            </w:r>
          </w:p>
        </w:tc>
      </w:tr>
      <w:tr w:rsidR="004776AB" w:rsidRPr="008A0812" w14:paraId="6DD8DD7E" w14:textId="77777777" w:rsidTr="000B6EC6">
        <w:trPr>
          <w:trHeight w:val="576"/>
        </w:trPr>
        <w:tc>
          <w:tcPr>
            <w:tcW w:w="892" w:type="dxa"/>
            <w:tcBorders>
              <w:top w:val="nil"/>
              <w:left w:val="single" w:sz="6" w:space="0" w:color="auto"/>
              <w:bottom w:val="single" w:sz="6" w:space="0" w:color="auto"/>
              <w:right w:val="single" w:sz="6" w:space="0" w:color="auto"/>
            </w:tcBorders>
            <w:shd w:val="clear" w:color="auto" w:fill="auto"/>
            <w:vAlign w:val="center"/>
            <w:hideMark/>
          </w:tcPr>
          <w:p w14:paraId="3058F711"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4</w:t>
            </w:r>
          </w:p>
        </w:tc>
        <w:tc>
          <w:tcPr>
            <w:tcW w:w="1437" w:type="dxa"/>
            <w:tcBorders>
              <w:top w:val="nil"/>
              <w:left w:val="nil"/>
              <w:bottom w:val="single" w:sz="6" w:space="0" w:color="auto"/>
              <w:right w:val="single" w:sz="6" w:space="0" w:color="auto"/>
            </w:tcBorders>
            <w:shd w:val="clear" w:color="auto" w:fill="auto"/>
            <w:vAlign w:val="center"/>
            <w:hideMark/>
          </w:tcPr>
          <w:p w14:paraId="600B0F7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 to 15%</w:t>
            </w:r>
          </w:p>
        </w:tc>
        <w:tc>
          <w:tcPr>
            <w:tcW w:w="1437" w:type="dxa"/>
            <w:tcBorders>
              <w:top w:val="nil"/>
              <w:left w:val="nil"/>
              <w:bottom w:val="single" w:sz="6" w:space="0" w:color="auto"/>
              <w:right w:val="single" w:sz="6" w:space="0" w:color="auto"/>
            </w:tcBorders>
            <w:shd w:val="clear" w:color="auto" w:fill="auto"/>
            <w:vAlign w:val="center"/>
            <w:hideMark/>
          </w:tcPr>
          <w:p w14:paraId="235DC664"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Study or Feasibility</w:t>
            </w:r>
          </w:p>
        </w:tc>
        <w:tc>
          <w:tcPr>
            <w:tcW w:w="1983" w:type="dxa"/>
            <w:tcBorders>
              <w:top w:val="nil"/>
              <w:left w:val="nil"/>
              <w:bottom w:val="single" w:sz="6" w:space="0" w:color="auto"/>
              <w:right w:val="single" w:sz="6" w:space="0" w:color="auto"/>
            </w:tcBorders>
            <w:shd w:val="clear" w:color="auto" w:fill="auto"/>
            <w:vAlign w:val="center"/>
            <w:hideMark/>
          </w:tcPr>
          <w:p w14:paraId="5F90A299"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Equipment factored or parametric models</w:t>
            </w:r>
          </w:p>
        </w:tc>
        <w:tc>
          <w:tcPr>
            <w:tcW w:w="1983" w:type="dxa"/>
            <w:tcBorders>
              <w:top w:val="nil"/>
              <w:left w:val="nil"/>
              <w:bottom w:val="single" w:sz="6" w:space="0" w:color="auto"/>
              <w:right w:val="single" w:sz="6" w:space="0" w:color="auto"/>
            </w:tcBorders>
            <w:shd w:val="clear" w:color="auto" w:fill="auto"/>
            <w:vAlign w:val="center"/>
            <w:hideMark/>
          </w:tcPr>
          <w:p w14:paraId="4ABAB13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Low: -15% to -30%</w:t>
            </w:r>
          </w:p>
          <w:p w14:paraId="772E029E"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High: +20% to +50%</w:t>
            </w:r>
          </w:p>
        </w:tc>
        <w:tc>
          <w:tcPr>
            <w:tcW w:w="1599" w:type="dxa"/>
            <w:tcBorders>
              <w:top w:val="nil"/>
              <w:left w:val="nil"/>
              <w:bottom w:val="single" w:sz="6" w:space="0" w:color="auto"/>
              <w:right w:val="single" w:sz="6" w:space="0" w:color="auto"/>
            </w:tcBorders>
            <w:shd w:val="clear" w:color="auto" w:fill="auto"/>
            <w:vAlign w:val="center"/>
            <w:hideMark/>
          </w:tcPr>
          <w:p w14:paraId="3B274D9A"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2 to 4</w:t>
            </w:r>
          </w:p>
        </w:tc>
      </w:tr>
      <w:tr w:rsidR="004776AB" w:rsidRPr="008A0812" w14:paraId="4585026A" w14:textId="77777777" w:rsidTr="000B6EC6">
        <w:trPr>
          <w:trHeight w:val="576"/>
        </w:trPr>
        <w:tc>
          <w:tcPr>
            <w:tcW w:w="892" w:type="dxa"/>
            <w:tcBorders>
              <w:top w:val="nil"/>
              <w:left w:val="single" w:sz="6" w:space="0" w:color="auto"/>
              <w:bottom w:val="single" w:sz="6" w:space="0" w:color="auto"/>
              <w:right w:val="single" w:sz="6" w:space="0" w:color="auto"/>
            </w:tcBorders>
            <w:shd w:val="clear" w:color="auto" w:fill="auto"/>
            <w:vAlign w:val="center"/>
            <w:hideMark/>
          </w:tcPr>
          <w:p w14:paraId="33B60EBB" w14:textId="77777777" w:rsidR="004776AB" w:rsidRPr="008A0812" w:rsidRDefault="004776AB" w:rsidP="004776AB">
            <w:pPr>
              <w:overflowPunct/>
              <w:autoSpaceDE/>
              <w:autoSpaceDN/>
              <w:adjustRightInd/>
              <w:jc w:val="center"/>
              <w:rPr>
                <w:rFonts w:ascii="Segoe UI" w:hAnsi="Segoe UI" w:cs="Segoe UI"/>
                <w:sz w:val="18"/>
                <w:szCs w:val="18"/>
              </w:rPr>
            </w:pPr>
            <w:bookmarkStart w:id="548" w:name="_Hlk41642766"/>
            <w:r w:rsidRPr="008A0812">
              <w:rPr>
                <w:rFonts w:cs="Segoe UI"/>
              </w:rPr>
              <w:t>3</w:t>
            </w:r>
          </w:p>
        </w:tc>
        <w:tc>
          <w:tcPr>
            <w:tcW w:w="1437" w:type="dxa"/>
            <w:tcBorders>
              <w:top w:val="nil"/>
              <w:left w:val="nil"/>
              <w:bottom w:val="single" w:sz="6" w:space="0" w:color="auto"/>
              <w:right w:val="single" w:sz="6" w:space="0" w:color="auto"/>
            </w:tcBorders>
            <w:shd w:val="clear" w:color="auto" w:fill="auto"/>
            <w:vAlign w:val="center"/>
            <w:hideMark/>
          </w:tcPr>
          <w:p w14:paraId="6A5FDB65"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10% to 40%</w:t>
            </w:r>
          </w:p>
        </w:tc>
        <w:tc>
          <w:tcPr>
            <w:tcW w:w="1437" w:type="dxa"/>
            <w:tcBorders>
              <w:top w:val="nil"/>
              <w:left w:val="nil"/>
              <w:bottom w:val="single" w:sz="6" w:space="0" w:color="auto"/>
              <w:right w:val="single" w:sz="6" w:space="0" w:color="auto"/>
            </w:tcBorders>
            <w:shd w:val="clear" w:color="auto" w:fill="auto"/>
            <w:vAlign w:val="center"/>
            <w:hideMark/>
          </w:tcPr>
          <w:p w14:paraId="7A70AC1F"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Budget, Authorization, or Control</w:t>
            </w:r>
          </w:p>
        </w:tc>
        <w:tc>
          <w:tcPr>
            <w:tcW w:w="1983" w:type="dxa"/>
            <w:tcBorders>
              <w:top w:val="nil"/>
              <w:left w:val="nil"/>
              <w:bottom w:val="single" w:sz="6" w:space="0" w:color="auto"/>
              <w:right w:val="single" w:sz="6" w:space="0" w:color="auto"/>
            </w:tcBorders>
            <w:shd w:val="clear" w:color="auto" w:fill="auto"/>
            <w:vAlign w:val="center"/>
            <w:hideMark/>
          </w:tcPr>
          <w:p w14:paraId="4F8819D2"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Semi-detailed unit costs with assembly level line items</w:t>
            </w:r>
          </w:p>
        </w:tc>
        <w:tc>
          <w:tcPr>
            <w:tcW w:w="1983" w:type="dxa"/>
            <w:tcBorders>
              <w:top w:val="nil"/>
              <w:left w:val="nil"/>
              <w:bottom w:val="single" w:sz="6" w:space="0" w:color="auto"/>
              <w:right w:val="single" w:sz="6" w:space="0" w:color="auto"/>
            </w:tcBorders>
            <w:shd w:val="clear" w:color="auto" w:fill="auto"/>
            <w:vAlign w:val="center"/>
            <w:hideMark/>
          </w:tcPr>
          <w:p w14:paraId="3353712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Low: -10% to -20%</w:t>
            </w:r>
          </w:p>
          <w:p w14:paraId="23295D55"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High: +10% to +30%</w:t>
            </w:r>
          </w:p>
        </w:tc>
        <w:tc>
          <w:tcPr>
            <w:tcW w:w="1599" w:type="dxa"/>
            <w:tcBorders>
              <w:top w:val="nil"/>
              <w:left w:val="nil"/>
              <w:bottom w:val="single" w:sz="6" w:space="0" w:color="auto"/>
              <w:right w:val="single" w:sz="6" w:space="0" w:color="auto"/>
            </w:tcBorders>
            <w:shd w:val="clear" w:color="auto" w:fill="auto"/>
            <w:vAlign w:val="center"/>
            <w:hideMark/>
          </w:tcPr>
          <w:p w14:paraId="04EE5023"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3 to 10</w:t>
            </w:r>
          </w:p>
        </w:tc>
      </w:tr>
      <w:bookmarkEnd w:id="548"/>
      <w:tr w:rsidR="004776AB" w:rsidRPr="008A0812" w14:paraId="432CBF75" w14:textId="77777777" w:rsidTr="000B6EC6">
        <w:trPr>
          <w:trHeight w:val="576"/>
        </w:trPr>
        <w:tc>
          <w:tcPr>
            <w:tcW w:w="892" w:type="dxa"/>
            <w:tcBorders>
              <w:top w:val="nil"/>
              <w:left w:val="single" w:sz="6" w:space="0" w:color="auto"/>
              <w:bottom w:val="single" w:sz="6" w:space="0" w:color="auto"/>
              <w:right w:val="single" w:sz="6" w:space="0" w:color="auto"/>
            </w:tcBorders>
            <w:shd w:val="clear" w:color="auto" w:fill="auto"/>
            <w:vAlign w:val="center"/>
            <w:hideMark/>
          </w:tcPr>
          <w:p w14:paraId="1ABA8316"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2</w:t>
            </w:r>
          </w:p>
        </w:tc>
        <w:tc>
          <w:tcPr>
            <w:tcW w:w="1437" w:type="dxa"/>
            <w:tcBorders>
              <w:top w:val="nil"/>
              <w:left w:val="nil"/>
              <w:bottom w:val="single" w:sz="6" w:space="0" w:color="auto"/>
              <w:right w:val="single" w:sz="6" w:space="0" w:color="auto"/>
            </w:tcBorders>
            <w:shd w:val="clear" w:color="auto" w:fill="auto"/>
            <w:vAlign w:val="center"/>
            <w:hideMark/>
          </w:tcPr>
          <w:p w14:paraId="0043B006"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30% to 70%</w:t>
            </w:r>
          </w:p>
        </w:tc>
        <w:tc>
          <w:tcPr>
            <w:tcW w:w="1437" w:type="dxa"/>
            <w:tcBorders>
              <w:top w:val="nil"/>
              <w:left w:val="nil"/>
              <w:bottom w:val="single" w:sz="6" w:space="0" w:color="auto"/>
              <w:right w:val="single" w:sz="6" w:space="0" w:color="auto"/>
            </w:tcBorders>
            <w:shd w:val="clear" w:color="auto" w:fill="auto"/>
            <w:vAlign w:val="center"/>
            <w:hideMark/>
          </w:tcPr>
          <w:p w14:paraId="3FC47F2A"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Control or Bid/Tender</w:t>
            </w:r>
          </w:p>
        </w:tc>
        <w:tc>
          <w:tcPr>
            <w:tcW w:w="1983" w:type="dxa"/>
            <w:tcBorders>
              <w:top w:val="nil"/>
              <w:left w:val="nil"/>
              <w:bottom w:val="single" w:sz="6" w:space="0" w:color="auto"/>
              <w:right w:val="single" w:sz="6" w:space="0" w:color="auto"/>
            </w:tcBorders>
            <w:shd w:val="clear" w:color="auto" w:fill="auto"/>
            <w:vAlign w:val="center"/>
            <w:hideMark/>
          </w:tcPr>
          <w:p w14:paraId="704F55CF"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Detailed unit cost with forced detailed take-off</w:t>
            </w:r>
          </w:p>
        </w:tc>
        <w:tc>
          <w:tcPr>
            <w:tcW w:w="1983" w:type="dxa"/>
            <w:tcBorders>
              <w:top w:val="nil"/>
              <w:left w:val="nil"/>
              <w:bottom w:val="single" w:sz="6" w:space="0" w:color="auto"/>
              <w:right w:val="single" w:sz="6" w:space="0" w:color="auto"/>
            </w:tcBorders>
            <w:shd w:val="clear" w:color="auto" w:fill="auto"/>
            <w:vAlign w:val="center"/>
            <w:hideMark/>
          </w:tcPr>
          <w:p w14:paraId="2E9BCF7A"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Low: -5% to -15%</w:t>
            </w:r>
          </w:p>
          <w:p w14:paraId="2A7336BD"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High: +5% to +20%</w:t>
            </w:r>
          </w:p>
        </w:tc>
        <w:tc>
          <w:tcPr>
            <w:tcW w:w="1599" w:type="dxa"/>
            <w:tcBorders>
              <w:top w:val="nil"/>
              <w:left w:val="nil"/>
              <w:bottom w:val="single" w:sz="6" w:space="0" w:color="auto"/>
              <w:right w:val="single" w:sz="6" w:space="0" w:color="auto"/>
            </w:tcBorders>
            <w:shd w:val="clear" w:color="auto" w:fill="auto"/>
            <w:vAlign w:val="center"/>
            <w:hideMark/>
          </w:tcPr>
          <w:p w14:paraId="2107CC13"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4 to 20</w:t>
            </w:r>
          </w:p>
        </w:tc>
      </w:tr>
      <w:tr w:rsidR="004776AB" w:rsidRPr="008A0812" w14:paraId="73AFFB28" w14:textId="77777777" w:rsidTr="000B6EC6">
        <w:trPr>
          <w:trHeight w:val="576"/>
        </w:trPr>
        <w:tc>
          <w:tcPr>
            <w:tcW w:w="892" w:type="dxa"/>
            <w:tcBorders>
              <w:top w:val="nil"/>
              <w:left w:val="single" w:sz="6" w:space="0" w:color="auto"/>
              <w:bottom w:val="single" w:sz="6" w:space="0" w:color="auto"/>
              <w:right w:val="single" w:sz="6" w:space="0" w:color="auto"/>
            </w:tcBorders>
            <w:shd w:val="clear" w:color="auto" w:fill="auto"/>
            <w:vAlign w:val="center"/>
            <w:hideMark/>
          </w:tcPr>
          <w:p w14:paraId="26B9BB14"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w:t>
            </w:r>
          </w:p>
        </w:tc>
        <w:tc>
          <w:tcPr>
            <w:tcW w:w="1437" w:type="dxa"/>
            <w:tcBorders>
              <w:top w:val="nil"/>
              <w:left w:val="nil"/>
              <w:bottom w:val="single" w:sz="6" w:space="0" w:color="auto"/>
              <w:right w:val="single" w:sz="6" w:space="0" w:color="auto"/>
            </w:tcBorders>
            <w:shd w:val="clear" w:color="auto" w:fill="auto"/>
            <w:vAlign w:val="center"/>
            <w:hideMark/>
          </w:tcPr>
          <w:p w14:paraId="3E4AC45C"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50% to 100%</w:t>
            </w:r>
          </w:p>
        </w:tc>
        <w:tc>
          <w:tcPr>
            <w:tcW w:w="1437" w:type="dxa"/>
            <w:tcBorders>
              <w:top w:val="nil"/>
              <w:left w:val="nil"/>
              <w:bottom w:val="single" w:sz="6" w:space="0" w:color="auto"/>
              <w:right w:val="single" w:sz="6" w:space="0" w:color="auto"/>
            </w:tcBorders>
            <w:shd w:val="clear" w:color="auto" w:fill="auto"/>
            <w:vAlign w:val="center"/>
            <w:hideMark/>
          </w:tcPr>
          <w:p w14:paraId="555BCBF2"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Check Estimate or Bid/Tender</w:t>
            </w:r>
          </w:p>
        </w:tc>
        <w:tc>
          <w:tcPr>
            <w:tcW w:w="1983" w:type="dxa"/>
            <w:tcBorders>
              <w:top w:val="nil"/>
              <w:left w:val="nil"/>
              <w:bottom w:val="single" w:sz="6" w:space="0" w:color="auto"/>
              <w:right w:val="single" w:sz="6" w:space="0" w:color="auto"/>
            </w:tcBorders>
            <w:shd w:val="clear" w:color="auto" w:fill="auto"/>
            <w:vAlign w:val="center"/>
            <w:hideMark/>
          </w:tcPr>
          <w:p w14:paraId="3DABEA8A"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Detailed unit cost with forced detailed take-off</w:t>
            </w:r>
          </w:p>
        </w:tc>
        <w:tc>
          <w:tcPr>
            <w:tcW w:w="1983" w:type="dxa"/>
            <w:tcBorders>
              <w:top w:val="nil"/>
              <w:left w:val="nil"/>
              <w:bottom w:val="single" w:sz="6" w:space="0" w:color="auto"/>
              <w:right w:val="single" w:sz="6" w:space="0" w:color="auto"/>
            </w:tcBorders>
            <w:shd w:val="clear" w:color="auto" w:fill="auto"/>
            <w:vAlign w:val="center"/>
            <w:hideMark/>
          </w:tcPr>
          <w:p w14:paraId="075191FE"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Low: -3% to -10%</w:t>
            </w:r>
          </w:p>
          <w:p w14:paraId="5F5A794A"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High: +3% to +15%</w:t>
            </w:r>
          </w:p>
        </w:tc>
        <w:tc>
          <w:tcPr>
            <w:tcW w:w="1599" w:type="dxa"/>
            <w:tcBorders>
              <w:top w:val="nil"/>
              <w:left w:val="nil"/>
              <w:bottom w:val="single" w:sz="6" w:space="0" w:color="auto"/>
              <w:right w:val="single" w:sz="6" w:space="0" w:color="auto"/>
            </w:tcBorders>
            <w:shd w:val="clear" w:color="auto" w:fill="auto"/>
            <w:vAlign w:val="center"/>
            <w:hideMark/>
          </w:tcPr>
          <w:p w14:paraId="2CEBF8AE"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5 to 100</w:t>
            </w:r>
          </w:p>
        </w:tc>
      </w:tr>
    </w:tbl>
    <w:p w14:paraId="41432677" w14:textId="77777777" w:rsidR="004776AB" w:rsidRPr="008A0812" w:rsidRDefault="004776AB" w:rsidP="004776AB">
      <w:pPr>
        <w:pStyle w:val="BodyText"/>
        <w:spacing w:before="120" w:after="0"/>
        <w:ind w:left="720"/>
        <w:rPr>
          <w:rFonts w:cs="Segoe UI"/>
          <w:sz w:val="20"/>
          <w:szCs w:val="20"/>
        </w:rPr>
      </w:pPr>
      <w:bookmarkStart w:id="549" w:name="_Hlk20146088"/>
      <w:r w:rsidRPr="008A0812">
        <w:rPr>
          <w:rFonts w:cs="Segoe UI"/>
          <w:sz w:val="20"/>
          <w:szCs w:val="20"/>
        </w:rPr>
        <w:t>Notes:</w:t>
      </w:r>
    </w:p>
    <w:p w14:paraId="482783AA" w14:textId="77777777" w:rsidR="004776AB" w:rsidRPr="008A0812" w:rsidRDefault="004776AB" w:rsidP="004776AB">
      <w:pPr>
        <w:pStyle w:val="BodyText"/>
        <w:numPr>
          <w:ilvl w:val="0"/>
          <w:numId w:val="16"/>
        </w:numPr>
        <w:spacing w:before="0" w:after="0"/>
        <w:rPr>
          <w:rFonts w:cs="Segoe UI"/>
          <w:sz w:val="20"/>
          <w:szCs w:val="20"/>
        </w:rPr>
      </w:pPr>
      <w:r w:rsidRPr="008A0812">
        <w:rPr>
          <w:rStyle w:val="normaltextrun"/>
          <w:rFonts w:eastAsiaTheme="minorEastAsia"/>
          <w:color w:val="000000"/>
          <w:sz w:val="20"/>
          <w:szCs w:val="20"/>
          <w:shd w:val="clear" w:color="auto" w:fill="FFFFFF"/>
        </w:rPr>
        <w:t>Content comes from the AACE International Recommended Practices, No. 18R-97</w:t>
      </w:r>
      <w:r w:rsidRPr="008A0812">
        <w:rPr>
          <w:rFonts w:cs="Segoe UI"/>
          <w:sz w:val="20"/>
          <w:szCs w:val="20"/>
        </w:rPr>
        <w:t>.</w:t>
      </w:r>
    </w:p>
    <w:p w14:paraId="2EF2E1D5" w14:textId="77777777" w:rsidR="004776AB" w:rsidRPr="008A0812" w:rsidRDefault="004776AB" w:rsidP="004776AB">
      <w:pPr>
        <w:pStyle w:val="BodyText"/>
        <w:numPr>
          <w:ilvl w:val="0"/>
          <w:numId w:val="16"/>
        </w:numPr>
        <w:spacing w:before="0" w:after="0"/>
        <w:rPr>
          <w:rFonts w:cs="Segoe UI"/>
          <w:sz w:val="20"/>
          <w:szCs w:val="20"/>
        </w:rPr>
      </w:pPr>
      <w:r w:rsidRPr="008A0812">
        <w:rPr>
          <w:rStyle w:val="normaltextrun"/>
          <w:rFonts w:eastAsiaTheme="minorEastAsia"/>
          <w:color w:val="000000"/>
          <w:sz w:val="20"/>
          <w:szCs w:val="20"/>
          <w:shd w:val="clear" w:color="auto" w:fill="FFFFFF"/>
        </w:rPr>
        <w:t>The +/- value represents typical percentage variation of actual costs from the cost estimate after applying contingency.</w:t>
      </w:r>
    </w:p>
    <w:p w14:paraId="0587C5B9" w14:textId="3EE2EA3F" w:rsidR="00371A05" w:rsidRPr="008A0812" w:rsidRDefault="00371A05" w:rsidP="00371A05">
      <w:pPr>
        <w:pStyle w:val="BodyText"/>
      </w:pPr>
      <w:bookmarkStart w:id="550" w:name="_Toc23931744"/>
      <w:bookmarkEnd w:id="549"/>
      <w:r w:rsidRPr="008A0812">
        <w:t xml:space="preserve">Project costs include direct construction costs plus the indirect costs required to implement the project. Indirect costs include site civil engineering, environmental documentation, permits, administrative costs, construction management, and engineering services during construction. Indirect costs have been estimated as a percentage of the construction cost as shown in </w:t>
      </w:r>
      <w:r w:rsidRPr="008A0812">
        <w:fldChar w:fldCharType="begin"/>
      </w:r>
      <w:r w:rsidRPr="008A0812">
        <w:instrText xml:space="preserve"> REF _Ref36401765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3</w:t>
      </w:r>
      <w:r w:rsidRPr="008A0812">
        <w:fldChar w:fldCharType="end"/>
      </w:r>
      <w:r w:rsidRPr="008A0812">
        <w:t>.</w:t>
      </w:r>
    </w:p>
    <w:p w14:paraId="44B8EE53" w14:textId="77777777" w:rsidR="00371A05" w:rsidRPr="008A0812" w:rsidRDefault="00371A05" w:rsidP="00371A05">
      <w:pPr>
        <w:pStyle w:val="BodyText"/>
        <w:rPr>
          <w:b/>
          <w:bCs/>
          <w:sz w:val="24"/>
        </w:rPr>
      </w:pPr>
      <w:r w:rsidRPr="008A0812">
        <w:t>In addition, construction costs vary with changing conditions. For example, the bidding climate may change related to the supply and demand of construction work, the availability of qualified contractors, etc. or the project scope may change during design, or site conditions may not be known. To account for uncertainties, an estimating contingency of 30% was applied to arrive at the project cost.</w:t>
      </w:r>
    </w:p>
    <w:p w14:paraId="0E6DB0DE" w14:textId="059BAEC3" w:rsidR="004776AB" w:rsidRPr="008A0812" w:rsidRDefault="004776AB" w:rsidP="00371A05">
      <w:pPr>
        <w:pStyle w:val="BodyText"/>
        <w:rPr>
          <w:b/>
          <w:bCs/>
          <w:caps/>
          <w:u w:val="single"/>
        </w:rPr>
      </w:pPr>
      <w:r w:rsidRPr="008A0812">
        <w:rPr>
          <w:b/>
          <w:bCs/>
        </w:rPr>
        <w:t>Annual Costs</w:t>
      </w:r>
      <w:bookmarkEnd w:id="550"/>
    </w:p>
    <w:p w14:paraId="2126F670" w14:textId="1CADED8B" w:rsidR="004776AB" w:rsidRPr="008A0812" w:rsidRDefault="004776AB" w:rsidP="004776AB">
      <w:pPr>
        <w:pStyle w:val="BodyText"/>
      </w:pPr>
      <w:r w:rsidRPr="008A0812">
        <w:t>Annual operation and maintenance (O&amp;M) costs are the ongoing costs to run and maintain a facility, including power, labor, chemicals, and equipment replacement. O&amp;M costs vary by treatment process according to the flow and/or load treated. O&amp;M costs are based on estimates of labor, energy, and material use and are used to compare the life-cycle costs of alternatives. O&amp;M costs were based on current SBWRP rates</w:t>
      </w:r>
      <w:r w:rsidR="00C4703C" w:rsidRPr="008A0812">
        <w:t xml:space="preserve"> as summarized in </w:t>
      </w:r>
      <w:r w:rsidR="00C4703C" w:rsidRPr="008A0812">
        <w:fldChar w:fldCharType="begin"/>
      </w:r>
      <w:r w:rsidR="00C4703C" w:rsidRPr="008A0812">
        <w:instrText xml:space="preserve"> REF _Ref36401827 \h </w:instrText>
      </w:r>
      <w:r w:rsidR="008A0812">
        <w:instrText xml:space="preserve"> \* MERGEFORMAT </w:instrText>
      </w:r>
      <w:r w:rsidR="00C4703C" w:rsidRPr="008A0812">
        <w:fldChar w:fldCharType="separate"/>
      </w:r>
      <w:r w:rsidR="00AA68F8" w:rsidRPr="008A0812">
        <w:t xml:space="preserve">Table </w:t>
      </w:r>
      <w:r w:rsidR="00AA68F8">
        <w:rPr>
          <w:noProof/>
        </w:rPr>
        <w:t>10</w:t>
      </w:r>
      <w:r w:rsidR="00AA68F8" w:rsidRPr="008A0812">
        <w:rPr>
          <w:noProof/>
        </w:rPr>
        <w:noBreakHyphen/>
      </w:r>
      <w:r w:rsidR="00AA68F8">
        <w:rPr>
          <w:noProof/>
        </w:rPr>
        <w:t>2</w:t>
      </w:r>
      <w:r w:rsidR="00C4703C" w:rsidRPr="008A0812">
        <w:fldChar w:fldCharType="end"/>
      </w:r>
      <w:r w:rsidRPr="008A0812">
        <w:t xml:space="preserve">. </w:t>
      </w:r>
    </w:p>
    <w:p w14:paraId="733F7A5E" w14:textId="6F6CE3F6" w:rsidR="00C4703C" w:rsidRPr="008A0812" w:rsidRDefault="00C4703C" w:rsidP="00C4703C">
      <w:pPr>
        <w:pStyle w:val="TableHeading"/>
      </w:pPr>
      <w:bookmarkStart w:id="551" w:name="_Ref36401827"/>
      <w:bookmarkStart w:id="552" w:name="_Toc36414105"/>
      <w:bookmarkStart w:id="553" w:name="_Toc41684792"/>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bookmarkEnd w:id="551"/>
      <w:r w:rsidRPr="008A0812">
        <w:t>: O&amp;M Unit Costs</w:t>
      </w:r>
      <w:bookmarkEnd w:id="552"/>
      <w:bookmarkEnd w:id="553"/>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4666"/>
      </w:tblGrid>
      <w:tr w:rsidR="004776AB" w:rsidRPr="008A0812" w14:paraId="5E7D604D" w14:textId="77777777" w:rsidTr="004776AB">
        <w:trPr>
          <w:trHeight w:hRule="exact" w:val="331"/>
        </w:trPr>
        <w:tc>
          <w:tcPr>
            <w:tcW w:w="4665"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2D296F1E" w14:textId="77777777" w:rsidR="004776AB" w:rsidRPr="008A0812" w:rsidRDefault="004776AB" w:rsidP="004776AB">
            <w:pPr>
              <w:keepNext/>
              <w:overflowPunct/>
              <w:autoSpaceDE/>
              <w:autoSpaceDN/>
              <w:adjustRightInd/>
              <w:jc w:val="center"/>
              <w:rPr>
                <w:rFonts w:ascii="Segoe UI" w:hAnsi="Segoe UI" w:cs="Segoe UI"/>
                <w:sz w:val="18"/>
                <w:szCs w:val="18"/>
              </w:rPr>
            </w:pPr>
            <w:bookmarkStart w:id="554" w:name="_Hlk20753548"/>
            <w:r w:rsidRPr="008A0812">
              <w:rPr>
                <w:rFonts w:cs="Segoe UI"/>
                <w:b/>
                <w:bCs/>
              </w:rPr>
              <w:t>Item</w:t>
            </w:r>
          </w:p>
        </w:tc>
        <w:tc>
          <w:tcPr>
            <w:tcW w:w="4666" w:type="dxa"/>
            <w:tcBorders>
              <w:top w:val="single" w:sz="6" w:space="0" w:color="auto"/>
              <w:left w:val="nil"/>
              <w:bottom w:val="single" w:sz="6" w:space="0" w:color="auto"/>
              <w:right w:val="single" w:sz="6" w:space="0" w:color="auto"/>
            </w:tcBorders>
            <w:shd w:val="clear" w:color="auto" w:fill="BFBFBF"/>
            <w:vAlign w:val="center"/>
            <w:hideMark/>
          </w:tcPr>
          <w:p w14:paraId="29989AF5"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b/>
                <w:bCs/>
              </w:rPr>
              <w:t>2019 Cost</w:t>
            </w:r>
          </w:p>
        </w:tc>
      </w:tr>
      <w:tr w:rsidR="004776AB" w:rsidRPr="008A0812" w14:paraId="44751C58" w14:textId="77777777" w:rsidTr="004776AB">
        <w:trPr>
          <w:trHeight w:val="285"/>
        </w:trPr>
        <w:tc>
          <w:tcPr>
            <w:tcW w:w="466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AE445C3" w14:textId="77777777" w:rsidR="004776AB" w:rsidRPr="008A0812" w:rsidRDefault="004776AB" w:rsidP="004776AB">
            <w:pPr>
              <w:keepNext/>
              <w:overflowPunct/>
              <w:autoSpaceDE/>
              <w:autoSpaceDN/>
              <w:adjustRightInd/>
              <w:rPr>
                <w:rFonts w:ascii="Segoe UI" w:hAnsi="Segoe UI" w:cs="Segoe UI"/>
                <w:sz w:val="18"/>
                <w:szCs w:val="18"/>
              </w:rPr>
            </w:pPr>
            <w:r w:rsidRPr="008A0812">
              <w:rPr>
                <w:rFonts w:cs="Segoe UI"/>
              </w:rPr>
              <w:t>Labor (average)</w:t>
            </w:r>
          </w:p>
        </w:tc>
        <w:tc>
          <w:tcPr>
            <w:tcW w:w="4666" w:type="dxa"/>
            <w:tcBorders>
              <w:top w:val="nil"/>
              <w:left w:val="nil"/>
              <w:bottom w:val="single" w:sz="6" w:space="0" w:color="auto"/>
              <w:right w:val="single" w:sz="6" w:space="0" w:color="auto"/>
            </w:tcBorders>
            <w:shd w:val="clear" w:color="auto" w:fill="auto"/>
            <w:vAlign w:val="center"/>
            <w:hideMark/>
          </w:tcPr>
          <w:p w14:paraId="725510DE"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rPr>
              <w:t>$150 / hour</w:t>
            </w:r>
          </w:p>
        </w:tc>
      </w:tr>
      <w:tr w:rsidR="004776AB" w:rsidRPr="008A0812" w14:paraId="4484B206" w14:textId="77777777" w:rsidTr="004776AB">
        <w:trPr>
          <w:trHeight w:val="285"/>
        </w:trPr>
        <w:tc>
          <w:tcPr>
            <w:tcW w:w="466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BCD3402" w14:textId="77777777" w:rsidR="004776AB" w:rsidRPr="008A0812" w:rsidRDefault="004776AB" w:rsidP="004776AB">
            <w:pPr>
              <w:keepNext/>
              <w:overflowPunct/>
              <w:autoSpaceDE/>
              <w:autoSpaceDN/>
              <w:adjustRightInd/>
              <w:rPr>
                <w:rFonts w:ascii="Segoe UI" w:hAnsi="Segoe UI" w:cs="Segoe UI"/>
                <w:sz w:val="18"/>
                <w:szCs w:val="18"/>
              </w:rPr>
            </w:pPr>
            <w:r w:rsidRPr="008A0812">
              <w:rPr>
                <w:rFonts w:cs="Segoe UI"/>
              </w:rPr>
              <w:t>Electricity</w:t>
            </w:r>
          </w:p>
        </w:tc>
        <w:tc>
          <w:tcPr>
            <w:tcW w:w="4666" w:type="dxa"/>
            <w:tcBorders>
              <w:top w:val="nil"/>
              <w:left w:val="nil"/>
              <w:bottom w:val="single" w:sz="6" w:space="0" w:color="auto"/>
              <w:right w:val="single" w:sz="6" w:space="0" w:color="auto"/>
            </w:tcBorders>
            <w:shd w:val="clear" w:color="auto" w:fill="auto"/>
            <w:vAlign w:val="center"/>
            <w:hideMark/>
          </w:tcPr>
          <w:p w14:paraId="6A511AF9"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rPr>
              <w:t>$0.12 / kilowatt-hour</w:t>
            </w:r>
          </w:p>
        </w:tc>
      </w:tr>
      <w:tr w:rsidR="004776AB" w:rsidRPr="008A0812" w14:paraId="65F683E3" w14:textId="77777777" w:rsidTr="004776AB">
        <w:trPr>
          <w:trHeight w:val="285"/>
        </w:trPr>
        <w:tc>
          <w:tcPr>
            <w:tcW w:w="466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1AE7BC7" w14:textId="77777777" w:rsidR="004776AB" w:rsidRPr="008A0812" w:rsidRDefault="004776AB" w:rsidP="004776AB">
            <w:pPr>
              <w:keepNext/>
              <w:overflowPunct/>
              <w:autoSpaceDE/>
              <w:autoSpaceDN/>
              <w:adjustRightInd/>
              <w:rPr>
                <w:rFonts w:ascii="Segoe UI" w:hAnsi="Segoe UI" w:cs="Segoe UI"/>
                <w:sz w:val="18"/>
                <w:szCs w:val="18"/>
              </w:rPr>
            </w:pPr>
            <w:r w:rsidRPr="008A0812">
              <w:rPr>
                <w:rFonts w:cs="Segoe UI"/>
              </w:rPr>
              <w:t>CEPT Polymer</w:t>
            </w:r>
          </w:p>
        </w:tc>
        <w:tc>
          <w:tcPr>
            <w:tcW w:w="4666" w:type="dxa"/>
            <w:tcBorders>
              <w:top w:val="nil"/>
              <w:left w:val="nil"/>
              <w:bottom w:val="single" w:sz="6" w:space="0" w:color="auto"/>
              <w:right w:val="single" w:sz="6" w:space="0" w:color="auto"/>
            </w:tcBorders>
            <w:shd w:val="clear" w:color="auto" w:fill="auto"/>
            <w:vAlign w:val="center"/>
            <w:hideMark/>
          </w:tcPr>
          <w:p w14:paraId="0DCF54D7"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rPr>
              <w:t>$1.40 / active pound</w:t>
            </w:r>
          </w:p>
        </w:tc>
      </w:tr>
      <w:tr w:rsidR="004776AB" w:rsidRPr="008A0812" w14:paraId="4CC1B876" w14:textId="77777777" w:rsidTr="004776AB">
        <w:trPr>
          <w:trHeight w:val="285"/>
        </w:trPr>
        <w:tc>
          <w:tcPr>
            <w:tcW w:w="4665"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D2E75C1" w14:textId="77777777" w:rsidR="004776AB" w:rsidRPr="008A0812" w:rsidRDefault="004776AB" w:rsidP="004776AB">
            <w:pPr>
              <w:keepNext/>
              <w:overflowPunct/>
              <w:autoSpaceDE/>
              <w:autoSpaceDN/>
              <w:adjustRightInd/>
              <w:rPr>
                <w:rFonts w:ascii="Segoe UI" w:hAnsi="Segoe UI" w:cs="Segoe UI"/>
                <w:sz w:val="18"/>
                <w:szCs w:val="18"/>
              </w:rPr>
            </w:pPr>
            <w:r w:rsidRPr="008A0812">
              <w:rPr>
                <w:rFonts w:cs="Segoe UI"/>
              </w:rPr>
              <w:t>Natural Gas</w:t>
            </w:r>
          </w:p>
        </w:tc>
        <w:tc>
          <w:tcPr>
            <w:tcW w:w="4666" w:type="dxa"/>
            <w:tcBorders>
              <w:top w:val="nil"/>
              <w:left w:val="nil"/>
              <w:bottom w:val="single" w:sz="6" w:space="0" w:color="auto"/>
              <w:right w:val="single" w:sz="6" w:space="0" w:color="auto"/>
            </w:tcBorders>
            <w:shd w:val="clear" w:color="auto" w:fill="auto"/>
            <w:vAlign w:val="center"/>
            <w:hideMark/>
          </w:tcPr>
          <w:p w14:paraId="3A68423C"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rPr>
              <w:t>$ 1.05 / therm (100,000 btu)</w:t>
            </w:r>
          </w:p>
        </w:tc>
      </w:tr>
    </w:tbl>
    <w:bookmarkEnd w:id="554"/>
    <w:p w14:paraId="3ECE5757" w14:textId="20C9769B" w:rsidR="004776AB" w:rsidRPr="008A0812" w:rsidRDefault="00C4703C" w:rsidP="004776AB">
      <w:pPr>
        <w:pStyle w:val="BodyText"/>
      </w:pPr>
      <w:r w:rsidRPr="008A0812">
        <w:fldChar w:fldCharType="begin"/>
      </w:r>
      <w:r w:rsidRPr="008A0812">
        <w:instrText xml:space="preserve"> REF _Ref36401765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3</w:t>
      </w:r>
      <w:r w:rsidRPr="008A0812">
        <w:fldChar w:fldCharType="end"/>
      </w:r>
      <w:r w:rsidR="004776AB" w:rsidRPr="008A0812">
        <w:t xml:space="preserve"> summarizes the guidelines used to estimate total project costs for the SBWRP. The 15% allowance for electrical and instrumentation is intended to capture installation and material costs for ancillary electrical equipment including cable, wire, auxiliary terminals, consumables, conduit (not including large duct banks), fittings, pull boxes, lighting, switches, support structures (not including cable trays) and grounding equipment. The allowance for planning studies and CEQA compliance varies by project. As most projects are R&amp;R, they are not expected to require significant CEQA documentation. A project contingency of 30% was applied to all projects.</w:t>
      </w:r>
    </w:p>
    <w:p w14:paraId="220BE97B" w14:textId="377D23D7" w:rsidR="00C4703C" w:rsidRPr="008A0812" w:rsidRDefault="00C4703C" w:rsidP="000926F4">
      <w:pPr>
        <w:pStyle w:val="TableHeading"/>
      </w:pPr>
      <w:bookmarkStart w:id="555" w:name="_Ref36401765"/>
      <w:bookmarkStart w:id="556" w:name="_Toc36414106"/>
      <w:bookmarkStart w:id="557" w:name="_Toc41684793"/>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555"/>
      <w:r w:rsidRPr="008A0812">
        <w:t xml:space="preserve"> Summary of Cost Estimating Markups</w:t>
      </w:r>
      <w:bookmarkEnd w:id="556"/>
      <w:bookmarkEnd w:id="557"/>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24"/>
        <w:gridCol w:w="3307"/>
      </w:tblGrid>
      <w:tr w:rsidR="004776AB" w:rsidRPr="008A0812" w14:paraId="1C50EC58" w14:textId="77777777" w:rsidTr="000926F4">
        <w:trPr>
          <w:cantSplit/>
          <w:trHeight w:hRule="exact" w:val="331"/>
          <w:tblHeader/>
        </w:trPr>
        <w:tc>
          <w:tcPr>
            <w:tcW w:w="6024"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5AED67A7" w14:textId="77777777" w:rsidR="004776AB" w:rsidRPr="008A0812" w:rsidRDefault="004776AB" w:rsidP="000926F4">
            <w:pPr>
              <w:keepNext/>
              <w:overflowPunct/>
              <w:autoSpaceDE/>
              <w:autoSpaceDN/>
              <w:adjustRightInd/>
              <w:jc w:val="center"/>
              <w:rPr>
                <w:rFonts w:ascii="Segoe UI" w:hAnsi="Segoe UI" w:cs="Segoe UI"/>
                <w:sz w:val="18"/>
                <w:szCs w:val="18"/>
              </w:rPr>
            </w:pPr>
            <w:r w:rsidRPr="008A0812">
              <w:rPr>
                <w:rFonts w:cs="Segoe UI"/>
                <w:b/>
                <w:bCs/>
              </w:rPr>
              <w:t>Item</w:t>
            </w:r>
            <w:r w:rsidRPr="008A0812">
              <w:rPr>
                <w:rFonts w:cs="Segoe UI"/>
              </w:rPr>
              <w:t> </w:t>
            </w:r>
          </w:p>
        </w:tc>
        <w:tc>
          <w:tcPr>
            <w:tcW w:w="3307" w:type="dxa"/>
            <w:tcBorders>
              <w:top w:val="single" w:sz="6" w:space="0" w:color="auto"/>
              <w:left w:val="nil"/>
              <w:bottom w:val="single" w:sz="6" w:space="0" w:color="auto"/>
            </w:tcBorders>
            <w:shd w:val="clear" w:color="auto" w:fill="BFBFBF"/>
            <w:vAlign w:val="center"/>
            <w:hideMark/>
          </w:tcPr>
          <w:p w14:paraId="60AE5DCA" w14:textId="77777777" w:rsidR="004776AB" w:rsidRPr="008A0812" w:rsidRDefault="004776AB" w:rsidP="000926F4">
            <w:pPr>
              <w:keepNext/>
              <w:overflowPunct/>
              <w:autoSpaceDE/>
              <w:autoSpaceDN/>
              <w:adjustRightInd/>
              <w:jc w:val="center"/>
              <w:rPr>
                <w:rFonts w:ascii="Segoe UI" w:hAnsi="Segoe UI" w:cs="Segoe UI"/>
                <w:sz w:val="18"/>
                <w:szCs w:val="18"/>
              </w:rPr>
            </w:pPr>
            <w:r w:rsidRPr="008A0812">
              <w:rPr>
                <w:rFonts w:cs="Segoe UI"/>
                <w:b/>
                <w:bCs/>
              </w:rPr>
              <w:t>Markup</w:t>
            </w:r>
            <w:r w:rsidRPr="008A0812">
              <w:rPr>
                <w:rFonts w:cs="Segoe UI"/>
              </w:rPr>
              <w:t> </w:t>
            </w:r>
          </w:p>
        </w:tc>
      </w:tr>
      <w:tr w:rsidR="004776AB" w:rsidRPr="008A0812" w14:paraId="5D74B69D" w14:textId="77777777" w:rsidTr="004776AB">
        <w:trPr>
          <w:trHeight w:val="285"/>
        </w:trPr>
        <w:tc>
          <w:tcPr>
            <w:tcW w:w="9331" w:type="dxa"/>
            <w:gridSpan w:val="2"/>
            <w:tcBorders>
              <w:top w:val="nil"/>
              <w:left w:val="single" w:sz="6" w:space="0" w:color="auto"/>
              <w:bottom w:val="single" w:sz="6" w:space="0" w:color="auto"/>
              <w:right w:val="single" w:sz="6" w:space="0" w:color="auto"/>
            </w:tcBorders>
            <w:shd w:val="clear" w:color="auto" w:fill="auto"/>
            <w:hideMark/>
          </w:tcPr>
          <w:p w14:paraId="6787BD44" w14:textId="77777777" w:rsidR="004776AB" w:rsidRPr="008A0812" w:rsidRDefault="004776AB" w:rsidP="000926F4">
            <w:pPr>
              <w:keepNext/>
              <w:overflowPunct/>
              <w:autoSpaceDE/>
              <w:autoSpaceDN/>
              <w:adjustRightInd/>
              <w:rPr>
                <w:rFonts w:ascii="Segoe UI" w:hAnsi="Segoe UI" w:cs="Segoe UI"/>
                <w:sz w:val="18"/>
                <w:szCs w:val="18"/>
              </w:rPr>
            </w:pPr>
            <w:r w:rsidRPr="008A0812">
              <w:rPr>
                <w:rFonts w:cs="Segoe UI"/>
                <w:b/>
                <w:bCs/>
              </w:rPr>
              <w:t>Construction Markups</w:t>
            </w:r>
            <w:r w:rsidRPr="008A0812">
              <w:rPr>
                <w:rFonts w:cs="Segoe UI"/>
              </w:rPr>
              <w:t> </w:t>
            </w:r>
          </w:p>
        </w:tc>
      </w:tr>
      <w:tr w:rsidR="004776AB" w:rsidRPr="008A0812" w14:paraId="5C832DA1"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hideMark/>
          </w:tcPr>
          <w:p w14:paraId="618E87DD" w14:textId="77777777" w:rsidR="004776AB" w:rsidRPr="008A0812" w:rsidRDefault="004776AB" w:rsidP="000926F4">
            <w:pPr>
              <w:keepNext/>
              <w:overflowPunct/>
              <w:autoSpaceDE/>
              <w:autoSpaceDN/>
              <w:adjustRightInd/>
              <w:rPr>
                <w:rFonts w:ascii="Segoe UI" w:hAnsi="Segoe UI" w:cs="Segoe UI"/>
                <w:sz w:val="18"/>
                <w:szCs w:val="18"/>
              </w:rPr>
            </w:pPr>
            <w:r w:rsidRPr="008A0812">
              <w:rPr>
                <w:rFonts w:cs="Segoe UI"/>
              </w:rPr>
              <w:t>General Conditions </w:t>
            </w:r>
          </w:p>
        </w:tc>
        <w:tc>
          <w:tcPr>
            <w:tcW w:w="3307" w:type="dxa"/>
            <w:tcBorders>
              <w:top w:val="nil"/>
              <w:left w:val="nil"/>
              <w:bottom w:val="single" w:sz="6" w:space="0" w:color="auto"/>
              <w:right w:val="single" w:sz="6" w:space="0" w:color="auto"/>
            </w:tcBorders>
            <w:shd w:val="clear" w:color="auto" w:fill="auto"/>
            <w:hideMark/>
          </w:tcPr>
          <w:p w14:paraId="33FF1987" w14:textId="77777777" w:rsidR="004776AB" w:rsidRPr="008A0812" w:rsidRDefault="004776AB" w:rsidP="000926F4">
            <w:pPr>
              <w:keepNext/>
              <w:overflowPunct/>
              <w:autoSpaceDE/>
              <w:autoSpaceDN/>
              <w:adjustRightInd/>
              <w:jc w:val="center"/>
              <w:rPr>
                <w:rFonts w:ascii="Segoe UI" w:hAnsi="Segoe UI" w:cs="Segoe UI"/>
                <w:sz w:val="18"/>
                <w:szCs w:val="18"/>
              </w:rPr>
            </w:pPr>
            <w:r w:rsidRPr="008A0812">
              <w:rPr>
                <w:rFonts w:cs="Segoe UI"/>
              </w:rPr>
              <w:t>15%</w:t>
            </w:r>
          </w:p>
        </w:tc>
      </w:tr>
      <w:tr w:rsidR="004776AB" w:rsidRPr="008A0812" w14:paraId="5FA34727"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F7A4E4F"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Electrical and Instrumentation Allowance </w:t>
            </w:r>
          </w:p>
        </w:tc>
        <w:tc>
          <w:tcPr>
            <w:tcW w:w="3307" w:type="dxa"/>
            <w:tcBorders>
              <w:top w:val="nil"/>
              <w:left w:val="nil"/>
              <w:bottom w:val="single" w:sz="6" w:space="0" w:color="auto"/>
              <w:right w:val="single" w:sz="6" w:space="0" w:color="auto"/>
            </w:tcBorders>
            <w:shd w:val="clear" w:color="auto" w:fill="auto"/>
            <w:hideMark/>
          </w:tcPr>
          <w:p w14:paraId="021AF7D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15%</w:t>
            </w:r>
          </w:p>
        </w:tc>
      </w:tr>
      <w:tr w:rsidR="004776AB" w:rsidRPr="008A0812" w14:paraId="2E93BF56"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hideMark/>
          </w:tcPr>
          <w:p w14:paraId="15ED7EA9"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Contractor Overhead </w:t>
            </w:r>
          </w:p>
        </w:tc>
        <w:tc>
          <w:tcPr>
            <w:tcW w:w="3307" w:type="dxa"/>
            <w:tcBorders>
              <w:top w:val="nil"/>
              <w:left w:val="nil"/>
              <w:bottom w:val="single" w:sz="6" w:space="0" w:color="auto"/>
              <w:right w:val="single" w:sz="6" w:space="0" w:color="auto"/>
            </w:tcBorders>
            <w:shd w:val="clear" w:color="auto" w:fill="auto"/>
            <w:hideMark/>
          </w:tcPr>
          <w:p w14:paraId="5320DB8E"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10%</w:t>
            </w:r>
          </w:p>
        </w:tc>
      </w:tr>
      <w:tr w:rsidR="004776AB" w:rsidRPr="008A0812" w14:paraId="370E2E15"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hideMark/>
          </w:tcPr>
          <w:p w14:paraId="75201D88"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Contractor Profit </w:t>
            </w:r>
          </w:p>
        </w:tc>
        <w:tc>
          <w:tcPr>
            <w:tcW w:w="3307" w:type="dxa"/>
            <w:tcBorders>
              <w:top w:val="nil"/>
              <w:left w:val="nil"/>
              <w:bottom w:val="single" w:sz="6" w:space="0" w:color="auto"/>
              <w:right w:val="single" w:sz="6" w:space="0" w:color="auto"/>
            </w:tcBorders>
            <w:shd w:val="clear" w:color="auto" w:fill="auto"/>
            <w:hideMark/>
          </w:tcPr>
          <w:p w14:paraId="6C19DBB2"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10%</w:t>
            </w:r>
          </w:p>
        </w:tc>
      </w:tr>
      <w:tr w:rsidR="004776AB" w:rsidRPr="008A0812" w14:paraId="57A09B84"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hideMark/>
          </w:tcPr>
          <w:p w14:paraId="360A9D31"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Bonds &amp; Insurance </w:t>
            </w:r>
          </w:p>
        </w:tc>
        <w:tc>
          <w:tcPr>
            <w:tcW w:w="3307" w:type="dxa"/>
            <w:tcBorders>
              <w:top w:val="nil"/>
              <w:left w:val="nil"/>
              <w:bottom w:val="single" w:sz="6" w:space="0" w:color="auto"/>
              <w:right w:val="single" w:sz="6" w:space="0" w:color="auto"/>
            </w:tcBorders>
            <w:shd w:val="clear" w:color="auto" w:fill="auto"/>
            <w:hideMark/>
          </w:tcPr>
          <w:p w14:paraId="503D382B" w14:textId="77777777" w:rsidR="004776AB" w:rsidRPr="008A0812" w:rsidRDefault="004776AB" w:rsidP="004776AB">
            <w:pPr>
              <w:overflowPunct/>
              <w:autoSpaceDE/>
              <w:autoSpaceDN/>
              <w:adjustRightInd/>
              <w:jc w:val="center"/>
              <w:rPr>
                <w:rFonts w:ascii="Segoe UI" w:hAnsi="Segoe UI" w:cs="Segoe UI"/>
                <w:sz w:val="18"/>
                <w:szCs w:val="18"/>
              </w:rPr>
            </w:pPr>
            <w:r w:rsidRPr="008A0812">
              <w:rPr>
                <w:rFonts w:cs="Segoe UI"/>
              </w:rPr>
              <w:t>3%</w:t>
            </w:r>
          </w:p>
        </w:tc>
      </w:tr>
      <w:tr w:rsidR="004776AB" w:rsidRPr="008A0812" w14:paraId="55852A1C" w14:textId="77777777" w:rsidTr="004776AB">
        <w:trPr>
          <w:trHeight w:val="285"/>
        </w:trPr>
        <w:tc>
          <w:tcPr>
            <w:tcW w:w="9331" w:type="dxa"/>
            <w:gridSpan w:val="2"/>
            <w:tcBorders>
              <w:top w:val="nil"/>
              <w:left w:val="single" w:sz="6" w:space="0" w:color="auto"/>
              <w:bottom w:val="single" w:sz="6" w:space="0" w:color="auto"/>
              <w:right w:val="single" w:sz="6" w:space="0" w:color="auto"/>
            </w:tcBorders>
            <w:shd w:val="clear" w:color="auto" w:fill="auto"/>
            <w:vAlign w:val="center"/>
            <w:hideMark/>
          </w:tcPr>
          <w:p w14:paraId="477B053F"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b/>
                <w:bCs/>
              </w:rPr>
              <w:t>Indirect Costs</w:t>
            </w:r>
            <w:r w:rsidRPr="008A0812">
              <w:rPr>
                <w:rFonts w:cs="Segoe UI"/>
              </w:rPr>
              <w:t> </w:t>
            </w:r>
          </w:p>
        </w:tc>
      </w:tr>
      <w:tr w:rsidR="004776AB" w:rsidRPr="008A0812" w14:paraId="0AFA3D3E"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vAlign w:val="center"/>
          </w:tcPr>
          <w:p w14:paraId="70AD6769" w14:textId="77777777" w:rsidR="004776AB" w:rsidRPr="008A0812" w:rsidRDefault="004776AB" w:rsidP="004776AB">
            <w:pPr>
              <w:overflowPunct/>
              <w:autoSpaceDE/>
              <w:autoSpaceDN/>
              <w:adjustRightInd/>
              <w:rPr>
                <w:rFonts w:cs="Segoe UI"/>
              </w:rPr>
            </w:pPr>
            <w:r w:rsidRPr="008A0812">
              <w:rPr>
                <w:rFonts w:cs="Segoe UI"/>
              </w:rPr>
              <w:t>Planning Studies / CEQA Compliance, where applicable</w:t>
            </w:r>
          </w:p>
        </w:tc>
        <w:tc>
          <w:tcPr>
            <w:tcW w:w="3307" w:type="dxa"/>
            <w:tcBorders>
              <w:top w:val="nil"/>
              <w:left w:val="nil"/>
              <w:bottom w:val="single" w:sz="6" w:space="0" w:color="auto"/>
            </w:tcBorders>
            <w:shd w:val="clear" w:color="auto" w:fill="auto"/>
            <w:vAlign w:val="center"/>
          </w:tcPr>
          <w:p w14:paraId="47650EEC" w14:textId="77777777" w:rsidR="004776AB" w:rsidRPr="008A0812" w:rsidRDefault="004776AB" w:rsidP="004776AB">
            <w:pPr>
              <w:overflowPunct/>
              <w:autoSpaceDE/>
              <w:autoSpaceDN/>
              <w:adjustRightInd/>
              <w:jc w:val="center"/>
              <w:textAlignment w:val="auto"/>
              <w:rPr>
                <w:rFonts w:cs="Segoe UI"/>
              </w:rPr>
            </w:pPr>
            <w:r w:rsidRPr="008A0812">
              <w:rPr>
                <w:rFonts w:cs="Segoe UI"/>
              </w:rPr>
              <w:t>0 – 1%</w:t>
            </w:r>
          </w:p>
        </w:tc>
      </w:tr>
      <w:tr w:rsidR="004776AB" w:rsidRPr="008A0812" w14:paraId="1ED84B45"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D0C2E45"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Engineering Design </w:t>
            </w:r>
          </w:p>
        </w:tc>
        <w:tc>
          <w:tcPr>
            <w:tcW w:w="3307" w:type="dxa"/>
            <w:tcBorders>
              <w:top w:val="nil"/>
              <w:left w:val="nil"/>
              <w:bottom w:val="single" w:sz="6" w:space="0" w:color="auto"/>
            </w:tcBorders>
            <w:shd w:val="clear" w:color="auto" w:fill="auto"/>
            <w:vAlign w:val="center"/>
            <w:hideMark/>
          </w:tcPr>
          <w:p w14:paraId="1757D021" w14:textId="77777777" w:rsidR="004776AB" w:rsidRPr="008A0812" w:rsidRDefault="004776AB" w:rsidP="004776AB">
            <w:pPr>
              <w:overflowPunct/>
              <w:autoSpaceDE/>
              <w:autoSpaceDN/>
              <w:adjustRightInd/>
              <w:jc w:val="center"/>
              <w:textAlignment w:val="auto"/>
              <w:rPr>
                <w:rFonts w:ascii="Times New Roman" w:hAnsi="Times New Roman"/>
                <w:sz w:val="20"/>
                <w:szCs w:val="20"/>
              </w:rPr>
            </w:pPr>
            <w:r w:rsidRPr="008A0812">
              <w:rPr>
                <w:rFonts w:cs="Segoe UI"/>
              </w:rPr>
              <w:t>12%</w:t>
            </w:r>
          </w:p>
        </w:tc>
      </w:tr>
      <w:tr w:rsidR="004776AB" w:rsidRPr="008A0812" w14:paraId="3EFF69EE"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ACC6244"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Construction Administration </w:t>
            </w:r>
          </w:p>
        </w:tc>
        <w:tc>
          <w:tcPr>
            <w:tcW w:w="3307" w:type="dxa"/>
            <w:tcBorders>
              <w:top w:val="nil"/>
              <w:left w:val="nil"/>
              <w:bottom w:val="single" w:sz="6" w:space="0" w:color="auto"/>
            </w:tcBorders>
            <w:shd w:val="clear" w:color="auto" w:fill="auto"/>
            <w:vAlign w:val="center"/>
            <w:hideMark/>
          </w:tcPr>
          <w:p w14:paraId="3DE2C07E" w14:textId="77777777" w:rsidR="004776AB" w:rsidRPr="008A0812" w:rsidRDefault="004776AB" w:rsidP="004776AB">
            <w:pPr>
              <w:overflowPunct/>
              <w:autoSpaceDE/>
              <w:autoSpaceDN/>
              <w:adjustRightInd/>
              <w:jc w:val="center"/>
              <w:textAlignment w:val="auto"/>
              <w:rPr>
                <w:rFonts w:ascii="Times New Roman" w:hAnsi="Times New Roman"/>
                <w:sz w:val="20"/>
                <w:szCs w:val="20"/>
              </w:rPr>
            </w:pPr>
            <w:r w:rsidRPr="008A0812">
              <w:rPr>
                <w:rFonts w:cs="Segoe UI"/>
              </w:rPr>
              <w:t>15%</w:t>
            </w:r>
          </w:p>
        </w:tc>
      </w:tr>
      <w:tr w:rsidR="004776AB" w:rsidRPr="008A0812" w14:paraId="0CE8E5F3" w14:textId="77777777" w:rsidTr="004776AB">
        <w:trPr>
          <w:trHeight w:val="285"/>
        </w:trPr>
        <w:tc>
          <w:tcPr>
            <w:tcW w:w="9331" w:type="dxa"/>
            <w:gridSpan w:val="2"/>
            <w:tcBorders>
              <w:top w:val="nil"/>
              <w:left w:val="single" w:sz="6" w:space="0" w:color="auto"/>
              <w:bottom w:val="single" w:sz="6" w:space="0" w:color="auto"/>
              <w:right w:val="single" w:sz="6" w:space="0" w:color="auto"/>
            </w:tcBorders>
            <w:shd w:val="clear" w:color="auto" w:fill="auto"/>
            <w:vAlign w:val="center"/>
            <w:hideMark/>
          </w:tcPr>
          <w:p w14:paraId="678FA63A"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b/>
                <w:bCs/>
              </w:rPr>
              <w:t>Contingency</w:t>
            </w:r>
            <w:r w:rsidRPr="008A0812">
              <w:rPr>
                <w:rFonts w:cs="Segoe UI"/>
              </w:rPr>
              <w:t> </w:t>
            </w:r>
          </w:p>
        </w:tc>
      </w:tr>
      <w:tr w:rsidR="004776AB" w:rsidRPr="008A0812" w14:paraId="7219036E" w14:textId="77777777" w:rsidTr="004776AB">
        <w:trPr>
          <w:trHeight w:val="285"/>
        </w:trPr>
        <w:tc>
          <w:tcPr>
            <w:tcW w:w="6024"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DCA5DD0" w14:textId="77777777" w:rsidR="004776AB" w:rsidRPr="008A0812" w:rsidRDefault="004776AB" w:rsidP="004776AB">
            <w:pPr>
              <w:overflowPunct/>
              <w:autoSpaceDE/>
              <w:autoSpaceDN/>
              <w:adjustRightInd/>
              <w:rPr>
                <w:rFonts w:ascii="Segoe UI" w:hAnsi="Segoe UI" w:cs="Segoe UI"/>
                <w:sz w:val="18"/>
                <w:szCs w:val="18"/>
              </w:rPr>
            </w:pPr>
            <w:r w:rsidRPr="008A0812">
              <w:rPr>
                <w:rFonts w:cs="Segoe UI"/>
              </w:rPr>
              <w:t>Project Contingency </w:t>
            </w:r>
          </w:p>
        </w:tc>
        <w:tc>
          <w:tcPr>
            <w:tcW w:w="3307" w:type="dxa"/>
            <w:tcBorders>
              <w:top w:val="nil"/>
              <w:left w:val="nil"/>
              <w:bottom w:val="single" w:sz="6" w:space="0" w:color="auto"/>
            </w:tcBorders>
            <w:shd w:val="clear" w:color="auto" w:fill="auto"/>
            <w:vAlign w:val="center"/>
            <w:hideMark/>
          </w:tcPr>
          <w:p w14:paraId="377DD9CB" w14:textId="77777777" w:rsidR="004776AB" w:rsidRPr="008A0812" w:rsidRDefault="004776AB" w:rsidP="004776AB">
            <w:pPr>
              <w:overflowPunct/>
              <w:autoSpaceDE/>
              <w:autoSpaceDN/>
              <w:adjustRightInd/>
              <w:jc w:val="center"/>
              <w:textAlignment w:val="auto"/>
              <w:rPr>
                <w:rFonts w:ascii="Times New Roman" w:hAnsi="Times New Roman"/>
                <w:sz w:val="20"/>
                <w:szCs w:val="20"/>
              </w:rPr>
            </w:pPr>
            <w:r w:rsidRPr="008A0812">
              <w:rPr>
                <w:rFonts w:cs="Segoe UI"/>
              </w:rPr>
              <w:t>30%</w:t>
            </w:r>
          </w:p>
        </w:tc>
      </w:tr>
    </w:tbl>
    <w:p w14:paraId="44A58620" w14:textId="77777777" w:rsidR="004776AB" w:rsidRPr="008A0812" w:rsidRDefault="004776AB" w:rsidP="004776AB">
      <w:pPr>
        <w:pStyle w:val="Heading2"/>
        <w:numPr>
          <w:ilvl w:val="1"/>
          <w:numId w:val="1"/>
        </w:numPr>
        <w:tabs>
          <w:tab w:val="clear" w:pos="547"/>
          <w:tab w:val="num" w:pos="446"/>
        </w:tabs>
      </w:pPr>
      <w:bookmarkStart w:id="558" w:name="_Toc23931745"/>
      <w:bookmarkStart w:id="559" w:name="_Toc41680914"/>
      <w:r w:rsidRPr="008A0812">
        <w:t>Primary Treatment</w:t>
      </w:r>
      <w:bookmarkEnd w:id="558"/>
      <w:bookmarkEnd w:id="559"/>
    </w:p>
    <w:p w14:paraId="1D175A82" w14:textId="77777777" w:rsidR="004776AB" w:rsidRPr="008A0812" w:rsidRDefault="004776AB" w:rsidP="004776AB">
      <w:pPr>
        <w:pStyle w:val="Heading3"/>
        <w:keepNext w:val="0"/>
        <w:numPr>
          <w:ilvl w:val="2"/>
          <w:numId w:val="1"/>
        </w:numPr>
        <w:tabs>
          <w:tab w:val="clear" w:pos="720"/>
          <w:tab w:val="num" w:pos="360"/>
          <w:tab w:val="num" w:pos="1260"/>
        </w:tabs>
        <w:overflowPunct/>
        <w:autoSpaceDE/>
        <w:autoSpaceDN/>
        <w:adjustRightInd/>
        <w:ind w:left="986" w:hanging="446"/>
        <w:textAlignment w:val="auto"/>
      </w:pPr>
      <w:bookmarkStart w:id="560" w:name="_Ref36401434"/>
      <w:bookmarkStart w:id="561" w:name="_Ref36402543"/>
      <w:bookmarkStart w:id="562" w:name="_Toc41680915"/>
      <w:r w:rsidRPr="008A0812">
        <w:t>Primary Flow Equalization</w:t>
      </w:r>
      <w:bookmarkEnd w:id="560"/>
      <w:bookmarkEnd w:id="561"/>
      <w:bookmarkEnd w:id="562"/>
    </w:p>
    <w:p w14:paraId="23F801BF" w14:textId="77777777" w:rsidR="004776AB" w:rsidRPr="008A0812" w:rsidRDefault="004776AB" w:rsidP="004776AB">
      <w:pPr>
        <w:pStyle w:val="BodyText"/>
      </w:pPr>
      <w:r w:rsidRPr="008A0812">
        <w:t xml:space="preserve">The main objective of providing primary flow equalization would be to relieve downstream treatment processes during wet weather to provide onsite storage of primary flow during a large storm event. Due to the relatively even influent diurnal flow to the SBWRP, daily peak flow equalization is not considered a worthwhile investment for the plant. </w:t>
      </w:r>
    </w:p>
    <w:p w14:paraId="35F147FC" w14:textId="252158BF" w:rsidR="004776AB" w:rsidRPr="008A0812" w:rsidRDefault="004776AB" w:rsidP="00AE02AD">
      <w:pPr>
        <w:pStyle w:val="BodyText"/>
      </w:pPr>
      <w:r w:rsidRPr="008A0812">
        <w:t xml:space="preserve">The primary flow equalization basin was sized based on the influent flow experienced by the SBWRP during a large storm event on February 14, 2019. This storm was selected due to its recency and the high flow it generated. SBMWD staff confirmed that the SBWRP was able to handle the high flow throughout the processes without over-topping. Since it is not practical to design a flow equalization basin to detain the full storm flow volume generated over a 24-hour period, the primary equalization basin was designed to hold the flow above the current estimated capacity of the plant. The capacity of 38 mgd estimated in Section </w:t>
      </w:r>
      <w:r w:rsidR="00AE02AD" w:rsidRPr="008A0812">
        <w:fldChar w:fldCharType="begin"/>
      </w:r>
      <w:r w:rsidR="00AE02AD" w:rsidRPr="008A0812">
        <w:instrText xml:space="preserve"> REF _Ref20216624 \r \h </w:instrText>
      </w:r>
      <w:r w:rsidR="008A0812">
        <w:instrText xml:space="preserve"> \* MERGEFORMAT </w:instrText>
      </w:r>
      <w:r w:rsidR="00AE02AD" w:rsidRPr="008A0812">
        <w:fldChar w:fldCharType="separate"/>
      </w:r>
      <w:r w:rsidR="00AA68F8">
        <w:t>10.2.2</w:t>
      </w:r>
      <w:r w:rsidR="00AE02AD" w:rsidRPr="008A0812">
        <w:fldChar w:fldCharType="end"/>
      </w:r>
      <w:r w:rsidRPr="008A0812">
        <w:t xml:space="preserve"> represents the peak flow that can pass through the secondary clarifiers with all units online. The volume required to store flows above this, based on the peak flow event in February of 2019, is 4.7 million gallons (MG), and is represented by the shaded area under the curve in </w:t>
      </w:r>
      <w:r w:rsidR="00AE02AD" w:rsidRPr="008A0812">
        <w:fldChar w:fldCharType="begin"/>
      </w:r>
      <w:r w:rsidR="00AE02AD" w:rsidRPr="008A0812">
        <w:instrText xml:space="preserve"> REF _Ref36403330 \h </w:instrText>
      </w:r>
      <w:r w:rsidR="008A0812">
        <w:instrText xml:space="preserve"> \* MERGEFORMAT </w:instrText>
      </w:r>
      <w:r w:rsidR="00AE02AD" w:rsidRPr="008A0812">
        <w:fldChar w:fldCharType="separate"/>
      </w:r>
      <w:r w:rsidR="00AA68F8" w:rsidRPr="008A0812">
        <w:t xml:space="preserve">Figure </w:t>
      </w:r>
      <w:r w:rsidR="00AA68F8">
        <w:rPr>
          <w:noProof/>
        </w:rPr>
        <w:t>10</w:t>
      </w:r>
      <w:r w:rsidR="00AA68F8">
        <w:rPr>
          <w:noProof/>
        </w:rPr>
        <w:noBreakHyphen/>
        <w:t>1</w:t>
      </w:r>
      <w:r w:rsidR="00AE02AD" w:rsidRPr="008A0812">
        <w:fldChar w:fldCharType="end"/>
      </w:r>
      <w:r w:rsidRPr="008A0812">
        <w:t xml:space="preserve">. This sizing is based on current flows and is conservative for future peak flows when influent flow will be reduced; however, additional hydraulic capacity may be needed if one train of Unit 2 is taken offline (see project detailed in Section </w:t>
      </w:r>
      <w:r w:rsidR="00AE02AD" w:rsidRPr="008A0812">
        <w:fldChar w:fldCharType="begin"/>
      </w:r>
      <w:r w:rsidR="00AE02AD" w:rsidRPr="008A0812">
        <w:instrText xml:space="preserve"> REF _Ref20216624 \r \h </w:instrText>
      </w:r>
      <w:r w:rsidR="008A0812">
        <w:instrText xml:space="preserve"> \* MERGEFORMAT </w:instrText>
      </w:r>
      <w:r w:rsidR="00AE02AD" w:rsidRPr="008A0812">
        <w:fldChar w:fldCharType="separate"/>
      </w:r>
      <w:r w:rsidR="00AA68F8">
        <w:t>10.2.2</w:t>
      </w:r>
      <w:r w:rsidR="00AE02AD" w:rsidRPr="008A0812">
        <w:fldChar w:fldCharType="end"/>
      </w:r>
      <w:r w:rsidRPr="008A0812">
        <w:t xml:space="preserve">). </w:t>
      </w:r>
    </w:p>
    <w:p w14:paraId="7FC3F57C" w14:textId="54EC4F28" w:rsidR="00AE02AD" w:rsidRPr="008A0812" w:rsidRDefault="00AE02AD" w:rsidP="00AF40CB">
      <w:pPr>
        <w:pStyle w:val="FigureHeading"/>
      </w:pPr>
      <w:bookmarkStart w:id="563" w:name="_Ref36403330"/>
      <w:bookmarkStart w:id="564" w:name="_Toc36414107"/>
      <w:bookmarkStart w:id="565" w:name="_Toc41684712"/>
      <w:r w:rsidRPr="008A0812">
        <w:t xml:space="preserve">Figure </w:t>
      </w:r>
      <w:fldSimple w:instr=" STYLEREF 1 \s ">
        <w:r w:rsidR="00AA68F8">
          <w:rPr>
            <w:noProof/>
          </w:rPr>
          <w:t>10</w:t>
        </w:r>
      </w:fldSimple>
      <w:r w:rsidR="00B233D1">
        <w:noBreakHyphen/>
      </w:r>
      <w:fldSimple w:instr=" SEQ Figure \* ARABIC \s 1 ">
        <w:r w:rsidR="00AA68F8">
          <w:rPr>
            <w:noProof/>
          </w:rPr>
          <w:t>1</w:t>
        </w:r>
      </w:fldSimple>
      <w:bookmarkEnd w:id="563"/>
      <w:r w:rsidRPr="008A0812">
        <w:t>: Peak Wet Weather Flow Event (2/14/2019)</w:t>
      </w:r>
      <w:bookmarkEnd w:id="564"/>
      <w:bookmarkEnd w:id="565"/>
    </w:p>
    <w:p w14:paraId="046368B1" w14:textId="77777777" w:rsidR="004776AB" w:rsidRPr="008A0812" w:rsidRDefault="004776AB" w:rsidP="004776AB">
      <w:pPr>
        <w:jc w:val="center"/>
      </w:pPr>
      <w:r>
        <w:rPr>
          <w:noProof/>
        </w:rPr>
        <w:drawing>
          <wp:inline distT="0" distB="0" distL="0" distR="0" wp14:anchorId="3DDD3D43" wp14:editId="7F210049">
            <wp:extent cx="5943600" cy="4446357"/>
            <wp:effectExtent l="0" t="0" r="0" b="0"/>
            <wp:docPr id="804586951" name="Picture 45" descr="C:\Users\jhodgens\AppData\Local\Microsoft\Windows\INetCache\Content.MSO\A54A8F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99">
                      <a:extLst>
                        <a:ext uri="{28A0092B-C50C-407E-A947-70E740481C1C}">
                          <a14:useLocalDpi xmlns:a14="http://schemas.microsoft.com/office/drawing/2010/main" val="0"/>
                        </a:ext>
                      </a:extLst>
                    </a:blip>
                    <a:stretch>
                      <a:fillRect/>
                    </a:stretch>
                  </pic:blipFill>
                  <pic:spPr>
                    <a:xfrm>
                      <a:off x="0" y="0"/>
                      <a:ext cx="5943600" cy="4446357"/>
                    </a:xfrm>
                    <a:prstGeom prst="rect">
                      <a:avLst/>
                    </a:prstGeom>
                  </pic:spPr>
                </pic:pic>
              </a:graphicData>
            </a:graphic>
          </wp:inline>
        </w:drawing>
      </w:r>
    </w:p>
    <w:p w14:paraId="74B3EF1E" w14:textId="77777777" w:rsidR="004776AB" w:rsidRPr="008A0812" w:rsidRDefault="004776AB" w:rsidP="004776AB">
      <w:pPr>
        <w:pStyle w:val="BodyText"/>
      </w:pPr>
      <w:r w:rsidRPr="008A0812">
        <w:t>The cost estimate for the equalization basin is based on below-grade, geomembrane-lined basin, with an additional allowance for bird deterrents per FAA requirements. It is assumed that influent will flow by gravity from the existing blind flanged 42-inch primary influent line at the headworks splitter box. This same line could conceptually be utilized to pump primary equalization volume back into the splitter box when SBWRP influent flow reduces to normal levels. The pump station is assumed to be dry pit with submersible non-clog pumps. Further details of the primary equalization project would be determined during the design phase of the project.</w:t>
      </w:r>
    </w:p>
    <w:p w14:paraId="35E9412B" w14:textId="6BDC5F12" w:rsidR="004776AB" w:rsidRPr="008A0812" w:rsidRDefault="004776AB" w:rsidP="004776AB">
      <w:pPr>
        <w:pStyle w:val="BodyText"/>
      </w:pPr>
      <w:r w:rsidRPr="008A0812">
        <w:t xml:space="preserve">The estimated cost of constructing a storage basin of this size, including a pump station, is $9.3 million. This cost is based on Carollo’s 2015 estimate for a 5 MG facility, and a similar </w:t>
      </w:r>
      <w:r w:rsidR="003210FB" w:rsidRPr="008A0812">
        <w:t>1.3 MG storage basin constructed in 2005 for the Yucaipa Valley Water District. Costs were adjusted based on volume and escalated to present day. Allowances for contractor markups, design, and construction management are included, along with a 30% project contingency.</w:t>
      </w:r>
    </w:p>
    <w:p w14:paraId="13DFA972" w14:textId="77777777" w:rsidR="00DD30AF" w:rsidRPr="008A0812" w:rsidRDefault="00DD30AF" w:rsidP="00DD30AF">
      <w:pPr>
        <w:pStyle w:val="Heading3"/>
        <w:keepNext w:val="0"/>
        <w:numPr>
          <w:ilvl w:val="2"/>
          <w:numId w:val="1"/>
        </w:numPr>
        <w:tabs>
          <w:tab w:val="clear" w:pos="720"/>
          <w:tab w:val="num" w:pos="360"/>
          <w:tab w:val="num" w:pos="1260"/>
        </w:tabs>
        <w:overflowPunct/>
        <w:autoSpaceDE/>
        <w:autoSpaceDN/>
        <w:adjustRightInd/>
        <w:ind w:left="986" w:hanging="446"/>
        <w:textAlignment w:val="auto"/>
      </w:pPr>
      <w:bookmarkStart w:id="566" w:name="_Toc23931747"/>
      <w:bookmarkStart w:id="567" w:name="_Ref36025596"/>
      <w:bookmarkStart w:id="568" w:name="_Toc41680916"/>
      <w:bookmarkStart w:id="569" w:name="_Ref24116961"/>
      <w:r w:rsidRPr="008A0812">
        <w:t>Chemically Enhanced Primary Treatment</w:t>
      </w:r>
      <w:bookmarkEnd w:id="566"/>
      <w:bookmarkEnd w:id="567"/>
      <w:bookmarkEnd w:id="568"/>
    </w:p>
    <w:p w14:paraId="06742DF8" w14:textId="77777777" w:rsidR="00DD30AF" w:rsidRPr="008A0812" w:rsidRDefault="00DD30AF" w:rsidP="004776AB">
      <w:pPr>
        <w:pStyle w:val="BodyText"/>
      </w:pPr>
      <w:r w:rsidRPr="008A0812">
        <w:t xml:space="preserve">The primary treatment process can be optimized through the addition of chemical coagulants such as metal salts and organic polymers. This technique, known as chemically enhanced primary treatment (CEPT), improves settling, thereby increasing primary sludge volume and decreasing the load to the secondary system. </w:t>
      </w:r>
    </w:p>
    <w:p w14:paraId="3214355F" w14:textId="77777777" w:rsidR="00DD30AF" w:rsidRPr="008A0812" w:rsidRDefault="00DD30AF" w:rsidP="004776AB">
      <w:pPr>
        <w:pStyle w:val="BodyText"/>
      </w:pPr>
      <w:r w:rsidRPr="008A0812">
        <w:t xml:space="preserve">Benefits of enhancing primary clarifier removal through chemical addition include: </w:t>
      </w:r>
    </w:p>
    <w:p w14:paraId="4C5052C8" w14:textId="77777777" w:rsidR="00DD30AF" w:rsidRPr="008A0812" w:rsidRDefault="00DD30AF" w:rsidP="004776AB">
      <w:pPr>
        <w:pStyle w:val="Bullet"/>
        <w:overflowPunct/>
        <w:autoSpaceDE/>
        <w:autoSpaceDN/>
        <w:adjustRightInd/>
        <w:textAlignment w:val="auto"/>
      </w:pPr>
      <w:r w:rsidRPr="008A0812">
        <w:t xml:space="preserve">Increasing diversion of organic matter directly to the digester, with a corresponding increase in biogas production and energy generation. </w:t>
      </w:r>
    </w:p>
    <w:p w14:paraId="40849142" w14:textId="77777777" w:rsidR="00DD30AF" w:rsidRPr="008A0812" w:rsidRDefault="00DD30AF" w:rsidP="004776AB">
      <w:pPr>
        <w:pStyle w:val="Bullet"/>
      </w:pPr>
      <w:r w:rsidRPr="008A0812">
        <w:t xml:space="preserve">Reducing organic loading to secondary treatment, with a corresponding reduction in the energy required for aeration and the creation of additional capacity to accommodate growth or optimize process performance. </w:t>
      </w:r>
    </w:p>
    <w:p w14:paraId="3093F809" w14:textId="77777777" w:rsidR="003210FB" w:rsidRPr="008A0812" w:rsidRDefault="00DD30AF" w:rsidP="004776AB">
      <w:pPr>
        <w:pStyle w:val="Bullet"/>
      </w:pPr>
      <w:r w:rsidRPr="008A0812">
        <w:t xml:space="preserve">Potential for lowering the MLSS concentration, which in turn would increase the peak-flow capacity of the secondary clarifiers. </w:t>
      </w:r>
    </w:p>
    <w:p w14:paraId="379F3934" w14:textId="77777777" w:rsidR="003210FB" w:rsidRPr="008A0812" w:rsidRDefault="003210FB" w:rsidP="00371A05">
      <w:pPr>
        <w:pStyle w:val="Bullet"/>
        <w:numPr>
          <w:ilvl w:val="0"/>
          <w:numId w:val="0"/>
        </w:numPr>
      </w:pPr>
      <w:r w:rsidRPr="008A0812">
        <w:t xml:space="preserve">Potential drawback of enhancing primary clarifier removal through chemical addition include: </w:t>
      </w:r>
    </w:p>
    <w:p w14:paraId="38C55935" w14:textId="6BCFCD76" w:rsidR="00DD30AF" w:rsidRPr="008A0812" w:rsidRDefault="003210FB" w:rsidP="00371A05">
      <w:pPr>
        <w:pStyle w:val="Bullet"/>
        <w:spacing w:line="259" w:lineRule="auto"/>
      </w:pPr>
      <w:r w:rsidRPr="008A0812">
        <w:t>Impact on TIN removal performance</w:t>
      </w:r>
    </w:p>
    <w:p w14:paraId="05FC23FE" w14:textId="450DC0CE" w:rsidR="00DD30AF" w:rsidRPr="008A0812" w:rsidRDefault="00DD30AF" w:rsidP="004776AB">
      <w:pPr>
        <w:pStyle w:val="BodyText"/>
      </w:pPr>
      <w:r w:rsidRPr="008A0812">
        <w:t xml:space="preserve">CEPT is reported to increase TSS removal by 20 to 30 percent, and BOD removal by 25 to 40 percent (Metcalf &amp; Eddy, 2014, p.477). Experience at the Encina Water Pollution Control Facility (EWPCF) shows a more modest increase of 10% in TSS removal and gas production, with minimal improvement in BOD removal (Carollo, 2016). Nevertheless, an economic analysis showed the practice to be worth continuing at EWPCF largely due to the 10% increase in biogas production. The SBWRP is already adding ferric chloride at the headworks to reduce hydrogen sulfide buildup in the digesters, so there may already be some enhancement of primary clarifier removal. Adding polymer downstream of the ferric chloride addition may further increase primary removals. </w:t>
      </w:r>
    </w:p>
    <w:p w14:paraId="0F739188" w14:textId="77777777" w:rsidR="003210FB" w:rsidRPr="008A0812" w:rsidRDefault="00DD30AF">
      <w:r w:rsidRPr="008A0812">
        <w:t xml:space="preserve">It is assumed that the CEPT project would consist of two new polymer skids to feed polymer ahead of Units 1 and 2 primary clarifiers. For this analysis, it is assumed that polymer would be fed into the Unit 2 influent splitter box, and into the Unit 1 above-ground influent pipe or, when the Unit 3 primary clarifier is on-line, the Unit 1 splitter box. The polymer skids would be located near the feed points in simple sheds or under roofs for weather protection. Polymer would be delivered and stored in totes. Preliminary design would investigate other locations for the skids including inside existing structures such as the Unit 1 and 2 pump stations. </w:t>
      </w:r>
      <w:r w:rsidR="003210FB" w:rsidRPr="008A0812">
        <w:t xml:space="preserve">Preliminary design would also consider the optimum point for feeding to the process including bench scaling testing, considering available mixing energy and flocculation time. A budget cost estimate for this alternative, including design and contingency, is $390,000. </w:t>
      </w:r>
    </w:p>
    <w:p w14:paraId="7CB0FA07" w14:textId="5FA2C22E" w:rsidR="00DD30AF" w:rsidRPr="008A0812" w:rsidRDefault="00DD30AF" w:rsidP="00C4703C">
      <w:pPr>
        <w:pStyle w:val="BodyText"/>
      </w:pPr>
    </w:p>
    <w:p w14:paraId="788F49AA" w14:textId="5A8E3E93" w:rsidR="000B6EC6" w:rsidRPr="008A0812" w:rsidRDefault="000B6EC6" w:rsidP="00C4703C">
      <w:pPr>
        <w:pStyle w:val="BodyText"/>
      </w:pPr>
    </w:p>
    <w:p w14:paraId="1E0378C7" w14:textId="77777777" w:rsidR="000B6EC6" w:rsidRPr="008A0812" w:rsidRDefault="000B6EC6" w:rsidP="00C4703C">
      <w:pPr>
        <w:pStyle w:val="BodyText"/>
      </w:pPr>
    </w:p>
    <w:p w14:paraId="4A6B82BB" w14:textId="3BF1D9DF" w:rsidR="00C4703C" w:rsidRPr="008A0812" w:rsidRDefault="00C4703C" w:rsidP="00C4703C">
      <w:pPr>
        <w:pStyle w:val="TableHeading"/>
      </w:pPr>
      <w:bookmarkStart w:id="570" w:name="_Ref36401884"/>
      <w:bookmarkStart w:id="571" w:name="_Toc36414108"/>
      <w:bookmarkStart w:id="572" w:name="_Toc41684794"/>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570"/>
      <w:r w:rsidRPr="008A0812">
        <w:t xml:space="preserve">: </w:t>
      </w:r>
      <w:bookmarkEnd w:id="571"/>
      <w:r w:rsidR="00273546" w:rsidRPr="008A0812">
        <w:t>Simple Payback Analysis for CEPT</w:t>
      </w:r>
      <w:bookmarkEnd w:id="572"/>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12"/>
        <w:gridCol w:w="2109"/>
        <w:gridCol w:w="2110"/>
      </w:tblGrid>
      <w:tr w:rsidR="00DD30AF" w:rsidRPr="008A0812" w14:paraId="6834B29E" w14:textId="77777777" w:rsidTr="00C4703C">
        <w:trPr>
          <w:cantSplit/>
          <w:trHeight w:hRule="exact" w:val="331"/>
          <w:tblHeader/>
        </w:trPr>
        <w:tc>
          <w:tcPr>
            <w:tcW w:w="5112" w:type="dxa"/>
            <w:tcBorders>
              <w:top w:val="single" w:sz="6" w:space="0" w:color="auto"/>
              <w:left w:val="single" w:sz="6" w:space="0" w:color="auto"/>
              <w:bottom w:val="single" w:sz="6" w:space="0" w:color="auto"/>
              <w:right w:val="single" w:sz="6" w:space="0" w:color="auto"/>
            </w:tcBorders>
            <w:shd w:val="clear" w:color="auto" w:fill="BFBFBF"/>
            <w:vAlign w:val="center"/>
            <w:hideMark/>
          </w:tcPr>
          <w:p w14:paraId="2C74E69D" w14:textId="77777777" w:rsidR="00DD30AF" w:rsidRPr="008A0812" w:rsidRDefault="00DD30AF" w:rsidP="004776AB">
            <w:pPr>
              <w:overflowPunct/>
              <w:autoSpaceDE/>
              <w:autoSpaceDN/>
              <w:adjustRightInd/>
              <w:jc w:val="center"/>
              <w:rPr>
                <w:rFonts w:ascii="Segoe UI" w:hAnsi="Segoe UI" w:cs="Segoe UI"/>
                <w:sz w:val="18"/>
                <w:szCs w:val="18"/>
              </w:rPr>
            </w:pPr>
          </w:p>
        </w:tc>
        <w:tc>
          <w:tcPr>
            <w:tcW w:w="2109" w:type="dxa"/>
            <w:tcBorders>
              <w:top w:val="single" w:sz="6" w:space="0" w:color="auto"/>
              <w:left w:val="nil"/>
              <w:bottom w:val="single" w:sz="6" w:space="0" w:color="auto"/>
              <w:right w:val="single" w:sz="6" w:space="0" w:color="auto"/>
            </w:tcBorders>
            <w:shd w:val="clear" w:color="auto" w:fill="BFBFBF"/>
            <w:vAlign w:val="center"/>
            <w:hideMark/>
          </w:tcPr>
          <w:p w14:paraId="1BBFE97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Units</w:t>
            </w:r>
          </w:p>
        </w:tc>
        <w:tc>
          <w:tcPr>
            <w:tcW w:w="2110" w:type="dxa"/>
            <w:tcBorders>
              <w:top w:val="single" w:sz="6" w:space="0" w:color="auto"/>
              <w:left w:val="nil"/>
              <w:bottom w:val="single" w:sz="6" w:space="0" w:color="auto"/>
              <w:right w:val="single" w:sz="6" w:space="0" w:color="auto"/>
            </w:tcBorders>
            <w:shd w:val="clear" w:color="auto" w:fill="BFBFBF"/>
            <w:vAlign w:val="center"/>
            <w:hideMark/>
          </w:tcPr>
          <w:p w14:paraId="2C6CE25C"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Value</w:t>
            </w:r>
          </w:p>
        </w:tc>
      </w:tr>
      <w:tr w:rsidR="00DD30AF" w:rsidRPr="008A0812" w14:paraId="50315126"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8B55760"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Polymer Dose</w:t>
            </w:r>
          </w:p>
        </w:tc>
        <w:tc>
          <w:tcPr>
            <w:tcW w:w="2109" w:type="dxa"/>
            <w:tcBorders>
              <w:top w:val="nil"/>
              <w:left w:val="nil"/>
              <w:bottom w:val="single" w:sz="6" w:space="0" w:color="auto"/>
              <w:right w:val="single" w:sz="6" w:space="0" w:color="auto"/>
            </w:tcBorders>
            <w:shd w:val="clear" w:color="auto" w:fill="auto"/>
            <w:vAlign w:val="center"/>
            <w:hideMark/>
          </w:tcPr>
          <w:p w14:paraId="6FE5E101"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mg/L</w:t>
            </w:r>
          </w:p>
        </w:tc>
        <w:tc>
          <w:tcPr>
            <w:tcW w:w="2110" w:type="dxa"/>
            <w:tcBorders>
              <w:top w:val="nil"/>
              <w:left w:val="nil"/>
              <w:bottom w:val="single" w:sz="6" w:space="0" w:color="auto"/>
              <w:right w:val="single" w:sz="6" w:space="0" w:color="auto"/>
            </w:tcBorders>
            <w:shd w:val="clear" w:color="auto" w:fill="auto"/>
            <w:vAlign w:val="center"/>
            <w:hideMark/>
          </w:tcPr>
          <w:p w14:paraId="60F5C91D"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0.5</w:t>
            </w:r>
          </w:p>
        </w:tc>
      </w:tr>
      <w:tr w:rsidR="00DD30AF" w:rsidRPr="008A0812" w14:paraId="69EB8B02"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F030310"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Dry Feed Rate</w:t>
            </w:r>
          </w:p>
        </w:tc>
        <w:tc>
          <w:tcPr>
            <w:tcW w:w="2109" w:type="dxa"/>
            <w:tcBorders>
              <w:top w:val="nil"/>
              <w:left w:val="nil"/>
              <w:bottom w:val="single" w:sz="6" w:space="0" w:color="auto"/>
              <w:right w:val="single" w:sz="6" w:space="0" w:color="auto"/>
            </w:tcBorders>
            <w:shd w:val="clear" w:color="auto" w:fill="auto"/>
            <w:vAlign w:val="center"/>
            <w:hideMark/>
          </w:tcPr>
          <w:p w14:paraId="019931A4"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ppd</w:t>
            </w:r>
          </w:p>
        </w:tc>
        <w:tc>
          <w:tcPr>
            <w:tcW w:w="2110" w:type="dxa"/>
            <w:tcBorders>
              <w:top w:val="nil"/>
              <w:left w:val="nil"/>
              <w:bottom w:val="single" w:sz="6" w:space="0" w:color="auto"/>
              <w:right w:val="single" w:sz="6" w:space="0" w:color="auto"/>
            </w:tcBorders>
            <w:shd w:val="clear" w:color="auto" w:fill="auto"/>
            <w:vAlign w:val="center"/>
            <w:hideMark/>
          </w:tcPr>
          <w:p w14:paraId="6D121639"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10</w:t>
            </w:r>
          </w:p>
        </w:tc>
      </w:tr>
      <w:tr w:rsidR="00DD30AF" w:rsidRPr="008A0812" w14:paraId="0020F1AF"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C40AC50"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Annual Polymer Cost</w:t>
            </w:r>
          </w:p>
        </w:tc>
        <w:tc>
          <w:tcPr>
            <w:tcW w:w="2109" w:type="dxa"/>
            <w:tcBorders>
              <w:top w:val="nil"/>
              <w:left w:val="nil"/>
              <w:bottom w:val="single" w:sz="6" w:space="0" w:color="auto"/>
              <w:right w:val="single" w:sz="6" w:space="0" w:color="auto"/>
            </w:tcBorders>
            <w:shd w:val="clear" w:color="auto" w:fill="auto"/>
            <w:vAlign w:val="center"/>
            <w:hideMark/>
          </w:tcPr>
          <w:p w14:paraId="281F31B6"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$/year</w:t>
            </w:r>
          </w:p>
        </w:tc>
        <w:tc>
          <w:tcPr>
            <w:tcW w:w="2110" w:type="dxa"/>
            <w:tcBorders>
              <w:top w:val="nil"/>
              <w:left w:val="nil"/>
              <w:bottom w:val="single" w:sz="6" w:space="0" w:color="auto"/>
              <w:right w:val="single" w:sz="6" w:space="0" w:color="auto"/>
            </w:tcBorders>
            <w:shd w:val="clear" w:color="auto" w:fill="auto"/>
            <w:vAlign w:val="center"/>
            <w:hideMark/>
          </w:tcPr>
          <w:p w14:paraId="4FC2D2E1"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5,000</w:t>
            </w:r>
          </w:p>
        </w:tc>
      </w:tr>
      <w:tr w:rsidR="00DD30AF" w:rsidRPr="008A0812" w14:paraId="357FD79D"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AE4884A"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Operations</w:t>
            </w:r>
          </w:p>
        </w:tc>
        <w:tc>
          <w:tcPr>
            <w:tcW w:w="2109" w:type="dxa"/>
            <w:tcBorders>
              <w:top w:val="nil"/>
              <w:left w:val="nil"/>
              <w:bottom w:val="single" w:sz="6" w:space="0" w:color="auto"/>
              <w:right w:val="single" w:sz="6" w:space="0" w:color="auto"/>
            </w:tcBorders>
            <w:shd w:val="clear" w:color="auto" w:fill="auto"/>
            <w:vAlign w:val="center"/>
            <w:hideMark/>
          </w:tcPr>
          <w:p w14:paraId="7C4D3DD2"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hour/week</w:t>
            </w:r>
          </w:p>
        </w:tc>
        <w:tc>
          <w:tcPr>
            <w:tcW w:w="2110" w:type="dxa"/>
            <w:tcBorders>
              <w:top w:val="nil"/>
              <w:left w:val="nil"/>
              <w:bottom w:val="single" w:sz="6" w:space="0" w:color="auto"/>
              <w:right w:val="single" w:sz="6" w:space="0" w:color="auto"/>
            </w:tcBorders>
            <w:shd w:val="clear" w:color="auto" w:fill="auto"/>
            <w:vAlign w:val="center"/>
            <w:hideMark/>
          </w:tcPr>
          <w:p w14:paraId="3A499FAF"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2</w:t>
            </w:r>
          </w:p>
        </w:tc>
      </w:tr>
      <w:tr w:rsidR="00DD30AF" w:rsidRPr="008A0812" w14:paraId="19447725"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47F701D"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Annual Labor Cost</w:t>
            </w:r>
          </w:p>
        </w:tc>
        <w:tc>
          <w:tcPr>
            <w:tcW w:w="2109" w:type="dxa"/>
            <w:tcBorders>
              <w:top w:val="nil"/>
              <w:left w:val="nil"/>
              <w:bottom w:val="single" w:sz="6" w:space="0" w:color="auto"/>
              <w:right w:val="single" w:sz="6" w:space="0" w:color="auto"/>
            </w:tcBorders>
            <w:shd w:val="clear" w:color="auto" w:fill="auto"/>
            <w:vAlign w:val="center"/>
            <w:hideMark/>
          </w:tcPr>
          <w:p w14:paraId="27FCC65A"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$/year</w:t>
            </w:r>
          </w:p>
        </w:tc>
        <w:tc>
          <w:tcPr>
            <w:tcW w:w="2110" w:type="dxa"/>
            <w:tcBorders>
              <w:top w:val="nil"/>
              <w:left w:val="nil"/>
              <w:bottom w:val="single" w:sz="6" w:space="0" w:color="auto"/>
              <w:right w:val="single" w:sz="6" w:space="0" w:color="auto"/>
            </w:tcBorders>
            <w:shd w:val="clear" w:color="auto" w:fill="auto"/>
            <w:vAlign w:val="center"/>
            <w:hideMark/>
          </w:tcPr>
          <w:p w14:paraId="27523EE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15,600</w:t>
            </w:r>
          </w:p>
        </w:tc>
      </w:tr>
      <w:tr w:rsidR="00DD30AF" w:rsidRPr="008A0812" w14:paraId="570549B9"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29B7BA3"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Additional Biogas Volume</w:t>
            </w:r>
          </w:p>
        </w:tc>
        <w:tc>
          <w:tcPr>
            <w:tcW w:w="2109" w:type="dxa"/>
            <w:tcBorders>
              <w:top w:val="nil"/>
              <w:left w:val="nil"/>
              <w:bottom w:val="single" w:sz="6" w:space="0" w:color="auto"/>
              <w:right w:val="single" w:sz="6" w:space="0" w:color="auto"/>
            </w:tcBorders>
            <w:shd w:val="clear" w:color="auto" w:fill="auto"/>
            <w:vAlign w:val="center"/>
            <w:hideMark/>
          </w:tcPr>
          <w:p w14:paraId="51E31B11"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scf/day</w:t>
            </w:r>
          </w:p>
        </w:tc>
        <w:tc>
          <w:tcPr>
            <w:tcW w:w="2110" w:type="dxa"/>
            <w:tcBorders>
              <w:top w:val="nil"/>
              <w:left w:val="nil"/>
              <w:bottom w:val="single" w:sz="6" w:space="0" w:color="auto"/>
              <w:right w:val="single" w:sz="6" w:space="0" w:color="auto"/>
            </w:tcBorders>
            <w:shd w:val="clear" w:color="auto" w:fill="auto"/>
            <w:vAlign w:val="center"/>
            <w:hideMark/>
          </w:tcPr>
          <w:p w14:paraId="109248F3"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40,000</w:t>
            </w:r>
          </w:p>
        </w:tc>
      </w:tr>
      <w:tr w:rsidR="00DD30AF" w:rsidRPr="008A0812" w14:paraId="5A9F8A52"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0EA27EF"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Additional Biogas Energy</w:t>
            </w:r>
          </w:p>
        </w:tc>
        <w:tc>
          <w:tcPr>
            <w:tcW w:w="2109" w:type="dxa"/>
            <w:tcBorders>
              <w:top w:val="nil"/>
              <w:left w:val="nil"/>
              <w:bottom w:val="single" w:sz="6" w:space="0" w:color="auto"/>
              <w:right w:val="single" w:sz="6" w:space="0" w:color="auto"/>
            </w:tcBorders>
            <w:shd w:val="clear" w:color="auto" w:fill="auto"/>
            <w:vAlign w:val="center"/>
            <w:hideMark/>
          </w:tcPr>
          <w:p w14:paraId="320ABA9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therm/year</w:t>
            </w:r>
          </w:p>
        </w:tc>
        <w:tc>
          <w:tcPr>
            <w:tcW w:w="2110" w:type="dxa"/>
            <w:tcBorders>
              <w:top w:val="nil"/>
              <w:left w:val="nil"/>
              <w:bottom w:val="single" w:sz="6" w:space="0" w:color="auto"/>
              <w:right w:val="single" w:sz="6" w:space="0" w:color="auto"/>
            </w:tcBorders>
            <w:shd w:val="clear" w:color="auto" w:fill="auto"/>
            <w:vAlign w:val="center"/>
            <w:hideMark/>
          </w:tcPr>
          <w:p w14:paraId="60A5FB1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83,220</w:t>
            </w:r>
          </w:p>
        </w:tc>
      </w:tr>
      <w:tr w:rsidR="00DD30AF" w:rsidRPr="008A0812" w14:paraId="7D560920"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58A5AD5"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Annual Value of Biogas</w:t>
            </w:r>
          </w:p>
        </w:tc>
        <w:tc>
          <w:tcPr>
            <w:tcW w:w="2109" w:type="dxa"/>
            <w:tcBorders>
              <w:top w:val="nil"/>
              <w:left w:val="nil"/>
              <w:bottom w:val="single" w:sz="6" w:space="0" w:color="auto"/>
              <w:right w:val="single" w:sz="6" w:space="0" w:color="auto"/>
            </w:tcBorders>
            <w:shd w:val="clear" w:color="auto" w:fill="auto"/>
            <w:vAlign w:val="center"/>
            <w:hideMark/>
          </w:tcPr>
          <w:p w14:paraId="17CB7E9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$/year</w:t>
            </w:r>
          </w:p>
        </w:tc>
        <w:tc>
          <w:tcPr>
            <w:tcW w:w="2110" w:type="dxa"/>
            <w:tcBorders>
              <w:top w:val="nil"/>
              <w:left w:val="nil"/>
              <w:bottom w:val="single" w:sz="6" w:space="0" w:color="auto"/>
              <w:right w:val="single" w:sz="6" w:space="0" w:color="auto"/>
            </w:tcBorders>
            <w:shd w:val="clear" w:color="auto" w:fill="auto"/>
            <w:vAlign w:val="center"/>
            <w:hideMark/>
          </w:tcPr>
          <w:p w14:paraId="74C32457"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87,000</w:t>
            </w:r>
          </w:p>
        </w:tc>
      </w:tr>
      <w:tr w:rsidR="00DD30AF" w:rsidRPr="008A0812" w14:paraId="6F2B75F1"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8A903A3"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Net Annual Cost</w:t>
            </w:r>
          </w:p>
        </w:tc>
        <w:tc>
          <w:tcPr>
            <w:tcW w:w="2109" w:type="dxa"/>
            <w:tcBorders>
              <w:top w:val="nil"/>
              <w:left w:val="nil"/>
              <w:bottom w:val="single" w:sz="6" w:space="0" w:color="auto"/>
              <w:right w:val="single" w:sz="6" w:space="0" w:color="auto"/>
            </w:tcBorders>
            <w:shd w:val="clear" w:color="auto" w:fill="auto"/>
            <w:vAlign w:val="center"/>
            <w:hideMark/>
          </w:tcPr>
          <w:p w14:paraId="36FD7D86"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$/year</w:t>
            </w:r>
          </w:p>
        </w:tc>
        <w:tc>
          <w:tcPr>
            <w:tcW w:w="2110" w:type="dxa"/>
            <w:tcBorders>
              <w:top w:val="nil"/>
              <w:left w:val="nil"/>
              <w:bottom w:val="single" w:sz="6" w:space="0" w:color="auto"/>
              <w:right w:val="single" w:sz="6" w:space="0" w:color="auto"/>
            </w:tcBorders>
            <w:shd w:val="clear" w:color="auto" w:fill="auto"/>
            <w:vAlign w:val="center"/>
            <w:hideMark/>
          </w:tcPr>
          <w:p w14:paraId="35C55A71"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(66,400)</w:t>
            </w:r>
          </w:p>
        </w:tc>
      </w:tr>
      <w:tr w:rsidR="00DD30AF" w:rsidRPr="008A0812" w14:paraId="5A50B86E"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1589708"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Capital Cost</w:t>
            </w:r>
          </w:p>
        </w:tc>
        <w:tc>
          <w:tcPr>
            <w:tcW w:w="2109" w:type="dxa"/>
            <w:tcBorders>
              <w:top w:val="nil"/>
              <w:left w:val="nil"/>
              <w:bottom w:val="single" w:sz="6" w:space="0" w:color="auto"/>
              <w:right w:val="single" w:sz="6" w:space="0" w:color="auto"/>
            </w:tcBorders>
            <w:shd w:val="clear" w:color="auto" w:fill="auto"/>
            <w:vAlign w:val="center"/>
            <w:hideMark/>
          </w:tcPr>
          <w:p w14:paraId="6EA7111A"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w:t>
            </w:r>
          </w:p>
        </w:tc>
        <w:tc>
          <w:tcPr>
            <w:tcW w:w="2110" w:type="dxa"/>
            <w:tcBorders>
              <w:top w:val="nil"/>
              <w:left w:val="nil"/>
              <w:bottom w:val="single" w:sz="6" w:space="0" w:color="auto"/>
              <w:right w:val="single" w:sz="6" w:space="0" w:color="auto"/>
            </w:tcBorders>
            <w:shd w:val="clear" w:color="auto" w:fill="auto"/>
            <w:vAlign w:val="center"/>
            <w:hideMark/>
          </w:tcPr>
          <w:p w14:paraId="1A4814C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390,000</w:t>
            </w:r>
          </w:p>
        </w:tc>
      </w:tr>
      <w:tr w:rsidR="00DD30AF" w:rsidRPr="008A0812" w14:paraId="646B496F" w14:textId="77777777" w:rsidTr="004776AB">
        <w:trPr>
          <w:trHeight w:val="288"/>
        </w:trPr>
        <w:tc>
          <w:tcPr>
            <w:tcW w:w="5112"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5C03404"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Simple Payback</w:t>
            </w:r>
          </w:p>
        </w:tc>
        <w:tc>
          <w:tcPr>
            <w:tcW w:w="2109" w:type="dxa"/>
            <w:tcBorders>
              <w:top w:val="nil"/>
              <w:left w:val="nil"/>
              <w:bottom w:val="single" w:sz="6" w:space="0" w:color="auto"/>
              <w:right w:val="single" w:sz="6" w:space="0" w:color="auto"/>
            </w:tcBorders>
            <w:shd w:val="clear" w:color="auto" w:fill="auto"/>
            <w:vAlign w:val="center"/>
            <w:hideMark/>
          </w:tcPr>
          <w:p w14:paraId="1998786A"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Years</w:t>
            </w:r>
          </w:p>
        </w:tc>
        <w:tc>
          <w:tcPr>
            <w:tcW w:w="2110" w:type="dxa"/>
            <w:tcBorders>
              <w:top w:val="nil"/>
              <w:left w:val="nil"/>
              <w:bottom w:val="single" w:sz="6" w:space="0" w:color="auto"/>
              <w:right w:val="single" w:sz="6" w:space="0" w:color="auto"/>
            </w:tcBorders>
            <w:shd w:val="clear" w:color="auto" w:fill="auto"/>
            <w:vAlign w:val="center"/>
            <w:hideMark/>
          </w:tcPr>
          <w:p w14:paraId="095030C2"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6</w:t>
            </w:r>
          </w:p>
        </w:tc>
      </w:tr>
    </w:tbl>
    <w:p w14:paraId="02ED01B1" w14:textId="1BA6E40E" w:rsidR="00DD30AF" w:rsidRPr="008A0812" w:rsidRDefault="00DD30AF" w:rsidP="00435F44">
      <w:pPr>
        <w:spacing w:before="200"/>
      </w:pPr>
      <w:bookmarkStart w:id="573" w:name="_Ref20390426"/>
      <w:bookmarkStart w:id="574" w:name="_Toc23931748"/>
      <w:r w:rsidRPr="008A0812">
        <w:t xml:space="preserve">A simple payback analysis, presented in </w:t>
      </w:r>
      <w:r w:rsidR="00C4703C" w:rsidRPr="008A0812">
        <w:fldChar w:fldCharType="begin"/>
      </w:r>
      <w:r w:rsidR="00C4703C" w:rsidRPr="008A0812">
        <w:instrText xml:space="preserve"> REF _Ref36401884 \h </w:instrText>
      </w:r>
      <w:r w:rsidR="008A0812">
        <w:instrText xml:space="preserve"> \* MERGEFORMAT </w:instrText>
      </w:r>
      <w:r w:rsidR="00C4703C" w:rsidRPr="008A0812">
        <w:fldChar w:fldCharType="separate"/>
      </w:r>
      <w:r w:rsidR="00AA68F8" w:rsidRPr="008A0812">
        <w:t xml:space="preserve">Table </w:t>
      </w:r>
      <w:r w:rsidR="00AA68F8">
        <w:rPr>
          <w:noProof/>
        </w:rPr>
        <w:t>10</w:t>
      </w:r>
      <w:r w:rsidR="00AA68F8" w:rsidRPr="008A0812">
        <w:rPr>
          <w:noProof/>
        </w:rPr>
        <w:noBreakHyphen/>
      </w:r>
      <w:r w:rsidR="00AA68F8">
        <w:rPr>
          <w:noProof/>
        </w:rPr>
        <w:t>4</w:t>
      </w:r>
      <w:r w:rsidR="00C4703C" w:rsidRPr="008A0812">
        <w:fldChar w:fldCharType="end"/>
      </w:r>
      <w:r w:rsidRPr="008A0812">
        <w:t xml:space="preserve">, estimates a payback time of 6 years on the capital investment, assuming a polymer dose of 0.5 mg/L results in a 10% increase in biogas production (similar performance to EWPCF). It is also assumed that the system will require an average of 2 hours per week of operations and maintenance time. </w:t>
      </w:r>
      <w:r w:rsidR="008916F2" w:rsidRPr="008A0812">
        <w:t xml:space="preserve">Ferric addition has not been included in the payback analysis, since it is assumed that the current dosage of ferric for odor control purposes </w:t>
      </w:r>
      <w:r w:rsidR="00EA7D86" w:rsidRPr="008A0812">
        <w:t xml:space="preserve">is adequate for CEPT. </w:t>
      </w:r>
      <w:r w:rsidRPr="008A0812">
        <w:t xml:space="preserve">The estimated payback period for CEPT is relatively short, so this project is recommended. It is also recommended that SBMWD perform jar testing to help validate chemical doses and expected performance. </w:t>
      </w:r>
    </w:p>
    <w:p w14:paraId="59669906" w14:textId="77777777" w:rsidR="00DD30AF" w:rsidRPr="008A0812" w:rsidRDefault="00DD30AF" w:rsidP="00DD30AF">
      <w:pPr>
        <w:pStyle w:val="Heading2"/>
        <w:keepNext w:val="0"/>
        <w:numPr>
          <w:ilvl w:val="1"/>
          <w:numId w:val="1"/>
        </w:numPr>
        <w:tabs>
          <w:tab w:val="clear" w:pos="547"/>
          <w:tab w:val="num" w:pos="446"/>
        </w:tabs>
        <w:overflowPunct/>
        <w:autoSpaceDE/>
        <w:autoSpaceDN/>
        <w:adjustRightInd/>
        <w:ind w:left="446" w:hanging="446"/>
        <w:textAlignment w:val="auto"/>
      </w:pPr>
      <w:bookmarkStart w:id="575" w:name="_Toc41680917"/>
      <w:r w:rsidRPr="008A0812">
        <w:t>Secondary Treatment</w:t>
      </w:r>
      <w:bookmarkEnd w:id="573"/>
      <w:bookmarkEnd w:id="574"/>
      <w:bookmarkEnd w:id="575"/>
    </w:p>
    <w:p w14:paraId="50095E16" w14:textId="77777777" w:rsidR="00DD30AF" w:rsidRPr="008A0812" w:rsidRDefault="00DD30AF" w:rsidP="00DD30AF">
      <w:pPr>
        <w:pStyle w:val="Heading3"/>
        <w:keepNext w:val="0"/>
        <w:numPr>
          <w:ilvl w:val="2"/>
          <w:numId w:val="1"/>
        </w:numPr>
        <w:tabs>
          <w:tab w:val="clear" w:pos="720"/>
          <w:tab w:val="num" w:pos="360"/>
          <w:tab w:val="num" w:pos="1260"/>
        </w:tabs>
        <w:overflowPunct/>
        <w:autoSpaceDE/>
        <w:autoSpaceDN/>
        <w:adjustRightInd/>
        <w:ind w:left="986" w:hanging="446"/>
        <w:textAlignment w:val="auto"/>
      </w:pPr>
      <w:bookmarkStart w:id="576" w:name="_Toc23931749"/>
      <w:bookmarkStart w:id="577" w:name="_Ref36025618"/>
      <w:bookmarkStart w:id="578" w:name="_Toc41680918"/>
      <w:r w:rsidRPr="008A0812">
        <w:t>Liquid Process Optimization</w:t>
      </w:r>
      <w:bookmarkEnd w:id="576"/>
      <w:bookmarkEnd w:id="577"/>
      <w:bookmarkEnd w:id="578"/>
    </w:p>
    <w:p w14:paraId="126B59D9" w14:textId="77777777" w:rsidR="00DD30AF" w:rsidRPr="008A0812" w:rsidRDefault="00DD30AF" w:rsidP="004776AB">
      <w:pPr>
        <w:pStyle w:val="BodyText"/>
      </w:pPr>
      <w:r w:rsidRPr="008A0812">
        <w:t xml:space="preserve">Several performance issues with secondary treatment in Units 1 and 2 were identified: </w:t>
      </w:r>
    </w:p>
    <w:p w14:paraId="3B6283DE" w14:textId="77777777" w:rsidR="00DD30AF" w:rsidRPr="008A0812" w:rsidRDefault="00DD30AF" w:rsidP="004776AB">
      <w:pPr>
        <w:pStyle w:val="Bullet"/>
      </w:pPr>
      <w:r w:rsidRPr="008A0812">
        <w:t>Insufficient oxygen delivery and/or control may limit nitrification and process control, especially in Unit 1</w:t>
      </w:r>
    </w:p>
    <w:p w14:paraId="4D69B1AA" w14:textId="77777777" w:rsidR="00DD30AF" w:rsidRPr="008A0812" w:rsidRDefault="00DD30AF" w:rsidP="004776AB">
      <w:pPr>
        <w:pStyle w:val="Bullet"/>
      </w:pPr>
      <w:r w:rsidRPr="008A0812">
        <w:t>Limited TIN removal due to lack of mixed liquor recycle in Units 2N and 2S</w:t>
      </w:r>
    </w:p>
    <w:p w14:paraId="6AD1B4AD" w14:textId="77777777" w:rsidR="00DD30AF" w:rsidRPr="008A0812" w:rsidRDefault="00DD30AF" w:rsidP="004776AB">
      <w:pPr>
        <w:pStyle w:val="Bullet"/>
      </w:pPr>
      <w:r w:rsidRPr="008A0812">
        <w:t>Inconsistent sludge settleability, indicated by high 95th-percentile SVI values, especially in Unit 1.</w:t>
      </w:r>
    </w:p>
    <w:p w14:paraId="0A0D3C99" w14:textId="51B0E76C" w:rsidR="00DD30AF" w:rsidRPr="008A0812" w:rsidRDefault="00DD30AF" w:rsidP="004776AB">
      <w:pPr>
        <w:pStyle w:val="BodyText"/>
      </w:pPr>
      <w:r w:rsidRPr="008A0812">
        <w:t xml:space="preserve">The first issue will be addressed, at least in part, by the aeration upgrades which are currently being designed and implemented in the 1110.2 Resultant Projects. The aeration components of the project will include new high-efficiency blowers and automatic DO control. </w:t>
      </w:r>
    </w:p>
    <w:p w14:paraId="38DA74DA" w14:textId="77777777" w:rsidR="00DD30AF" w:rsidRPr="008A0812" w:rsidRDefault="00DD30AF" w:rsidP="004776AB">
      <w:pPr>
        <w:pStyle w:val="BodyText"/>
      </w:pPr>
      <w:r w:rsidRPr="008A0812">
        <w:t xml:space="preserve">This liquid process optimization project is intended to address the other issues identified. It would include adding one MLR pump to both Units 2N and 2S. Redundant locations for MLR pumps are not considered necessary as the plant could operate for a limited time without MLR pumping in either Units 2N or 2S if required for maintenance. </w:t>
      </w:r>
    </w:p>
    <w:p w14:paraId="2FC19CAC" w14:textId="77777777" w:rsidR="00DD30AF" w:rsidRPr="008A0812" w:rsidRDefault="00DD30AF" w:rsidP="004776AB">
      <w:pPr>
        <w:pStyle w:val="BodyText"/>
      </w:pPr>
      <w:r w:rsidRPr="008A0812">
        <w:t xml:space="preserve">This project also includes an optimization study to investigate and pilot test different basin configurations to improve sludge settleability. Options to evaluate include: </w:t>
      </w:r>
    </w:p>
    <w:p w14:paraId="31A44548" w14:textId="77777777" w:rsidR="00DD30AF" w:rsidRPr="008A0812" w:rsidRDefault="00DD30AF" w:rsidP="004776AB">
      <w:pPr>
        <w:pStyle w:val="Bullet"/>
      </w:pPr>
      <w:r w:rsidRPr="008A0812">
        <w:t xml:space="preserve">Consolidating anoxic zones to the start of the treatment train to run in a Modified Ludzak-Ettinger (MLE) configuration. An MLE configuration consists of a pre-anoxic zone followed by an aerated zone, with mixed liquor return to bring nitrate back to the anoxic zone for denitrification. Each zone may consist of multiple bays. Converting to an MLE process may improve TIN removal, stabilize SVI and simplify operations. </w:t>
      </w:r>
    </w:p>
    <w:p w14:paraId="0602A9FC" w14:textId="77777777" w:rsidR="00DD30AF" w:rsidRPr="008A0812" w:rsidRDefault="00DD30AF" w:rsidP="004776AB">
      <w:pPr>
        <w:pStyle w:val="Bullet"/>
      </w:pPr>
      <w:r w:rsidRPr="008A0812">
        <w:t>Switching to contact stabilization during wet weather to increase peak secondary clarifier capacity. Contact stabilization involves sending all the RAS to the first zone, with most or all the primary effluent introduced downstream. Running in this mode during wet weather concentrates the mixed liquor in the first zone, and reduces the solids loading to the secondary clarifier, temporarily increasing secondary clarifier capacity.</w:t>
      </w:r>
    </w:p>
    <w:p w14:paraId="2F3FDF52" w14:textId="77777777" w:rsidR="00DD30AF" w:rsidRPr="008A0812" w:rsidRDefault="00DD30AF" w:rsidP="004776AB">
      <w:pPr>
        <w:pStyle w:val="BodyText"/>
      </w:pPr>
      <w:r w:rsidRPr="008A0812">
        <w:t>Any operational strategy that is considered will need to include provisions for taking pairs of bays offline, as this is critical for redundancy. An allowance of $200,000 is included for pilot testing to cover additional sampling and minor modifications to gates, mixer locations, etc. It is assumed that SBMWD staff would be available to assist with operational changes. The estimated cost for this liquid process optimization project, including the MLR pumps and the process optimization study, is $1,520,000.</w:t>
      </w:r>
    </w:p>
    <w:p w14:paraId="40671E29" w14:textId="79719241" w:rsidR="00DD30AF" w:rsidRPr="008A0812" w:rsidRDefault="00DD30AF" w:rsidP="00DD30AF">
      <w:pPr>
        <w:pStyle w:val="Heading3"/>
        <w:numPr>
          <w:ilvl w:val="2"/>
          <w:numId w:val="1"/>
        </w:numPr>
        <w:tabs>
          <w:tab w:val="clear" w:pos="720"/>
          <w:tab w:val="num" w:pos="360"/>
          <w:tab w:val="num" w:pos="1260"/>
        </w:tabs>
        <w:ind w:left="986" w:hanging="446"/>
      </w:pPr>
      <w:bookmarkStart w:id="579" w:name="_Ref20216624"/>
      <w:bookmarkStart w:id="580" w:name="_Toc23931750"/>
      <w:bookmarkStart w:id="581" w:name="_Ref40445592"/>
      <w:bookmarkStart w:id="582" w:name="_Toc41680919"/>
      <w:r w:rsidRPr="008A0812">
        <w:t xml:space="preserve">Secondary Capacity </w:t>
      </w:r>
      <w:bookmarkEnd w:id="579"/>
      <w:bookmarkEnd w:id="580"/>
      <w:r w:rsidR="00273546" w:rsidRPr="008A0812">
        <w:t>Reduction</w:t>
      </w:r>
      <w:bookmarkEnd w:id="581"/>
      <w:bookmarkEnd w:id="582"/>
    </w:p>
    <w:p w14:paraId="4EFCEEC6" w14:textId="73BAC491" w:rsidR="00DD30AF" w:rsidRPr="008A0812" w:rsidRDefault="00011F52" w:rsidP="004776AB">
      <w:pPr>
        <w:pStyle w:val="BodyText"/>
      </w:pPr>
      <w:r w:rsidRPr="008A0812">
        <w:fldChar w:fldCharType="begin"/>
      </w:r>
      <w:r w:rsidRPr="008A0812">
        <w:instrText xml:space="preserve"> REF _Ref36402328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5</w:t>
      </w:r>
      <w:r w:rsidRPr="008A0812">
        <w:fldChar w:fldCharType="end"/>
      </w:r>
      <w:r w:rsidR="00DD30AF" w:rsidRPr="008A0812">
        <w:t xml:space="preserve"> summarizes current and future flows in 5-year planning increments showing the impact of the reduction of flow from EVWD on future flows to the SBWRP. The diversion of flows from EVWD is anticipated to begin at the end of 2021. As a result, the 2025 </w:t>
      </w:r>
      <w:r w:rsidR="001E2B8C" w:rsidRPr="008A0812">
        <w:t xml:space="preserve">SBWRP </w:t>
      </w:r>
      <w:r w:rsidR="00DD30AF" w:rsidRPr="008A0812">
        <w:t>flows are anticipated to be about 73% of current flows. With population growth (discussed in Section 6.1.3), flows are projected to return to about 90% of current flows by 2040.</w:t>
      </w:r>
    </w:p>
    <w:p w14:paraId="039956B8" w14:textId="4522E4FE" w:rsidR="00C4703C" w:rsidRPr="008A0812" w:rsidRDefault="00C4703C" w:rsidP="00C4703C">
      <w:pPr>
        <w:pStyle w:val="TableHeading"/>
      </w:pPr>
      <w:bookmarkStart w:id="583" w:name="_Ref36402328"/>
      <w:bookmarkStart w:id="584" w:name="_Toc36414109"/>
      <w:bookmarkStart w:id="585" w:name="_Toc41684795"/>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5</w:t>
      </w:r>
      <w:r>
        <w:fldChar w:fldCharType="end"/>
      </w:r>
      <w:bookmarkEnd w:id="583"/>
      <w:r w:rsidRPr="008A0812">
        <w:t>: Summary of Current and Future SBWRP Flows</w:t>
      </w:r>
      <w:bookmarkEnd w:id="584"/>
      <w:bookmarkEnd w:id="585"/>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45"/>
        <w:gridCol w:w="2162"/>
        <w:gridCol w:w="2162"/>
        <w:gridCol w:w="2162"/>
      </w:tblGrid>
      <w:tr w:rsidR="00DD30AF" w:rsidRPr="008A0812" w14:paraId="23797887" w14:textId="77777777" w:rsidTr="004776AB">
        <w:tc>
          <w:tcPr>
            <w:tcW w:w="2845"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1C625DD6"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Scenario</w:t>
            </w:r>
          </w:p>
        </w:tc>
        <w:tc>
          <w:tcPr>
            <w:tcW w:w="2162" w:type="dxa"/>
            <w:tcBorders>
              <w:top w:val="single" w:sz="6" w:space="0" w:color="auto"/>
              <w:left w:val="nil"/>
              <w:bottom w:val="single" w:sz="6" w:space="0" w:color="auto"/>
              <w:right w:val="single" w:sz="6" w:space="0" w:color="auto"/>
            </w:tcBorders>
            <w:shd w:val="clear" w:color="auto" w:fill="BFBFBF"/>
            <w:vAlign w:val="bottom"/>
            <w:hideMark/>
          </w:tcPr>
          <w:p w14:paraId="04B68E72"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Current</w:t>
            </w:r>
            <w:r w:rsidRPr="008A0812">
              <w:rPr>
                <w:rFonts w:cs="Segoe UI"/>
              </w:rPr>
              <w:br/>
            </w:r>
            <w:r w:rsidRPr="008A0812">
              <w:rPr>
                <w:rFonts w:cs="Segoe UI"/>
                <w:b/>
                <w:bCs/>
                <w:color w:val="000000"/>
              </w:rPr>
              <w:t>(2020)</w:t>
            </w:r>
          </w:p>
        </w:tc>
        <w:tc>
          <w:tcPr>
            <w:tcW w:w="2162" w:type="dxa"/>
            <w:tcBorders>
              <w:top w:val="single" w:sz="6" w:space="0" w:color="auto"/>
              <w:left w:val="nil"/>
              <w:bottom w:val="single" w:sz="6" w:space="0" w:color="auto"/>
              <w:right w:val="single" w:sz="6" w:space="0" w:color="auto"/>
            </w:tcBorders>
            <w:shd w:val="clear" w:color="auto" w:fill="BFBFBF"/>
            <w:hideMark/>
          </w:tcPr>
          <w:p w14:paraId="6A836BA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Reduction due to EVWD (2025)</w:t>
            </w:r>
          </w:p>
        </w:tc>
        <w:tc>
          <w:tcPr>
            <w:tcW w:w="2162" w:type="dxa"/>
            <w:tcBorders>
              <w:top w:val="single" w:sz="6" w:space="0" w:color="auto"/>
              <w:left w:val="nil"/>
              <w:bottom w:val="single" w:sz="6" w:space="0" w:color="auto"/>
              <w:right w:val="single" w:sz="6" w:space="0" w:color="auto"/>
            </w:tcBorders>
            <w:shd w:val="clear" w:color="auto" w:fill="BFBFBF"/>
            <w:hideMark/>
          </w:tcPr>
          <w:p w14:paraId="4EC4CC84"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Future</w:t>
            </w:r>
          </w:p>
          <w:p w14:paraId="6EE6B34D"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(2040)</w:t>
            </w:r>
          </w:p>
        </w:tc>
      </w:tr>
      <w:tr w:rsidR="00DD30AF" w:rsidRPr="008A0812" w14:paraId="16F01A30" w14:textId="77777777" w:rsidTr="004776AB">
        <w:tc>
          <w:tcPr>
            <w:tcW w:w="2845" w:type="dxa"/>
            <w:tcBorders>
              <w:top w:val="nil"/>
              <w:left w:val="single" w:sz="6" w:space="0" w:color="auto"/>
              <w:bottom w:val="single" w:sz="6" w:space="0" w:color="auto"/>
              <w:right w:val="single" w:sz="6" w:space="0" w:color="auto"/>
            </w:tcBorders>
            <w:shd w:val="clear" w:color="auto" w:fill="auto"/>
            <w:vAlign w:val="bottom"/>
            <w:hideMark/>
          </w:tcPr>
          <w:p w14:paraId="061187B9"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color w:val="000000"/>
              </w:rPr>
              <w:t>Average Dry Weather (mgd)</w:t>
            </w:r>
          </w:p>
        </w:tc>
        <w:tc>
          <w:tcPr>
            <w:tcW w:w="2162" w:type="dxa"/>
            <w:tcBorders>
              <w:top w:val="nil"/>
              <w:left w:val="nil"/>
              <w:bottom w:val="single" w:sz="6" w:space="0" w:color="auto"/>
              <w:right w:val="single" w:sz="6" w:space="0" w:color="auto"/>
            </w:tcBorders>
            <w:shd w:val="clear" w:color="auto" w:fill="auto"/>
            <w:vAlign w:val="bottom"/>
            <w:hideMark/>
          </w:tcPr>
          <w:p w14:paraId="69906BE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22</w:t>
            </w:r>
          </w:p>
        </w:tc>
        <w:tc>
          <w:tcPr>
            <w:tcW w:w="2162" w:type="dxa"/>
            <w:tcBorders>
              <w:top w:val="nil"/>
              <w:left w:val="nil"/>
              <w:bottom w:val="single" w:sz="6" w:space="0" w:color="auto"/>
              <w:right w:val="single" w:sz="6" w:space="0" w:color="auto"/>
            </w:tcBorders>
            <w:shd w:val="clear" w:color="auto" w:fill="auto"/>
            <w:hideMark/>
          </w:tcPr>
          <w:p w14:paraId="6488FA8C"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16</w:t>
            </w:r>
          </w:p>
        </w:tc>
        <w:tc>
          <w:tcPr>
            <w:tcW w:w="2162" w:type="dxa"/>
            <w:tcBorders>
              <w:top w:val="nil"/>
              <w:left w:val="nil"/>
              <w:bottom w:val="single" w:sz="6" w:space="0" w:color="auto"/>
              <w:right w:val="single" w:sz="6" w:space="0" w:color="auto"/>
            </w:tcBorders>
            <w:shd w:val="clear" w:color="auto" w:fill="auto"/>
            <w:hideMark/>
          </w:tcPr>
          <w:p w14:paraId="7600C77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19</w:t>
            </w:r>
          </w:p>
        </w:tc>
      </w:tr>
      <w:tr w:rsidR="00DD30AF" w:rsidRPr="008A0812" w14:paraId="19609A98" w14:textId="77777777" w:rsidTr="004776AB">
        <w:tc>
          <w:tcPr>
            <w:tcW w:w="2845" w:type="dxa"/>
            <w:tcBorders>
              <w:top w:val="nil"/>
              <w:left w:val="single" w:sz="6" w:space="0" w:color="auto"/>
              <w:bottom w:val="single" w:sz="6" w:space="0" w:color="auto"/>
              <w:right w:val="single" w:sz="6" w:space="0" w:color="auto"/>
            </w:tcBorders>
            <w:shd w:val="clear" w:color="auto" w:fill="auto"/>
            <w:vAlign w:val="bottom"/>
            <w:hideMark/>
          </w:tcPr>
          <w:p w14:paraId="142958B7"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color w:val="000000"/>
              </w:rPr>
              <w:t>Peak Wet Weather (mgd)</w:t>
            </w:r>
          </w:p>
        </w:tc>
        <w:tc>
          <w:tcPr>
            <w:tcW w:w="2162" w:type="dxa"/>
            <w:tcBorders>
              <w:top w:val="nil"/>
              <w:left w:val="nil"/>
              <w:bottom w:val="single" w:sz="6" w:space="0" w:color="auto"/>
              <w:right w:val="single" w:sz="6" w:space="0" w:color="auto"/>
            </w:tcBorders>
            <w:shd w:val="clear" w:color="auto" w:fill="auto"/>
            <w:vAlign w:val="bottom"/>
            <w:hideMark/>
          </w:tcPr>
          <w:p w14:paraId="113D1D94"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64</w:t>
            </w:r>
          </w:p>
        </w:tc>
        <w:tc>
          <w:tcPr>
            <w:tcW w:w="2162" w:type="dxa"/>
            <w:tcBorders>
              <w:top w:val="nil"/>
              <w:left w:val="nil"/>
              <w:bottom w:val="single" w:sz="6" w:space="0" w:color="auto"/>
              <w:right w:val="single" w:sz="6" w:space="0" w:color="auto"/>
            </w:tcBorders>
            <w:shd w:val="clear" w:color="auto" w:fill="auto"/>
            <w:hideMark/>
          </w:tcPr>
          <w:p w14:paraId="70A479F9"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47</w:t>
            </w:r>
          </w:p>
        </w:tc>
        <w:tc>
          <w:tcPr>
            <w:tcW w:w="2162" w:type="dxa"/>
            <w:tcBorders>
              <w:top w:val="nil"/>
              <w:left w:val="nil"/>
              <w:bottom w:val="single" w:sz="6" w:space="0" w:color="auto"/>
              <w:right w:val="single" w:sz="6" w:space="0" w:color="auto"/>
            </w:tcBorders>
            <w:shd w:val="clear" w:color="auto" w:fill="auto"/>
            <w:hideMark/>
          </w:tcPr>
          <w:p w14:paraId="70E84309"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54</w:t>
            </w:r>
          </w:p>
        </w:tc>
      </w:tr>
    </w:tbl>
    <w:p w14:paraId="640188AC" w14:textId="360E7BC4" w:rsidR="00DD30AF" w:rsidRPr="008A0812" w:rsidRDefault="00DD30AF" w:rsidP="00011F52">
      <w:pPr>
        <w:pStyle w:val="BodyText"/>
      </w:pPr>
      <w:r w:rsidRPr="008A0812">
        <w:t>The reduction of SBWRP influent flow resulting from the departure of EVWD will result in an estimated reduction in overall annual operating expense of approximately $1 million per year or 9%. The</w:t>
      </w:r>
      <w:r w:rsidR="00657B79" w:rsidRPr="008A0812">
        <w:t xml:space="preserve"> assumed</w:t>
      </w:r>
      <w:r w:rsidRPr="008A0812">
        <w:t xml:space="preserve"> components of this savings are summarized in </w:t>
      </w:r>
      <w:r w:rsidR="00011F52" w:rsidRPr="008A0812">
        <w:fldChar w:fldCharType="begin"/>
      </w:r>
      <w:r w:rsidR="00011F52" w:rsidRPr="008A0812">
        <w:instrText xml:space="preserve"> REF _Ref36402355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6</w:t>
      </w:r>
      <w:r w:rsidR="00011F52" w:rsidRPr="008A0812">
        <w:fldChar w:fldCharType="end"/>
      </w:r>
      <w:r w:rsidRPr="008A0812">
        <w:t>.</w:t>
      </w:r>
      <w:r w:rsidR="00011F52" w:rsidRPr="008A0812">
        <w:t xml:space="preserve"> </w:t>
      </w:r>
      <w:r w:rsidRPr="008A0812">
        <w:t xml:space="preserve">Operational cost reduction will be primarily from the decrease in aeration and corresponding electrical use, decreased polymer and ferric chloride use, and decreased biosolids volume. Chemical use was assumed to be proportional to flow. </w:t>
      </w:r>
      <w:r w:rsidRPr="008A0812">
        <w:rPr>
          <w:b/>
          <w:u w:val="single"/>
        </w:rPr>
        <w:t>No reduction in personnel was assumed since the same treatment processes will be utilized and the same facilities will need to be maintained.</w:t>
      </w:r>
      <w:r w:rsidRPr="008A0812">
        <w:t xml:space="preserve"> </w:t>
      </w:r>
    </w:p>
    <w:p w14:paraId="54AE73B7" w14:textId="58E88770" w:rsidR="00011F52" w:rsidRPr="008A0812" w:rsidRDefault="00011F52" w:rsidP="00011F52">
      <w:pPr>
        <w:pStyle w:val="TableHeading"/>
      </w:pPr>
      <w:bookmarkStart w:id="586" w:name="_Ref36402355"/>
      <w:bookmarkStart w:id="587" w:name="_Toc36414110"/>
      <w:bookmarkStart w:id="588" w:name="_Toc41684796"/>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6</w:t>
      </w:r>
      <w:r>
        <w:fldChar w:fldCharType="end"/>
      </w:r>
      <w:bookmarkEnd w:id="586"/>
      <w:r w:rsidR="007D6089" w:rsidRPr="008A0812">
        <w:rPr>
          <w:noProof/>
        </w:rPr>
        <w:t>:</w:t>
      </w:r>
      <w:r w:rsidRPr="008A0812">
        <w:t xml:space="preserve"> Estimated Operational Savings Due to Reduction in Flow (2025)</w:t>
      </w:r>
      <w:bookmarkEnd w:id="587"/>
      <w:bookmarkEnd w:id="588"/>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6"/>
        <w:gridCol w:w="1920"/>
        <w:gridCol w:w="1755"/>
        <w:gridCol w:w="1800"/>
        <w:gridCol w:w="1530"/>
      </w:tblGrid>
      <w:tr w:rsidR="00DD30AF" w:rsidRPr="008A0812" w14:paraId="6A43D684" w14:textId="77777777" w:rsidTr="00371A05">
        <w:trPr>
          <w:cantSplit/>
          <w:tblHeader/>
        </w:trPr>
        <w:tc>
          <w:tcPr>
            <w:tcW w:w="2326" w:type="dxa"/>
            <w:tcBorders>
              <w:top w:val="single" w:sz="6" w:space="0" w:color="auto"/>
              <w:left w:val="single" w:sz="6" w:space="0" w:color="auto"/>
              <w:bottom w:val="single" w:sz="6" w:space="0" w:color="auto"/>
              <w:right w:val="single" w:sz="6" w:space="0" w:color="auto"/>
            </w:tcBorders>
            <w:shd w:val="clear" w:color="auto" w:fill="BFBFBF"/>
            <w:tcMar>
              <w:left w:w="144" w:type="dxa"/>
            </w:tcMar>
            <w:vAlign w:val="bottom"/>
            <w:hideMark/>
          </w:tcPr>
          <w:p w14:paraId="29E524A6"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b/>
                <w:bCs/>
              </w:rPr>
              <w:t>Operational Budget Item</w:t>
            </w:r>
          </w:p>
        </w:tc>
        <w:tc>
          <w:tcPr>
            <w:tcW w:w="1920" w:type="dxa"/>
            <w:tcBorders>
              <w:top w:val="single" w:sz="6" w:space="0" w:color="auto"/>
              <w:left w:val="nil"/>
              <w:bottom w:val="single" w:sz="6" w:space="0" w:color="auto"/>
              <w:right w:val="single" w:sz="6" w:space="0" w:color="auto"/>
            </w:tcBorders>
            <w:shd w:val="clear" w:color="auto" w:fill="BFBFBF"/>
            <w:vAlign w:val="bottom"/>
            <w:hideMark/>
          </w:tcPr>
          <w:p w14:paraId="56BBB8F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Current</w:t>
            </w:r>
            <w:r w:rsidRPr="008A0812">
              <w:rPr>
                <w:rFonts w:cs="Segoe UI"/>
              </w:rPr>
              <w:br/>
            </w:r>
            <w:r w:rsidRPr="008A0812">
              <w:rPr>
                <w:rFonts w:cs="Segoe UI"/>
                <w:b/>
                <w:bCs/>
                <w:color w:val="000000"/>
              </w:rPr>
              <w:t>(FY 2019-2020)</w:t>
            </w:r>
          </w:p>
        </w:tc>
        <w:tc>
          <w:tcPr>
            <w:tcW w:w="1755" w:type="dxa"/>
            <w:tcBorders>
              <w:top w:val="single" w:sz="6" w:space="0" w:color="auto"/>
              <w:left w:val="nil"/>
              <w:bottom w:val="single" w:sz="6" w:space="0" w:color="auto"/>
              <w:right w:val="single" w:sz="6" w:space="0" w:color="auto"/>
            </w:tcBorders>
            <w:shd w:val="clear" w:color="auto" w:fill="BFBFBF"/>
            <w:hideMark/>
          </w:tcPr>
          <w:p w14:paraId="7AB2B7B6"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After SNRC Startup (2025)</w:t>
            </w:r>
          </w:p>
        </w:tc>
        <w:tc>
          <w:tcPr>
            <w:tcW w:w="1800" w:type="dxa"/>
            <w:tcBorders>
              <w:top w:val="single" w:sz="6" w:space="0" w:color="auto"/>
              <w:left w:val="nil"/>
              <w:bottom w:val="single" w:sz="6" w:space="0" w:color="auto"/>
              <w:right w:val="single" w:sz="6" w:space="0" w:color="auto"/>
            </w:tcBorders>
            <w:shd w:val="clear" w:color="auto" w:fill="BFBFBF"/>
            <w:hideMark/>
          </w:tcPr>
          <w:p w14:paraId="353EA9D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Estimated Savings ($)</w:t>
            </w:r>
          </w:p>
        </w:tc>
        <w:tc>
          <w:tcPr>
            <w:tcW w:w="1530" w:type="dxa"/>
            <w:tcBorders>
              <w:top w:val="single" w:sz="6" w:space="0" w:color="auto"/>
              <w:left w:val="nil"/>
              <w:bottom w:val="single" w:sz="6" w:space="0" w:color="auto"/>
              <w:right w:val="single" w:sz="6" w:space="0" w:color="auto"/>
            </w:tcBorders>
            <w:shd w:val="clear" w:color="auto" w:fill="BFBFBF"/>
            <w:hideMark/>
          </w:tcPr>
          <w:p w14:paraId="40078117"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Estimated</w:t>
            </w:r>
          </w:p>
          <w:p w14:paraId="7AF02838"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Savings (%)</w:t>
            </w:r>
          </w:p>
        </w:tc>
      </w:tr>
      <w:tr w:rsidR="00DD30AF" w:rsidRPr="008A0812" w14:paraId="0E3AE14F"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47896EA1"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Personnel</w:t>
            </w:r>
          </w:p>
        </w:tc>
        <w:tc>
          <w:tcPr>
            <w:tcW w:w="1920" w:type="dxa"/>
            <w:tcBorders>
              <w:top w:val="nil"/>
              <w:left w:val="nil"/>
              <w:bottom w:val="single" w:sz="6" w:space="0" w:color="auto"/>
              <w:right w:val="single" w:sz="6" w:space="0" w:color="auto"/>
            </w:tcBorders>
            <w:shd w:val="clear" w:color="auto" w:fill="auto"/>
            <w:tcMar>
              <w:right w:w="144" w:type="dxa"/>
            </w:tcMar>
            <w:hideMark/>
          </w:tcPr>
          <w:p w14:paraId="7E65E6CF"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$ 6,037,328 </w:t>
            </w:r>
          </w:p>
        </w:tc>
        <w:tc>
          <w:tcPr>
            <w:tcW w:w="1755" w:type="dxa"/>
            <w:tcBorders>
              <w:top w:val="nil"/>
              <w:left w:val="nil"/>
              <w:bottom w:val="single" w:sz="6" w:space="0" w:color="auto"/>
              <w:right w:val="single" w:sz="6" w:space="0" w:color="auto"/>
            </w:tcBorders>
            <w:shd w:val="clear" w:color="auto" w:fill="auto"/>
            <w:tcMar>
              <w:right w:w="144" w:type="dxa"/>
            </w:tcMar>
            <w:hideMark/>
          </w:tcPr>
          <w:p w14:paraId="2654889D"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$6,037,328 </w:t>
            </w:r>
          </w:p>
        </w:tc>
        <w:tc>
          <w:tcPr>
            <w:tcW w:w="1800" w:type="dxa"/>
            <w:tcBorders>
              <w:top w:val="nil"/>
              <w:left w:val="nil"/>
              <w:bottom w:val="single" w:sz="6" w:space="0" w:color="auto"/>
              <w:right w:val="single" w:sz="6" w:space="0" w:color="auto"/>
            </w:tcBorders>
            <w:shd w:val="clear" w:color="auto" w:fill="auto"/>
            <w:tcMar>
              <w:right w:w="144" w:type="dxa"/>
            </w:tcMar>
            <w:hideMark/>
          </w:tcPr>
          <w:p w14:paraId="1409BACA"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544FA35C"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w:t>
            </w:r>
          </w:p>
        </w:tc>
      </w:tr>
      <w:tr w:rsidR="00DD30AF" w:rsidRPr="008A0812" w14:paraId="5B56574E"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03E241DC"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Utilities - Electric</w:t>
            </w:r>
          </w:p>
        </w:tc>
        <w:tc>
          <w:tcPr>
            <w:tcW w:w="1920" w:type="dxa"/>
            <w:tcBorders>
              <w:top w:val="nil"/>
              <w:left w:val="nil"/>
              <w:bottom w:val="single" w:sz="6" w:space="0" w:color="auto"/>
              <w:right w:val="single" w:sz="6" w:space="0" w:color="auto"/>
            </w:tcBorders>
            <w:shd w:val="clear" w:color="auto" w:fill="auto"/>
            <w:tcMar>
              <w:right w:w="144" w:type="dxa"/>
            </w:tcMar>
            <w:hideMark/>
          </w:tcPr>
          <w:p w14:paraId="1A05443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$ 2,125,000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571649F8"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$1,769,186 </w:t>
            </w:r>
          </w:p>
        </w:tc>
        <w:tc>
          <w:tcPr>
            <w:tcW w:w="1800" w:type="dxa"/>
            <w:tcBorders>
              <w:top w:val="nil"/>
              <w:left w:val="nil"/>
              <w:bottom w:val="single" w:sz="6" w:space="0" w:color="auto"/>
              <w:right w:val="single" w:sz="6" w:space="0" w:color="auto"/>
            </w:tcBorders>
            <w:shd w:val="clear" w:color="auto" w:fill="auto"/>
            <w:tcMar>
              <w:right w:w="144" w:type="dxa"/>
            </w:tcMar>
            <w:hideMark/>
          </w:tcPr>
          <w:p w14:paraId="0D208916"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$356,000 </w:t>
            </w:r>
          </w:p>
        </w:tc>
        <w:tc>
          <w:tcPr>
            <w:tcW w:w="1530" w:type="dxa"/>
            <w:tcBorders>
              <w:top w:val="nil"/>
              <w:left w:val="nil"/>
              <w:bottom w:val="single" w:sz="6" w:space="0" w:color="auto"/>
              <w:right w:val="single" w:sz="6" w:space="0" w:color="auto"/>
            </w:tcBorders>
            <w:shd w:val="clear" w:color="auto" w:fill="auto"/>
            <w:hideMark/>
          </w:tcPr>
          <w:p w14:paraId="3437CA3D"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17%</w:t>
            </w:r>
          </w:p>
        </w:tc>
      </w:tr>
      <w:tr w:rsidR="00DD30AF" w:rsidRPr="008A0812" w14:paraId="5FDB567A"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1A6040AD"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Materials &amp; Supplies</w:t>
            </w:r>
          </w:p>
        </w:tc>
        <w:tc>
          <w:tcPr>
            <w:tcW w:w="1920" w:type="dxa"/>
            <w:tcBorders>
              <w:top w:val="nil"/>
              <w:left w:val="nil"/>
              <w:bottom w:val="single" w:sz="6" w:space="0" w:color="auto"/>
              <w:right w:val="single" w:sz="6" w:space="0" w:color="auto"/>
            </w:tcBorders>
            <w:shd w:val="clear" w:color="auto" w:fill="auto"/>
            <w:tcMar>
              <w:right w:w="144" w:type="dxa"/>
            </w:tcMar>
            <w:hideMark/>
          </w:tcPr>
          <w:p w14:paraId="799DF18E"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$ 265,000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3B48C41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$228,023 </w:t>
            </w:r>
          </w:p>
        </w:tc>
        <w:tc>
          <w:tcPr>
            <w:tcW w:w="1800" w:type="dxa"/>
            <w:tcBorders>
              <w:top w:val="nil"/>
              <w:left w:val="nil"/>
              <w:bottom w:val="single" w:sz="6" w:space="0" w:color="auto"/>
              <w:right w:val="single" w:sz="6" w:space="0" w:color="auto"/>
            </w:tcBorders>
            <w:shd w:val="clear" w:color="auto" w:fill="auto"/>
            <w:tcMar>
              <w:right w:w="144" w:type="dxa"/>
            </w:tcMar>
            <w:hideMark/>
          </w:tcPr>
          <w:p w14:paraId="719717E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$37,000 </w:t>
            </w:r>
          </w:p>
        </w:tc>
        <w:tc>
          <w:tcPr>
            <w:tcW w:w="1530" w:type="dxa"/>
            <w:tcBorders>
              <w:top w:val="nil"/>
              <w:left w:val="nil"/>
              <w:bottom w:val="single" w:sz="6" w:space="0" w:color="auto"/>
              <w:right w:val="single" w:sz="6" w:space="0" w:color="auto"/>
            </w:tcBorders>
            <w:shd w:val="clear" w:color="auto" w:fill="auto"/>
            <w:hideMark/>
          </w:tcPr>
          <w:p w14:paraId="4C7C83D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14%</w:t>
            </w:r>
          </w:p>
        </w:tc>
      </w:tr>
      <w:tr w:rsidR="00273546" w:rsidRPr="008A0812" w14:paraId="407C2791"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7C917210" w14:textId="450B7DEE" w:rsidR="00273546" w:rsidRPr="008A0812" w:rsidRDefault="00273546" w:rsidP="00273546">
            <w:pPr>
              <w:overflowPunct/>
              <w:autoSpaceDE/>
              <w:autoSpaceDN/>
              <w:adjustRightInd/>
              <w:jc w:val="both"/>
              <w:rPr>
                <w:rFonts w:ascii="Segoe UI" w:hAnsi="Segoe UI" w:cs="Segoe UI"/>
                <w:sz w:val="18"/>
                <w:szCs w:val="18"/>
              </w:rPr>
            </w:pPr>
            <w:r w:rsidRPr="008A0812">
              <w:rPr>
                <w:rFonts w:cs="Segoe UI"/>
              </w:rPr>
              <w:t>Ferric chloride</w:t>
            </w:r>
          </w:p>
        </w:tc>
        <w:tc>
          <w:tcPr>
            <w:tcW w:w="1920" w:type="dxa"/>
            <w:tcBorders>
              <w:top w:val="nil"/>
              <w:left w:val="nil"/>
              <w:bottom w:val="single" w:sz="6" w:space="0" w:color="auto"/>
              <w:right w:val="single" w:sz="6" w:space="0" w:color="auto"/>
            </w:tcBorders>
            <w:shd w:val="clear" w:color="auto" w:fill="auto"/>
            <w:tcMar>
              <w:right w:w="144" w:type="dxa"/>
            </w:tcMar>
            <w:hideMark/>
          </w:tcPr>
          <w:p w14:paraId="72D1D7A8" w14:textId="21C9E9BA"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$ 412,720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774B2E01" w14:textId="7107F50D"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$297,542 </w:t>
            </w:r>
          </w:p>
        </w:tc>
        <w:tc>
          <w:tcPr>
            <w:tcW w:w="1800" w:type="dxa"/>
            <w:tcBorders>
              <w:top w:val="nil"/>
              <w:left w:val="nil"/>
              <w:bottom w:val="single" w:sz="6" w:space="0" w:color="auto"/>
              <w:right w:val="single" w:sz="6" w:space="0" w:color="auto"/>
            </w:tcBorders>
            <w:shd w:val="clear" w:color="auto" w:fill="auto"/>
            <w:tcMar>
              <w:right w:w="144" w:type="dxa"/>
            </w:tcMar>
            <w:hideMark/>
          </w:tcPr>
          <w:p w14:paraId="1A30E4CF" w14:textId="0F57978B"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$115,000 </w:t>
            </w:r>
          </w:p>
        </w:tc>
        <w:tc>
          <w:tcPr>
            <w:tcW w:w="1530" w:type="dxa"/>
            <w:tcBorders>
              <w:top w:val="nil"/>
              <w:left w:val="nil"/>
              <w:bottom w:val="single" w:sz="6" w:space="0" w:color="auto"/>
              <w:right w:val="single" w:sz="6" w:space="0" w:color="auto"/>
            </w:tcBorders>
            <w:shd w:val="clear" w:color="auto" w:fill="auto"/>
            <w:hideMark/>
          </w:tcPr>
          <w:p w14:paraId="60C6AA32" w14:textId="6DA1A8CD" w:rsidR="00273546" w:rsidRPr="008A0812" w:rsidRDefault="00273546" w:rsidP="00273546">
            <w:pPr>
              <w:overflowPunct/>
              <w:autoSpaceDE/>
              <w:autoSpaceDN/>
              <w:adjustRightInd/>
              <w:jc w:val="center"/>
              <w:rPr>
                <w:rFonts w:ascii="Segoe UI" w:hAnsi="Segoe UI" w:cs="Segoe UI"/>
                <w:sz w:val="18"/>
                <w:szCs w:val="18"/>
              </w:rPr>
            </w:pPr>
            <w:r w:rsidRPr="008A0812">
              <w:rPr>
                <w:rFonts w:cs="Segoe UI"/>
              </w:rPr>
              <w:t>28%</w:t>
            </w:r>
          </w:p>
        </w:tc>
      </w:tr>
      <w:tr w:rsidR="00273546" w:rsidRPr="008A0812" w14:paraId="16224899"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7606B2A0" w14:textId="23549E17" w:rsidR="00273546" w:rsidRPr="008A0812" w:rsidRDefault="00273546" w:rsidP="00273546">
            <w:pPr>
              <w:overflowPunct/>
              <w:autoSpaceDE/>
              <w:autoSpaceDN/>
              <w:adjustRightInd/>
              <w:jc w:val="both"/>
              <w:rPr>
                <w:rFonts w:ascii="Segoe UI" w:hAnsi="Segoe UI" w:cs="Segoe UI"/>
                <w:sz w:val="18"/>
                <w:szCs w:val="18"/>
              </w:rPr>
            </w:pPr>
            <w:r w:rsidRPr="008A0812">
              <w:rPr>
                <w:rFonts w:cs="Segoe UI"/>
              </w:rPr>
              <w:t>Brine line O&amp;M</w:t>
            </w:r>
          </w:p>
        </w:tc>
        <w:tc>
          <w:tcPr>
            <w:tcW w:w="1920" w:type="dxa"/>
            <w:tcBorders>
              <w:top w:val="nil"/>
              <w:left w:val="nil"/>
              <w:bottom w:val="single" w:sz="6" w:space="0" w:color="auto"/>
              <w:right w:val="single" w:sz="6" w:space="0" w:color="auto"/>
            </w:tcBorders>
            <w:shd w:val="clear" w:color="auto" w:fill="auto"/>
            <w:tcMar>
              <w:right w:w="144" w:type="dxa"/>
            </w:tcMar>
            <w:hideMark/>
          </w:tcPr>
          <w:p w14:paraId="79FF92DE" w14:textId="6D817D57"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$ 205,170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5CB23A78" w14:textId="28474B32"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$205,170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3C79F61F" w14:textId="2B980D08"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2DE3C5A6" w14:textId="319CFDDD" w:rsidR="00273546" w:rsidRPr="008A0812" w:rsidRDefault="00273546" w:rsidP="00273546">
            <w:pPr>
              <w:overflowPunct/>
              <w:autoSpaceDE/>
              <w:autoSpaceDN/>
              <w:adjustRightInd/>
              <w:jc w:val="center"/>
              <w:rPr>
                <w:rFonts w:ascii="Segoe UI" w:hAnsi="Segoe UI" w:cs="Segoe UI"/>
                <w:sz w:val="18"/>
                <w:szCs w:val="18"/>
              </w:rPr>
            </w:pPr>
            <w:r w:rsidRPr="008A0812">
              <w:rPr>
                <w:rFonts w:cs="Segoe UI"/>
              </w:rPr>
              <w:t>0%</w:t>
            </w:r>
          </w:p>
        </w:tc>
      </w:tr>
      <w:tr w:rsidR="00273546" w:rsidRPr="008A0812" w14:paraId="5FB1E99B"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3C47E083" w14:textId="6C1C0BBD" w:rsidR="00273546" w:rsidRPr="008A0812" w:rsidRDefault="00273546" w:rsidP="00273546">
            <w:pPr>
              <w:overflowPunct/>
              <w:autoSpaceDE/>
              <w:autoSpaceDN/>
              <w:adjustRightInd/>
              <w:jc w:val="both"/>
              <w:rPr>
                <w:rFonts w:ascii="Segoe UI" w:hAnsi="Segoe UI" w:cs="Segoe UI"/>
                <w:sz w:val="18"/>
                <w:szCs w:val="18"/>
              </w:rPr>
            </w:pPr>
            <w:r w:rsidRPr="008A0812">
              <w:rPr>
                <w:rFonts w:cs="Segoe UI"/>
              </w:rPr>
              <w:t>Contract serv. (biosolids)</w:t>
            </w:r>
          </w:p>
        </w:tc>
        <w:tc>
          <w:tcPr>
            <w:tcW w:w="1920" w:type="dxa"/>
            <w:tcBorders>
              <w:top w:val="nil"/>
              <w:left w:val="nil"/>
              <w:bottom w:val="single" w:sz="6" w:space="0" w:color="auto"/>
              <w:right w:val="single" w:sz="6" w:space="0" w:color="auto"/>
            </w:tcBorders>
            <w:shd w:val="clear" w:color="auto" w:fill="auto"/>
            <w:tcMar>
              <w:right w:w="144" w:type="dxa"/>
            </w:tcMar>
            <w:hideMark/>
          </w:tcPr>
          <w:p w14:paraId="2C7CCDA5" w14:textId="61841673"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$ 1,043,410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4AE9F46E" w14:textId="701CCCC7"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$825,022 </w:t>
            </w:r>
          </w:p>
        </w:tc>
        <w:tc>
          <w:tcPr>
            <w:tcW w:w="1800" w:type="dxa"/>
            <w:tcBorders>
              <w:top w:val="nil"/>
              <w:left w:val="nil"/>
              <w:bottom w:val="single" w:sz="6" w:space="0" w:color="auto"/>
              <w:right w:val="single" w:sz="6" w:space="0" w:color="auto"/>
            </w:tcBorders>
            <w:shd w:val="clear" w:color="auto" w:fill="auto"/>
            <w:tcMar>
              <w:right w:w="144" w:type="dxa"/>
            </w:tcMar>
            <w:hideMark/>
          </w:tcPr>
          <w:p w14:paraId="0C52F05D" w14:textId="4E9FD783"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$218,000 </w:t>
            </w:r>
          </w:p>
        </w:tc>
        <w:tc>
          <w:tcPr>
            <w:tcW w:w="1530" w:type="dxa"/>
            <w:tcBorders>
              <w:top w:val="nil"/>
              <w:left w:val="nil"/>
              <w:bottom w:val="single" w:sz="6" w:space="0" w:color="auto"/>
              <w:right w:val="single" w:sz="6" w:space="0" w:color="auto"/>
            </w:tcBorders>
            <w:shd w:val="clear" w:color="auto" w:fill="auto"/>
            <w:hideMark/>
          </w:tcPr>
          <w:p w14:paraId="64DBCF70" w14:textId="6E35EDD4" w:rsidR="00273546" w:rsidRPr="008A0812" w:rsidRDefault="00273546" w:rsidP="00273546">
            <w:pPr>
              <w:overflowPunct/>
              <w:autoSpaceDE/>
              <w:autoSpaceDN/>
              <w:adjustRightInd/>
              <w:jc w:val="center"/>
              <w:rPr>
                <w:rFonts w:ascii="Segoe UI" w:hAnsi="Segoe UI" w:cs="Segoe UI"/>
                <w:sz w:val="18"/>
                <w:szCs w:val="18"/>
              </w:rPr>
            </w:pPr>
            <w:r w:rsidRPr="008A0812">
              <w:rPr>
                <w:rFonts w:cs="Segoe UI"/>
              </w:rPr>
              <w:t>21%</w:t>
            </w:r>
          </w:p>
        </w:tc>
      </w:tr>
      <w:tr w:rsidR="00273546" w:rsidRPr="008A0812" w14:paraId="5E8ABBD2"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475BCB0E" w14:textId="49D5C84D" w:rsidR="00273546" w:rsidRPr="008A0812" w:rsidRDefault="00273546" w:rsidP="00273546">
            <w:pPr>
              <w:overflowPunct/>
              <w:autoSpaceDE/>
              <w:autoSpaceDN/>
              <w:adjustRightInd/>
              <w:jc w:val="both"/>
              <w:rPr>
                <w:rFonts w:ascii="Segoe UI" w:hAnsi="Segoe UI" w:cs="Segoe UI"/>
                <w:sz w:val="18"/>
                <w:szCs w:val="18"/>
              </w:rPr>
            </w:pPr>
            <w:r w:rsidRPr="008A0812">
              <w:rPr>
                <w:rFonts w:cs="Segoe UI"/>
              </w:rPr>
              <w:t>Polymer</w:t>
            </w:r>
          </w:p>
        </w:tc>
        <w:tc>
          <w:tcPr>
            <w:tcW w:w="1920" w:type="dxa"/>
            <w:tcBorders>
              <w:top w:val="nil"/>
              <w:left w:val="nil"/>
              <w:bottom w:val="single" w:sz="6" w:space="0" w:color="auto"/>
              <w:right w:val="single" w:sz="6" w:space="0" w:color="auto"/>
            </w:tcBorders>
            <w:shd w:val="clear" w:color="auto" w:fill="auto"/>
            <w:tcMar>
              <w:right w:w="144" w:type="dxa"/>
            </w:tcMar>
            <w:hideMark/>
          </w:tcPr>
          <w:p w14:paraId="2789B992" w14:textId="18588F6F"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$ 839,000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69A0D593" w14:textId="0194FABE"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$604,860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5A2E69CD" w14:textId="5389844E" w:rsidR="00273546" w:rsidRPr="008A0812" w:rsidRDefault="00273546" w:rsidP="00273546">
            <w:pPr>
              <w:overflowPunct/>
              <w:autoSpaceDE/>
              <w:autoSpaceDN/>
              <w:adjustRightInd/>
              <w:jc w:val="right"/>
              <w:rPr>
                <w:rFonts w:ascii="Segoe UI" w:hAnsi="Segoe UI" w:cs="Segoe UI"/>
                <w:sz w:val="18"/>
                <w:szCs w:val="18"/>
              </w:rPr>
            </w:pPr>
            <w:r w:rsidRPr="008A0812">
              <w:rPr>
                <w:rFonts w:cs="Segoe UI"/>
              </w:rPr>
              <w:t xml:space="preserve"> $234,000 </w:t>
            </w:r>
          </w:p>
        </w:tc>
        <w:tc>
          <w:tcPr>
            <w:tcW w:w="1530" w:type="dxa"/>
            <w:tcBorders>
              <w:top w:val="nil"/>
              <w:left w:val="nil"/>
              <w:bottom w:val="single" w:sz="6" w:space="0" w:color="auto"/>
              <w:right w:val="single" w:sz="6" w:space="0" w:color="auto"/>
            </w:tcBorders>
            <w:shd w:val="clear" w:color="auto" w:fill="auto"/>
            <w:hideMark/>
          </w:tcPr>
          <w:p w14:paraId="419DD1E9" w14:textId="32B80112" w:rsidR="00273546" w:rsidRPr="008A0812" w:rsidRDefault="00273546" w:rsidP="00273546">
            <w:pPr>
              <w:overflowPunct/>
              <w:autoSpaceDE/>
              <w:autoSpaceDN/>
              <w:adjustRightInd/>
              <w:jc w:val="center"/>
              <w:rPr>
                <w:rFonts w:ascii="Segoe UI" w:hAnsi="Segoe UI" w:cs="Segoe UI"/>
                <w:sz w:val="18"/>
                <w:szCs w:val="18"/>
              </w:rPr>
            </w:pPr>
            <w:r w:rsidRPr="008A0812">
              <w:rPr>
                <w:rFonts w:cs="Segoe UI"/>
              </w:rPr>
              <w:t>28%</w:t>
            </w:r>
          </w:p>
        </w:tc>
      </w:tr>
      <w:tr w:rsidR="00DD30AF" w:rsidRPr="008A0812" w14:paraId="762EB2AB"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0B5461E0"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Inspection services</w:t>
            </w:r>
          </w:p>
        </w:tc>
        <w:tc>
          <w:tcPr>
            <w:tcW w:w="1920" w:type="dxa"/>
            <w:tcBorders>
              <w:top w:val="nil"/>
              <w:left w:val="nil"/>
              <w:bottom w:val="single" w:sz="6" w:space="0" w:color="auto"/>
              <w:right w:val="single" w:sz="6" w:space="0" w:color="auto"/>
            </w:tcBorders>
            <w:shd w:val="clear" w:color="auto" w:fill="auto"/>
            <w:tcMar>
              <w:right w:w="144" w:type="dxa"/>
            </w:tcMar>
            <w:hideMark/>
          </w:tcPr>
          <w:p w14:paraId="3F3B8825"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$ 54,000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69E2CF00"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$54,000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3D2C31DB"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638165E3"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w:t>
            </w:r>
          </w:p>
        </w:tc>
      </w:tr>
      <w:tr w:rsidR="00DD30AF" w:rsidRPr="008A0812" w14:paraId="2524AEB6"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788937F6"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Equip. parts &amp; supplies</w:t>
            </w:r>
          </w:p>
        </w:tc>
        <w:tc>
          <w:tcPr>
            <w:tcW w:w="1920" w:type="dxa"/>
            <w:tcBorders>
              <w:top w:val="nil"/>
              <w:left w:val="nil"/>
              <w:bottom w:val="single" w:sz="6" w:space="0" w:color="auto"/>
              <w:right w:val="single" w:sz="6" w:space="0" w:color="auto"/>
            </w:tcBorders>
            <w:shd w:val="clear" w:color="auto" w:fill="auto"/>
            <w:tcMar>
              <w:right w:w="144" w:type="dxa"/>
            </w:tcMar>
            <w:hideMark/>
          </w:tcPr>
          <w:p w14:paraId="4334E3A9"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$ 120,000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5F0E97A5"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$120,000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4DDC7932"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1E224E5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w:t>
            </w:r>
          </w:p>
        </w:tc>
      </w:tr>
      <w:tr w:rsidR="00DD30AF" w:rsidRPr="008A0812" w14:paraId="47645FFF"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0B4F31B2"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Equip. repairs</w:t>
            </w:r>
          </w:p>
        </w:tc>
        <w:tc>
          <w:tcPr>
            <w:tcW w:w="1920" w:type="dxa"/>
            <w:tcBorders>
              <w:top w:val="nil"/>
              <w:left w:val="nil"/>
              <w:bottom w:val="single" w:sz="6" w:space="0" w:color="auto"/>
              <w:right w:val="single" w:sz="6" w:space="0" w:color="auto"/>
            </w:tcBorders>
            <w:shd w:val="clear" w:color="auto" w:fill="auto"/>
            <w:tcMar>
              <w:right w:w="144" w:type="dxa"/>
            </w:tcMar>
            <w:hideMark/>
          </w:tcPr>
          <w:p w14:paraId="7832284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$ 129,500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373FB828"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$129,500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2288AF53"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70BABFF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w:t>
            </w:r>
          </w:p>
        </w:tc>
      </w:tr>
      <w:tr w:rsidR="00DD30AF" w:rsidRPr="008A0812" w14:paraId="46C32A50"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70C382B0"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Street repairs</w:t>
            </w:r>
          </w:p>
        </w:tc>
        <w:tc>
          <w:tcPr>
            <w:tcW w:w="1920" w:type="dxa"/>
            <w:tcBorders>
              <w:top w:val="nil"/>
              <w:left w:val="nil"/>
              <w:bottom w:val="single" w:sz="6" w:space="0" w:color="auto"/>
              <w:right w:val="single" w:sz="6" w:space="0" w:color="auto"/>
            </w:tcBorders>
            <w:shd w:val="clear" w:color="auto" w:fill="auto"/>
            <w:tcMar>
              <w:right w:w="144" w:type="dxa"/>
            </w:tcMar>
            <w:hideMark/>
          </w:tcPr>
          <w:p w14:paraId="17799DF7"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$ 120,000 </w:t>
            </w:r>
          </w:p>
        </w:tc>
        <w:tc>
          <w:tcPr>
            <w:tcW w:w="1755" w:type="dxa"/>
            <w:tcBorders>
              <w:top w:val="nil"/>
              <w:left w:val="nil"/>
              <w:bottom w:val="single" w:sz="6" w:space="0" w:color="auto"/>
              <w:right w:val="single" w:sz="6" w:space="0" w:color="auto"/>
            </w:tcBorders>
            <w:shd w:val="clear" w:color="auto" w:fill="auto"/>
            <w:tcMar>
              <w:right w:w="144" w:type="dxa"/>
            </w:tcMar>
            <w:hideMark/>
          </w:tcPr>
          <w:p w14:paraId="2FADC24E"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$120,000 </w:t>
            </w:r>
          </w:p>
        </w:tc>
        <w:tc>
          <w:tcPr>
            <w:tcW w:w="1800" w:type="dxa"/>
            <w:tcBorders>
              <w:top w:val="nil"/>
              <w:left w:val="nil"/>
              <w:bottom w:val="single" w:sz="6" w:space="0" w:color="auto"/>
              <w:right w:val="single" w:sz="6" w:space="0" w:color="auto"/>
            </w:tcBorders>
            <w:shd w:val="clear" w:color="auto" w:fill="auto"/>
            <w:tcMar>
              <w:right w:w="144" w:type="dxa"/>
            </w:tcMar>
            <w:hideMark/>
          </w:tcPr>
          <w:p w14:paraId="3803FF4E"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1530" w:type="dxa"/>
            <w:tcBorders>
              <w:top w:val="nil"/>
              <w:left w:val="nil"/>
              <w:bottom w:val="single" w:sz="6" w:space="0" w:color="auto"/>
              <w:right w:val="single" w:sz="6" w:space="0" w:color="auto"/>
            </w:tcBorders>
            <w:shd w:val="clear" w:color="auto" w:fill="auto"/>
            <w:hideMark/>
          </w:tcPr>
          <w:p w14:paraId="0C662C6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0%</w:t>
            </w:r>
          </w:p>
        </w:tc>
      </w:tr>
      <w:tr w:rsidR="00DD30AF" w:rsidRPr="008A0812" w14:paraId="432603DE"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483B1B4D"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rPr>
              <w:t>Other</w:t>
            </w:r>
          </w:p>
        </w:tc>
        <w:tc>
          <w:tcPr>
            <w:tcW w:w="1920" w:type="dxa"/>
            <w:tcBorders>
              <w:top w:val="nil"/>
              <w:left w:val="nil"/>
              <w:bottom w:val="single" w:sz="6" w:space="0" w:color="auto"/>
              <w:right w:val="single" w:sz="6" w:space="0" w:color="auto"/>
            </w:tcBorders>
            <w:shd w:val="clear" w:color="auto" w:fill="auto"/>
            <w:tcMar>
              <w:right w:w="144" w:type="dxa"/>
            </w:tcMar>
            <w:hideMark/>
          </w:tcPr>
          <w:p w14:paraId="1E93237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$ 783,993 </w:t>
            </w:r>
          </w:p>
        </w:tc>
        <w:tc>
          <w:tcPr>
            <w:tcW w:w="1755" w:type="dxa"/>
            <w:tcBorders>
              <w:top w:val="nil"/>
              <w:left w:val="nil"/>
              <w:bottom w:val="single" w:sz="6" w:space="0" w:color="auto"/>
              <w:right w:val="single" w:sz="6" w:space="0" w:color="auto"/>
            </w:tcBorders>
            <w:shd w:val="clear" w:color="auto" w:fill="auto"/>
            <w:tcMar>
              <w:right w:w="144" w:type="dxa"/>
            </w:tcMar>
            <w:hideMark/>
          </w:tcPr>
          <w:p w14:paraId="0DC3E1C0"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$674,599 </w:t>
            </w:r>
          </w:p>
        </w:tc>
        <w:tc>
          <w:tcPr>
            <w:tcW w:w="1800" w:type="dxa"/>
            <w:tcBorders>
              <w:top w:val="nil"/>
              <w:left w:val="nil"/>
              <w:bottom w:val="single" w:sz="6" w:space="0" w:color="auto"/>
              <w:right w:val="single" w:sz="6" w:space="0" w:color="auto"/>
            </w:tcBorders>
            <w:shd w:val="clear" w:color="auto" w:fill="auto"/>
            <w:tcMar>
              <w:right w:w="144" w:type="dxa"/>
            </w:tcMar>
            <w:hideMark/>
          </w:tcPr>
          <w:p w14:paraId="2EB8369A"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$109,000 </w:t>
            </w:r>
          </w:p>
        </w:tc>
        <w:tc>
          <w:tcPr>
            <w:tcW w:w="1530" w:type="dxa"/>
            <w:tcBorders>
              <w:top w:val="nil"/>
              <w:left w:val="nil"/>
              <w:bottom w:val="single" w:sz="6" w:space="0" w:color="auto"/>
              <w:right w:val="single" w:sz="6" w:space="0" w:color="auto"/>
            </w:tcBorders>
            <w:shd w:val="clear" w:color="auto" w:fill="auto"/>
            <w:hideMark/>
          </w:tcPr>
          <w:p w14:paraId="6C138018"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14%</w:t>
            </w:r>
          </w:p>
        </w:tc>
      </w:tr>
      <w:tr w:rsidR="00DD30AF" w:rsidRPr="008A0812" w14:paraId="286CD1B4" w14:textId="77777777" w:rsidTr="004776AB">
        <w:tc>
          <w:tcPr>
            <w:tcW w:w="2326" w:type="dxa"/>
            <w:tcBorders>
              <w:top w:val="nil"/>
              <w:left w:val="single" w:sz="6" w:space="0" w:color="auto"/>
              <w:bottom w:val="single" w:sz="6" w:space="0" w:color="auto"/>
              <w:right w:val="single" w:sz="6" w:space="0" w:color="auto"/>
            </w:tcBorders>
            <w:shd w:val="clear" w:color="auto" w:fill="auto"/>
            <w:tcMar>
              <w:left w:w="144" w:type="dxa"/>
            </w:tcMar>
            <w:hideMark/>
          </w:tcPr>
          <w:p w14:paraId="246F2BE6" w14:textId="77777777" w:rsidR="00DD30AF" w:rsidRPr="008A0812" w:rsidRDefault="00DD30AF" w:rsidP="004776AB">
            <w:pPr>
              <w:overflowPunct/>
              <w:autoSpaceDE/>
              <w:autoSpaceDN/>
              <w:adjustRightInd/>
              <w:jc w:val="both"/>
              <w:rPr>
                <w:rFonts w:ascii="Segoe UI" w:hAnsi="Segoe UI" w:cs="Segoe UI"/>
                <w:sz w:val="18"/>
                <w:szCs w:val="18"/>
              </w:rPr>
            </w:pPr>
            <w:r w:rsidRPr="008A0812">
              <w:rPr>
                <w:rFonts w:cs="Segoe UI"/>
                <w:b/>
                <w:bCs/>
              </w:rPr>
              <w:t>Total</w:t>
            </w:r>
          </w:p>
        </w:tc>
        <w:tc>
          <w:tcPr>
            <w:tcW w:w="1920" w:type="dxa"/>
            <w:tcBorders>
              <w:top w:val="nil"/>
              <w:left w:val="nil"/>
              <w:bottom w:val="single" w:sz="6" w:space="0" w:color="auto"/>
              <w:right w:val="single" w:sz="6" w:space="0" w:color="auto"/>
            </w:tcBorders>
            <w:shd w:val="clear" w:color="auto" w:fill="auto"/>
            <w:tcMar>
              <w:right w:w="144" w:type="dxa"/>
            </w:tcMar>
            <w:hideMark/>
          </w:tcPr>
          <w:p w14:paraId="57F3DEA2"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b/>
                <w:bCs/>
              </w:rPr>
              <w:t xml:space="preserve">$12,135,121 </w:t>
            </w:r>
          </w:p>
        </w:tc>
        <w:tc>
          <w:tcPr>
            <w:tcW w:w="1755" w:type="dxa"/>
            <w:tcBorders>
              <w:top w:val="nil"/>
              <w:left w:val="nil"/>
              <w:bottom w:val="single" w:sz="6" w:space="0" w:color="auto"/>
              <w:right w:val="single" w:sz="6" w:space="0" w:color="auto"/>
            </w:tcBorders>
            <w:shd w:val="clear" w:color="auto" w:fill="auto"/>
            <w:tcMar>
              <w:right w:w="144" w:type="dxa"/>
            </w:tcMar>
            <w:hideMark/>
          </w:tcPr>
          <w:p w14:paraId="41B0E30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b/>
                <w:bCs/>
              </w:rPr>
              <w:t xml:space="preserve"> $11,065,231 </w:t>
            </w:r>
          </w:p>
        </w:tc>
        <w:tc>
          <w:tcPr>
            <w:tcW w:w="1800" w:type="dxa"/>
            <w:tcBorders>
              <w:top w:val="nil"/>
              <w:left w:val="nil"/>
              <w:bottom w:val="single" w:sz="6" w:space="0" w:color="auto"/>
              <w:right w:val="single" w:sz="6" w:space="0" w:color="auto"/>
            </w:tcBorders>
            <w:shd w:val="clear" w:color="auto" w:fill="auto"/>
            <w:tcMar>
              <w:right w:w="144" w:type="dxa"/>
            </w:tcMar>
            <w:hideMark/>
          </w:tcPr>
          <w:p w14:paraId="3A01D517"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b/>
                <w:bCs/>
              </w:rPr>
              <w:t xml:space="preserve"> $1,069,000 </w:t>
            </w:r>
          </w:p>
        </w:tc>
        <w:tc>
          <w:tcPr>
            <w:tcW w:w="1530" w:type="dxa"/>
            <w:tcBorders>
              <w:top w:val="nil"/>
              <w:left w:val="nil"/>
              <w:bottom w:val="single" w:sz="6" w:space="0" w:color="auto"/>
              <w:right w:val="single" w:sz="6" w:space="0" w:color="auto"/>
            </w:tcBorders>
            <w:shd w:val="clear" w:color="auto" w:fill="auto"/>
            <w:hideMark/>
          </w:tcPr>
          <w:p w14:paraId="73589584"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9%</w:t>
            </w:r>
          </w:p>
        </w:tc>
      </w:tr>
    </w:tbl>
    <w:p w14:paraId="71B5BDD4" w14:textId="77777777" w:rsidR="00DD30AF" w:rsidRPr="008A0812" w:rsidRDefault="00DD30AF" w:rsidP="004776AB">
      <w:pPr>
        <w:pStyle w:val="BodyText"/>
      </w:pPr>
      <w:r w:rsidRPr="008A0812">
        <w:t xml:space="preserve">The reduction of SBWRP influent due to the reduction from EVWD will present an opportunity to take treatment processes off-line to reduce capital, operating, and maintenance costs. Unit 1 was upgraded most recently and is therefore not a candidate for removal from service. The NRC is needed to treat the high ammonia recycle flow from dewatering. This leaves Unit 2 as the most viable option for capacity reduction. </w:t>
      </w:r>
    </w:p>
    <w:p w14:paraId="16ABCDD9" w14:textId="1693D081" w:rsidR="00DD30AF" w:rsidRPr="008A0812" w:rsidRDefault="00011F52" w:rsidP="00011F52">
      <w:pPr>
        <w:pStyle w:val="BodyText"/>
      </w:pPr>
      <w:r w:rsidRPr="008A0812">
        <w:fldChar w:fldCharType="begin"/>
      </w:r>
      <w:r w:rsidRPr="008A0812">
        <w:instrText xml:space="preserve"> REF _Ref36402386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7</w:t>
      </w:r>
      <w:r w:rsidRPr="008A0812">
        <w:fldChar w:fldCharType="end"/>
      </w:r>
      <w:r w:rsidRPr="008A0812">
        <w:t xml:space="preserve"> </w:t>
      </w:r>
      <w:r w:rsidR="00DD30AF" w:rsidRPr="008A0812">
        <w:t xml:space="preserve">shows how the overall capacity of the SBWRP could be managed to match capacity with flows by removing one or both Unit 2 trains. These scenarios are based on the capacity analysis in Section </w:t>
      </w:r>
      <w:r w:rsidRPr="008A0812">
        <w:fldChar w:fldCharType="begin"/>
      </w:r>
      <w:r w:rsidRPr="008A0812">
        <w:instrText xml:space="preserve"> REF _Ref36402481 \r \h </w:instrText>
      </w:r>
      <w:r w:rsidR="008A0812">
        <w:instrText xml:space="preserve"> \* MERGEFORMAT </w:instrText>
      </w:r>
      <w:r w:rsidRPr="008A0812">
        <w:fldChar w:fldCharType="separate"/>
      </w:r>
      <w:r w:rsidR="00AA68F8">
        <w:t>8.7</w:t>
      </w:r>
      <w:r w:rsidRPr="008A0812">
        <w:fldChar w:fldCharType="end"/>
      </w:r>
      <w:r w:rsidR="00DD30AF" w:rsidRPr="008A0812">
        <w:t xml:space="preserve">, assuming 3 mgd of treatment at NRC. </w:t>
      </w:r>
    </w:p>
    <w:p w14:paraId="2F3BD7B3" w14:textId="124844B6" w:rsidR="00011F52" w:rsidRPr="008A0812" w:rsidRDefault="00011F52" w:rsidP="00011F52">
      <w:pPr>
        <w:pStyle w:val="TableHeading"/>
      </w:pPr>
      <w:bookmarkStart w:id="589" w:name="_Ref36402386"/>
      <w:bookmarkStart w:id="590" w:name="_Toc36414111"/>
      <w:bookmarkStart w:id="591" w:name="_Toc41684797"/>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7</w:t>
      </w:r>
      <w:r>
        <w:fldChar w:fldCharType="end"/>
      </w:r>
      <w:bookmarkEnd w:id="589"/>
      <w:r w:rsidRPr="008A0812">
        <w:t>: SBWRP Capacity (mgd)</w:t>
      </w:r>
      <w:bookmarkEnd w:id="590"/>
      <w:bookmarkEnd w:id="591"/>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42"/>
        <w:gridCol w:w="1929"/>
        <w:gridCol w:w="1930"/>
        <w:gridCol w:w="1930"/>
      </w:tblGrid>
      <w:tr w:rsidR="00DD30AF" w:rsidRPr="008A0812" w14:paraId="2F9A3850" w14:textId="77777777" w:rsidTr="004776AB">
        <w:tc>
          <w:tcPr>
            <w:tcW w:w="3542"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5804CE01"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b/>
                <w:bCs/>
              </w:rPr>
              <w:t>Capacity Measure</w:t>
            </w:r>
          </w:p>
        </w:tc>
        <w:tc>
          <w:tcPr>
            <w:tcW w:w="1929" w:type="dxa"/>
            <w:tcBorders>
              <w:top w:val="single" w:sz="6" w:space="0" w:color="auto"/>
              <w:left w:val="nil"/>
              <w:bottom w:val="single" w:sz="6" w:space="0" w:color="auto"/>
              <w:right w:val="single" w:sz="6" w:space="0" w:color="auto"/>
            </w:tcBorders>
            <w:shd w:val="clear" w:color="auto" w:fill="BFBFBF"/>
            <w:vAlign w:val="bottom"/>
            <w:hideMark/>
          </w:tcPr>
          <w:p w14:paraId="4B5FE3D7"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b/>
                <w:bCs/>
                <w:color w:val="000000"/>
              </w:rPr>
              <w:t>All Units</w:t>
            </w:r>
          </w:p>
          <w:p w14:paraId="38B48307"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b/>
                <w:bCs/>
                <w:color w:val="000000"/>
              </w:rPr>
              <w:t>On-Line</w:t>
            </w:r>
          </w:p>
        </w:tc>
        <w:tc>
          <w:tcPr>
            <w:tcW w:w="1930" w:type="dxa"/>
            <w:tcBorders>
              <w:top w:val="single" w:sz="6" w:space="0" w:color="auto"/>
              <w:left w:val="nil"/>
              <w:bottom w:val="single" w:sz="6" w:space="0" w:color="auto"/>
              <w:right w:val="single" w:sz="6" w:space="0" w:color="auto"/>
            </w:tcBorders>
            <w:shd w:val="clear" w:color="auto" w:fill="BFBFBF"/>
            <w:hideMark/>
          </w:tcPr>
          <w:p w14:paraId="001367CF"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b/>
                <w:bCs/>
                <w:color w:val="000000"/>
              </w:rPr>
              <w:t>One Unit 2 Train</w:t>
            </w:r>
            <w:r w:rsidRPr="008A0812">
              <w:rPr>
                <w:rFonts w:cs="Segoe UI"/>
              </w:rPr>
              <w:br/>
            </w:r>
            <w:r w:rsidRPr="008A0812">
              <w:rPr>
                <w:rFonts w:cs="Segoe UI"/>
                <w:b/>
                <w:bCs/>
                <w:color w:val="000000"/>
              </w:rPr>
              <w:t>Off-Line</w:t>
            </w:r>
          </w:p>
        </w:tc>
        <w:tc>
          <w:tcPr>
            <w:tcW w:w="1930" w:type="dxa"/>
            <w:tcBorders>
              <w:top w:val="single" w:sz="6" w:space="0" w:color="auto"/>
              <w:left w:val="nil"/>
              <w:bottom w:val="single" w:sz="6" w:space="0" w:color="auto"/>
              <w:right w:val="single" w:sz="6" w:space="0" w:color="auto"/>
            </w:tcBorders>
            <w:shd w:val="clear" w:color="auto" w:fill="BFBFBF"/>
            <w:hideMark/>
          </w:tcPr>
          <w:p w14:paraId="03820F86"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b/>
                <w:bCs/>
                <w:color w:val="000000"/>
              </w:rPr>
              <w:t>Both Unit 2 Trains</w:t>
            </w:r>
            <w:r w:rsidRPr="008A0812">
              <w:rPr>
                <w:rFonts w:cs="Segoe UI"/>
              </w:rPr>
              <w:br/>
            </w:r>
            <w:r w:rsidRPr="008A0812">
              <w:rPr>
                <w:rFonts w:cs="Segoe UI"/>
                <w:b/>
                <w:bCs/>
                <w:color w:val="000000"/>
              </w:rPr>
              <w:t>Off-Line</w:t>
            </w:r>
          </w:p>
        </w:tc>
      </w:tr>
      <w:tr w:rsidR="00DD30AF" w:rsidRPr="008A0812" w14:paraId="27C6698B" w14:textId="77777777" w:rsidTr="004776AB">
        <w:tc>
          <w:tcPr>
            <w:tcW w:w="3542" w:type="dxa"/>
            <w:tcBorders>
              <w:top w:val="nil"/>
              <w:left w:val="single" w:sz="6" w:space="0" w:color="auto"/>
              <w:bottom w:val="single" w:sz="6" w:space="0" w:color="auto"/>
              <w:right w:val="single" w:sz="6" w:space="0" w:color="auto"/>
            </w:tcBorders>
            <w:shd w:val="clear" w:color="auto" w:fill="auto"/>
            <w:vAlign w:val="bottom"/>
            <w:hideMark/>
          </w:tcPr>
          <w:p w14:paraId="4A6F11C6"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color w:val="000000"/>
              </w:rPr>
              <w:t>Average Dry Weather (ADW)</w:t>
            </w:r>
          </w:p>
        </w:tc>
        <w:tc>
          <w:tcPr>
            <w:tcW w:w="1929" w:type="dxa"/>
            <w:tcBorders>
              <w:top w:val="nil"/>
              <w:left w:val="nil"/>
              <w:bottom w:val="single" w:sz="6" w:space="0" w:color="auto"/>
              <w:right w:val="single" w:sz="6" w:space="0" w:color="auto"/>
            </w:tcBorders>
            <w:shd w:val="clear" w:color="auto" w:fill="auto"/>
            <w:vAlign w:val="center"/>
            <w:hideMark/>
          </w:tcPr>
          <w:p w14:paraId="2209AFD9"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30</w:t>
            </w:r>
          </w:p>
        </w:tc>
        <w:tc>
          <w:tcPr>
            <w:tcW w:w="1930" w:type="dxa"/>
            <w:tcBorders>
              <w:top w:val="nil"/>
              <w:left w:val="nil"/>
              <w:bottom w:val="single" w:sz="6" w:space="0" w:color="auto"/>
              <w:right w:val="single" w:sz="6" w:space="0" w:color="auto"/>
            </w:tcBorders>
            <w:shd w:val="clear" w:color="auto" w:fill="auto"/>
            <w:vAlign w:val="center"/>
            <w:hideMark/>
          </w:tcPr>
          <w:p w14:paraId="68ABE648"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22.5</w:t>
            </w:r>
          </w:p>
        </w:tc>
        <w:tc>
          <w:tcPr>
            <w:tcW w:w="1930" w:type="dxa"/>
            <w:tcBorders>
              <w:top w:val="nil"/>
              <w:left w:val="nil"/>
              <w:bottom w:val="single" w:sz="6" w:space="0" w:color="auto"/>
              <w:right w:val="single" w:sz="6" w:space="0" w:color="auto"/>
            </w:tcBorders>
            <w:shd w:val="clear" w:color="auto" w:fill="auto"/>
            <w:vAlign w:val="center"/>
            <w:hideMark/>
          </w:tcPr>
          <w:p w14:paraId="25AE38D1"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15</w:t>
            </w:r>
          </w:p>
        </w:tc>
      </w:tr>
      <w:tr w:rsidR="00DD30AF" w:rsidRPr="008A0812" w14:paraId="53C5C072" w14:textId="77777777" w:rsidTr="004776AB">
        <w:tc>
          <w:tcPr>
            <w:tcW w:w="3542" w:type="dxa"/>
            <w:tcBorders>
              <w:top w:val="nil"/>
              <w:left w:val="single" w:sz="6" w:space="0" w:color="auto"/>
              <w:bottom w:val="single" w:sz="6" w:space="0" w:color="auto"/>
              <w:right w:val="single" w:sz="6" w:space="0" w:color="auto"/>
            </w:tcBorders>
            <w:shd w:val="clear" w:color="auto" w:fill="auto"/>
            <w:vAlign w:val="bottom"/>
            <w:hideMark/>
          </w:tcPr>
          <w:p w14:paraId="01CBB525"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color w:val="000000"/>
              </w:rPr>
              <w:t>Peak Hydraulic </w:t>
            </w:r>
            <w:r w:rsidRPr="008A0812">
              <w:rPr>
                <w:rFonts w:cs="Segoe UI"/>
                <w:color w:val="000000"/>
                <w:vertAlign w:val="superscript"/>
              </w:rPr>
              <w:t>(1)</w:t>
            </w:r>
          </w:p>
        </w:tc>
        <w:tc>
          <w:tcPr>
            <w:tcW w:w="1929" w:type="dxa"/>
            <w:tcBorders>
              <w:top w:val="nil"/>
              <w:left w:val="nil"/>
              <w:bottom w:val="single" w:sz="6" w:space="0" w:color="auto"/>
              <w:right w:val="single" w:sz="6" w:space="0" w:color="auto"/>
            </w:tcBorders>
            <w:shd w:val="clear" w:color="auto" w:fill="auto"/>
            <w:vAlign w:val="center"/>
            <w:hideMark/>
          </w:tcPr>
          <w:p w14:paraId="7EF0F007"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48</w:t>
            </w:r>
          </w:p>
        </w:tc>
        <w:tc>
          <w:tcPr>
            <w:tcW w:w="1930" w:type="dxa"/>
            <w:tcBorders>
              <w:top w:val="nil"/>
              <w:left w:val="nil"/>
              <w:bottom w:val="single" w:sz="6" w:space="0" w:color="auto"/>
              <w:right w:val="single" w:sz="6" w:space="0" w:color="auto"/>
            </w:tcBorders>
            <w:shd w:val="clear" w:color="auto" w:fill="auto"/>
            <w:vAlign w:val="center"/>
            <w:hideMark/>
          </w:tcPr>
          <w:p w14:paraId="7C354776"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36</w:t>
            </w:r>
          </w:p>
        </w:tc>
        <w:tc>
          <w:tcPr>
            <w:tcW w:w="1930" w:type="dxa"/>
            <w:tcBorders>
              <w:top w:val="nil"/>
              <w:left w:val="nil"/>
              <w:bottom w:val="single" w:sz="6" w:space="0" w:color="auto"/>
              <w:right w:val="single" w:sz="6" w:space="0" w:color="auto"/>
            </w:tcBorders>
            <w:shd w:val="clear" w:color="auto" w:fill="auto"/>
            <w:vAlign w:val="center"/>
            <w:hideMark/>
          </w:tcPr>
          <w:p w14:paraId="230361A5"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23</w:t>
            </w:r>
          </w:p>
        </w:tc>
      </w:tr>
      <w:tr w:rsidR="00DD30AF" w:rsidRPr="008A0812" w14:paraId="39B1E44D" w14:textId="77777777" w:rsidTr="004776AB">
        <w:tc>
          <w:tcPr>
            <w:tcW w:w="3542" w:type="dxa"/>
            <w:tcBorders>
              <w:top w:val="nil"/>
              <w:left w:val="single" w:sz="6" w:space="0" w:color="auto"/>
              <w:bottom w:val="single" w:sz="6" w:space="0" w:color="auto"/>
              <w:right w:val="single" w:sz="6" w:space="0" w:color="auto"/>
            </w:tcBorders>
            <w:shd w:val="clear" w:color="auto" w:fill="auto"/>
            <w:vAlign w:val="bottom"/>
            <w:hideMark/>
          </w:tcPr>
          <w:p w14:paraId="6474B685"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color w:val="000000"/>
              </w:rPr>
              <w:t>Peak Secondary Clarifier, Current</w:t>
            </w:r>
          </w:p>
        </w:tc>
        <w:tc>
          <w:tcPr>
            <w:tcW w:w="1929" w:type="dxa"/>
            <w:tcBorders>
              <w:top w:val="nil"/>
              <w:left w:val="nil"/>
              <w:bottom w:val="single" w:sz="6" w:space="0" w:color="auto"/>
              <w:right w:val="single" w:sz="6" w:space="0" w:color="auto"/>
            </w:tcBorders>
            <w:shd w:val="clear" w:color="auto" w:fill="auto"/>
            <w:vAlign w:val="center"/>
            <w:hideMark/>
          </w:tcPr>
          <w:p w14:paraId="6C8AF5BD"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38</w:t>
            </w:r>
          </w:p>
        </w:tc>
        <w:tc>
          <w:tcPr>
            <w:tcW w:w="1930" w:type="dxa"/>
            <w:tcBorders>
              <w:top w:val="nil"/>
              <w:left w:val="nil"/>
              <w:bottom w:val="single" w:sz="6" w:space="0" w:color="auto"/>
              <w:right w:val="single" w:sz="6" w:space="0" w:color="auto"/>
            </w:tcBorders>
            <w:shd w:val="clear" w:color="auto" w:fill="auto"/>
            <w:vAlign w:val="center"/>
            <w:hideMark/>
          </w:tcPr>
          <w:p w14:paraId="2A02434E"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28</w:t>
            </w:r>
          </w:p>
        </w:tc>
        <w:tc>
          <w:tcPr>
            <w:tcW w:w="1930" w:type="dxa"/>
            <w:tcBorders>
              <w:top w:val="nil"/>
              <w:left w:val="nil"/>
              <w:bottom w:val="single" w:sz="6" w:space="0" w:color="auto"/>
              <w:right w:val="single" w:sz="6" w:space="0" w:color="auto"/>
            </w:tcBorders>
            <w:shd w:val="clear" w:color="auto" w:fill="auto"/>
            <w:vAlign w:val="center"/>
            <w:hideMark/>
          </w:tcPr>
          <w:p w14:paraId="33DCD3B0"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18</w:t>
            </w:r>
          </w:p>
        </w:tc>
      </w:tr>
      <w:tr w:rsidR="00DD30AF" w:rsidRPr="008A0812" w14:paraId="012379D8" w14:textId="77777777" w:rsidTr="004776AB">
        <w:tc>
          <w:tcPr>
            <w:tcW w:w="3542" w:type="dxa"/>
            <w:tcBorders>
              <w:top w:val="nil"/>
              <w:left w:val="single" w:sz="6" w:space="0" w:color="auto"/>
              <w:bottom w:val="single" w:sz="6" w:space="0" w:color="auto"/>
              <w:right w:val="single" w:sz="6" w:space="0" w:color="auto"/>
            </w:tcBorders>
            <w:shd w:val="clear" w:color="auto" w:fill="auto"/>
            <w:vAlign w:val="bottom"/>
            <w:hideMark/>
          </w:tcPr>
          <w:p w14:paraId="78901DE2"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color w:val="000000"/>
              </w:rPr>
              <w:t>Peak Secondary Clarifier, Improved </w:t>
            </w:r>
            <w:r w:rsidRPr="008A0812">
              <w:rPr>
                <w:rFonts w:cs="Segoe UI"/>
                <w:color w:val="000000"/>
                <w:vertAlign w:val="superscript"/>
              </w:rPr>
              <w:t>(2)</w:t>
            </w:r>
          </w:p>
        </w:tc>
        <w:tc>
          <w:tcPr>
            <w:tcW w:w="1929" w:type="dxa"/>
            <w:tcBorders>
              <w:top w:val="nil"/>
              <w:left w:val="nil"/>
              <w:bottom w:val="single" w:sz="6" w:space="0" w:color="auto"/>
              <w:right w:val="single" w:sz="6" w:space="0" w:color="auto"/>
            </w:tcBorders>
            <w:shd w:val="clear" w:color="auto" w:fill="auto"/>
            <w:vAlign w:val="center"/>
            <w:hideMark/>
          </w:tcPr>
          <w:p w14:paraId="4BD764FB"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68</w:t>
            </w:r>
          </w:p>
        </w:tc>
        <w:tc>
          <w:tcPr>
            <w:tcW w:w="1930" w:type="dxa"/>
            <w:tcBorders>
              <w:top w:val="nil"/>
              <w:left w:val="nil"/>
              <w:bottom w:val="single" w:sz="6" w:space="0" w:color="auto"/>
              <w:right w:val="single" w:sz="6" w:space="0" w:color="auto"/>
            </w:tcBorders>
            <w:shd w:val="clear" w:color="auto" w:fill="auto"/>
            <w:vAlign w:val="center"/>
            <w:hideMark/>
          </w:tcPr>
          <w:p w14:paraId="2149D105"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48</w:t>
            </w:r>
          </w:p>
        </w:tc>
        <w:tc>
          <w:tcPr>
            <w:tcW w:w="1930" w:type="dxa"/>
            <w:tcBorders>
              <w:top w:val="nil"/>
              <w:left w:val="nil"/>
              <w:bottom w:val="single" w:sz="6" w:space="0" w:color="auto"/>
              <w:right w:val="single" w:sz="6" w:space="0" w:color="auto"/>
            </w:tcBorders>
            <w:shd w:val="clear" w:color="auto" w:fill="auto"/>
            <w:vAlign w:val="center"/>
            <w:hideMark/>
          </w:tcPr>
          <w:p w14:paraId="27E46C82" w14:textId="77777777" w:rsidR="00DD30AF" w:rsidRPr="008A0812" w:rsidRDefault="00DD30AF" w:rsidP="004776AB">
            <w:pPr>
              <w:keepNext/>
              <w:keepLines/>
              <w:overflowPunct/>
              <w:autoSpaceDE/>
              <w:autoSpaceDN/>
              <w:adjustRightInd/>
              <w:jc w:val="center"/>
              <w:rPr>
                <w:rFonts w:ascii="Segoe UI" w:hAnsi="Segoe UI" w:cs="Segoe UI"/>
                <w:sz w:val="18"/>
                <w:szCs w:val="18"/>
              </w:rPr>
            </w:pPr>
            <w:r w:rsidRPr="008A0812">
              <w:rPr>
                <w:rFonts w:cs="Segoe UI"/>
              </w:rPr>
              <w:t>28</w:t>
            </w:r>
          </w:p>
        </w:tc>
      </w:tr>
    </w:tbl>
    <w:p w14:paraId="4905F2F0" w14:textId="77777777" w:rsidR="00DD30AF" w:rsidRPr="008A0812" w:rsidRDefault="00DD30AF" w:rsidP="004776AB">
      <w:pPr>
        <w:pStyle w:val="BodyText"/>
        <w:keepNext/>
        <w:keepLines/>
        <w:spacing w:before="120" w:after="0"/>
        <w:ind w:left="720"/>
        <w:rPr>
          <w:rFonts w:cs="Segoe UI"/>
          <w:sz w:val="20"/>
          <w:szCs w:val="20"/>
        </w:rPr>
      </w:pPr>
      <w:r w:rsidRPr="008A0812">
        <w:rPr>
          <w:rFonts w:cs="Segoe UI"/>
          <w:sz w:val="20"/>
          <w:szCs w:val="20"/>
        </w:rPr>
        <w:t>Notes:</w:t>
      </w:r>
    </w:p>
    <w:p w14:paraId="0445C61F" w14:textId="77777777" w:rsidR="00DD30AF" w:rsidRPr="008A0812" w:rsidRDefault="00DD30AF" w:rsidP="00DD30AF">
      <w:pPr>
        <w:pStyle w:val="BodyText"/>
        <w:keepNext/>
        <w:keepLines/>
        <w:numPr>
          <w:ilvl w:val="0"/>
          <w:numId w:val="17"/>
        </w:numPr>
        <w:spacing w:before="0" w:after="0"/>
        <w:rPr>
          <w:sz w:val="20"/>
          <w:szCs w:val="20"/>
        </w:rPr>
      </w:pPr>
      <w:r w:rsidRPr="008A0812">
        <w:rPr>
          <w:rFonts w:cs="Segoe UI"/>
          <w:sz w:val="20"/>
          <w:szCs w:val="20"/>
        </w:rPr>
        <w:t>Based on 20 mgd hydraulic capacity for Unit 1 to prevent submergence of primary clarifier weirs</w:t>
      </w:r>
    </w:p>
    <w:p w14:paraId="03CE458B" w14:textId="77777777" w:rsidR="00DD30AF" w:rsidRPr="008A0812" w:rsidRDefault="00DD30AF" w:rsidP="00DD30AF">
      <w:pPr>
        <w:pStyle w:val="BodyText"/>
        <w:keepNext/>
        <w:keepLines/>
        <w:numPr>
          <w:ilvl w:val="0"/>
          <w:numId w:val="17"/>
        </w:numPr>
        <w:spacing w:before="0" w:after="0"/>
        <w:rPr>
          <w:sz w:val="20"/>
          <w:szCs w:val="20"/>
        </w:rPr>
      </w:pPr>
      <w:r w:rsidRPr="008A0812">
        <w:rPr>
          <w:sz w:val="20"/>
          <w:szCs w:val="20"/>
        </w:rPr>
        <w:t>Assumes SVI reduced to 200 g/mL in Unit 1 and Unit 2, and Unit 2 run in contact-stabilization mode during peak flows</w:t>
      </w:r>
    </w:p>
    <w:p w14:paraId="1B4E9467" w14:textId="25B8AF67" w:rsidR="00DD30AF" w:rsidRPr="008A0812" w:rsidRDefault="00DD30AF" w:rsidP="004776AB">
      <w:pPr>
        <w:pStyle w:val="BodyText"/>
      </w:pPr>
      <w:r w:rsidRPr="008A0812">
        <w:t xml:space="preserve">Removing all of Unit 2 (both trains) does not provide enough ADW capacity even for the lowest average flow of 16 mgd in 2025. Removing one Unit 2 train, on the other hand, would provide enough ADW capacity for the full range of future flows. Under this scenario, the plant would be at 78% capacity in 2040, exceeding the 75% threshold which typically triggers facilities upgrade planning (Section </w:t>
      </w:r>
      <w:r w:rsidR="00011F52" w:rsidRPr="008A0812">
        <w:fldChar w:fldCharType="begin"/>
      </w:r>
      <w:r w:rsidR="00011F52" w:rsidRPr="008A0812">
        <w:instrText xml:space="preserve"> REF _Ref20223826 \r \h </w:instrText>
      </w:r>
      <w:r w:rsidR="008A0812">
        <w:instrText xml:space="preserve"> \* MERGEFORMAT </w:instrText>
      </w:r>
      <w:r w:rsidR="00011F52" w:rsidRPr="008A0812">
        <w:fldChar w:fldCharType="separate"/>
      </w:r>
      <w:r w:rsidR="00AA68F8">
        <w:t>7.1.3</w:t>
      </w:r>
      <w:r w:rsidR="00011F52" w:rsidRPr="008A0812">
        <w:fldChar w:fldCharType="end"/>
      </w:r>
      <w:r w:rsidRPr="008A0812">
        <w:t xml:space="preserve">). Although the plant would have enough capacity for current ADW without one Unit 2 train, it is recommended to keep all of Unit 2 on-line in the near term to provide a measure of contingency and redundancy. </w:t>
      </w:r>
    </w:p>
    <w:p w14:paraId="30A00205" w14:textId="6A8C18E3" w:rsidR="00DD30AF" w:rsidRPr="008A0812" w:rsidRDefault="00DD30AF" w:rsidP="004776AB">
      <w:pPr>
        <w:pStyle w:val="BodyText"/>
      </w:pPr>
      <w:r w:rsidRPr="008A0812">
        <w:t xml:space="preserve">The current peak flow is above hydraulic capacity as modeled, but it is known that the plant can pass peak flows without overflowing based on recent wet-weather performance experience. Hydraulic capacity is therefore not considered to be an issue currently. It should also not be an issue if half of Unit 2 is taken off-line when flows decrease due to the SNRC project: </w:t>
      </w:r>
      <w:r w:rsidR="00273546" w:rsidRPr="008A0812">
        <w:t>the 25% drop in hydraulic capacity essentially matches the 27% drop in flows</w:t>
      </w:r>
      <w:r w:rsidRPr="008A0812">
        <w:t xml:space="preserve">. As flows increase toward the 2040 projection, however, additional hydraulic capacity may be needed for peak flows. This could be addressed either by building equalization (refer to Project </w:t>
      </w:r>
      <w:r w:rsidR="00011F52" w:rsidRPr="008A0812">
        <w:fldChar w:fldCharType="begin"/>
      </w:r>
      <w:r w:rsidR="00011F52" w:rsidRPr="008A0812">
        <w:instrText xml:space="preserve"> REF _Ref36402543 \r \h </w:instrText>
      </w:r>
      <w:r w:rsidR="008A0812">
        <w:instrText xml:space="preserve"> \* MERGEFORMAT </w:instrText>
      </w:r>
      <w:r w:rsidR="00011F52" w:rsidRPr="008A0812">
        <w:fldChar w:fldCharType="separate"/>
      </w:r>
      <w:r w:rsidR="00AA68F8">
        <w:t>10.1.1</w:t>
      </w:r>
      <w:r w:rsidR="00011F52" w:rsidRPr="008A0812">
        <w:fldChar w:fldCharType="end"/>
      </w:r>
      <w:r w:rsidRPr="008A0812">
        <w:t xml:space="preserve">), or possibly by identifying and removing process bottlenecks. </w:t>
      </w:r>
      <w:r w:rsidR="00273546" w:rsidRPr="008A0812">
        <w:t xml:space="preserve">The latter would require creating a calibrated, full-plant hydraulic model. </w:t>
      </w:r>
      <w:r w:rsidR="005A5E88" w:rsidRPr="008A0812">
        <w:t>The expansion and completion of Unit 3</w:t>
      </w:r>
      <w:r w:rsidRPr="008A0812">
        <w:t xml:space="preserve"> (refer to Project </w:t>
      </w:r>
      <w:r w:rsidR="00011F52" w:rsidRPr="008A0812">
        <w:fldChar w:fldCharType="begin"/>
      </w:r>
      <w:r w:rsidR="00011F52" w:rsidRPr="008A0812">
        <w:instrText xml:space="preserve"> REF _Ref36402555 \r \h </w:instrText>
      </w:r>
      <w:r w:rsidR="008A0812">
        <w:instrText xml:space="preserve"> \* MERGEFORMAT </w:instrText>
      </w:r>
      <w:r w:rsidR="00011F52" w:rsidRPr="008A0812">
        <w:fldChar w:fldCharType="separate"/>
      </w:r>
      <w:r w:rsidR="00AA68F8">
        <w:t></w:t>
      </w:r>
      <w:r w:rsidR="00011F52" w:rsidRPr="008A0812">
        <w:fldChar w:fldCharType="end"/>
      </w:r>
      <w:r w:rsidRPr="008A0812">
        <w:t>) would also address capacity issues.</w:t>
      </w:r>
    </w:p>
    <w:p w14:paraId="057A420D" w14:textId="5101981C" w:rsidR="00DD30AF" w:rsidRPr="008A0812" w:rsidRDefault="00DD30AF" w:rsidP="004776AB">
      <w:pPr>
        <w:pStyle w:val="BodyText"/>
      </w:pPr>
      <w:r w:rsidRPr="008A0812">
        <w:t xml:space="preserve">Peak secondary clarifier capacity also needs to be considered. Results from the state-point analyses performed previously are summarized in </w:t>
      </w:r>
      <w:r w:rsidR="00011F52" w:rsidRPr="008A0812">
        <w:fldChar w:fldCharType="begin"/>
      </w:r>
      <w:r w:rsidR="00011F52" w:rsidRPr="008A0812">
        <w:instrText xml:space="preserve"> REF _Ref36402386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7</w:t>
      </w:r>
      <w:r w:rsidR="00011F52" w:rsidRPr="008A0812">
        <w:fldChar w:fldCharType="end"/>
      </w:r>
      <w:r w:rsidRPr="008A0812">
        <w:t xml:space="preserve">. With improved SVI, secondary clarifier capacity with one Unit 2 train off-line (three clarifiers on-line) matches the projected peak flow projected in 2025. As flows increase, additional capacity will be needed. Either both Unit 2 secondary clarifiers will need to remain online, or flow equalization will need to be constructed. Note that flow equalization would remove flows above 38 mgd, so that SVI improvements and contact stabilization would not be necessary. </w:t>
      </w:r>
      <w:r w:rsidR="00273546" w:rsidRPr="008A0812">
        <w:t>For this evaluation</w:t>
      </w:r>
      <w:r w:rsidRPr="008A0812">
        <w:t>, it will be assumed that both Unit 2 secondary clarifiers remain in continuous service.</w:t>
      </w:r>
    </w:p>
    <w:p w14:paraId="3E44A418" w14:textId="77777777" w:rsidR="00DD30AF" w:rsidRPr="008A0812" w:rsidRDefault="00DD30AF" w:rsidP="004776AB">
      <w:pPr>
        <w:pStyle w:val="BodyText"/>
      </w:pPr>
      <w:r w:rsidRPr="008A0812">
        <w:t xml:space="preserve">The ability to take Unit 2S off-line assumes that Primary Flow Equalization is in place and the following redundancy is available on a temporary basis: </w:t>
      </w:r>
    </w:p>
    <w:p w14:paraId="6A580F79" w14:textId="77777777" w:rsidR="00DD30AF" w:rsidRPr="008A0812" w:rsidRDefault="00DD30AF" w:rsidP="004776AB">
      <w:pPr>
        <w:pStyle w:val="Bullet"/>
      </w:pPr>
      <w:r w:rsidRPr="008A0812">
        <w:t xml:space="preserve">Unit 3 is available as a backup to the Unit 1 primary clarifier if needed. </w:t>
      </w:r>
    </w:p>
    <w:p w14:paraId="4DE28704" w14:textId="59BA74D1" w:rsidR="003210FB" w:rsidRPr="008A0812" w:rsidRDefault="003210FB" w:rsidP="003210FB">
      <w:pPr>
        <w:pStyle w:val="Bullet"/>
      </w:pPr>
      <w:r w:rsidRPr="008A0812">
        <w:t>Flow to the remaining Unit 2 train can bypass the primary clarifier and be sent directly to the reactor bays as required on a temporary basis for maintenance of the primary clarifier, or Unit 2S can be brought back online as need</w:t>
      </w:r>
      <w:r w:rsidR="00371A05" w:rsidRPr="008A0812">
        <w:t>ed</w:t>
      </w:r>
      <w:r w:rsidRPr="008A0812">
        <w:t>.</w:t>
      </w:r>
    </w:p>
    <w:p w14:paraId="44357F24" w14:textId="77777777" w:rsidR="00DD30AF" w:rsidRPr="008A0812" w:rsidRDefault="00DD30AF" w:rsidP="004776AB">
      <w:pPr>
        <w:pStyle w:val="Bullet"/>
      </w:pPr>
      <w:r w:rsidRPr="008A0812">
        <w:t xml:space="preserve">Any pair of reactor bays can be taken off-line for maintenance without significantly impacting treatment ability. </w:t>
      </w:r>
    </w:p>
    <w:p w14:paraId="535B5C85" w14:textId="77777777" w:rsidR="00DD30AF" w:rsidRPr="008A0812" w:rsidRDefault="00DD30AF" w:rsidP="004776AB">
      <w:pPr>
        <w:pStyle w:val="Bullet"/>
      </w:pPr>
      <w:r w:rsidRPr="008A0812">
        <w:t>Unit 1 can operate temporarily with a single secondary clarifier.</w:t>
      </w:r>
    </w:p>
    <w:p w14:paraId="72F94F5A" w14:textId="77777777" w:rsidR="00DD30AF" w:rsidRPr="008A0812" w:rsidRDefault="00DD30AF" w:rsidP="004776AB">
      <w:pPr>
        <w:pStyle w:val="Bullet"/>
      </w:pPr>
      <w:r w:rsidRPr="008A0812">
        <w:t xml:space="preserve">The cross-connection between the Unit 2 secondary clarifiers has been restored so both can remain on-line. </w:t>
      </w:r>
    </w:p>
    <w:p w14:paraId="26B02EAB" w14:textId="4522D1ED" w:rsidR="00DD30AF" w:rsidRPr="008A0812" w:rsidRDefault="00DD30AF" w:rsidP="00011F52">
      <w:pPr>
        <w:pStyle w:val="BodyText"/>
      </w:pPr>
      <w:r w:rsidRPr="008A0812">
        <w:t xml:space="preserve">Taking one of the Unit 2 trains offline will result in a reduction in both annual operational cost </w:t>
      </w:r>
      <w:r w:rsidR="00273546" w:rsidRPr="008A0812">
        <w:t>and the capital upgrades need to keep the unit running in the long term</w:t>
      </w:r>
      <w:r w:rsidRPr="008A0812">
        <w:t xml:space="preserve">. Operational savings are estimated to be approximately $173,000 per year (based on the current budget) and result primarily from a reduction in electrical use from taking the aeration system offline. There are also modest reductions in equipment repairs, materials, and supplies. No reduction in personnel is assumed in this analysis as the overall number of operations tasks would not be significantly reduced. Estimated operational savings due to removing Unit 2S from service are summarized in </w:t>
      </w:r>
      <w:r w:rsidR="00011F52" w:rsidRPr="008A0812">
        <w:fldChar w:fldCharType="begin"/>
      </w:r>
      <w:r w:rsidR="00011F52" w:rsidRPr="008A0812">
        <w:instrText xml:space="preserve"> REF _Ref36402589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8</w:t>
      </w:r>
      <w:r w:rsidR="00011F52" w:rsidRPr="008A0812">
        <w:fldChar w:fldCharType="end"/>
      </w:r>
      <w:r w:rsidRPr="008A0812">
        <w:t xml:space="preserve">. </w:t>
      </w:r>
    </w:p>
    <w:p w14:paraId="10854072" w14:textId="06A3F6FB" w:rsidR="00011F52" w:rsidRPr="008A0812" w:rsidRDefault="00011F52" w:rsidP="00011F52">
      <w:pPr>
        <w:pStyle w:val="TableHeading"/>
      </w:pPr>
      <w:bookmarkStart w:id="592" w:name="_Ref36402589"/>
      <w:bookmarkStart w:id="593" w:name="_Toc36414112"/>
      <w:bookmarkStart w:id="594" w:name="_Toc41684798"/>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8</w:t>
      </w:r>
      <w:r>
        <w:fldChar w:fldCharType="end"/>
      </w:r>
      <w:bookmarkEnd w:id="592"/>
      <w:r w:rsidRPr="008A0812">
        <w:t>: Estimated Operational Savings due to Taking One Unit 2 Train Offline</w:t>
      </w:r>
      <w:bookmarkEnd w:id="593"/>
      <w:bookmarkEnd w:id="594"/>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64"/>
        <w:gridCol w:w="2155"/>
        <w:gridCol w:w="2156"/>
        <w:gridCol w:w="2156"/>
      </w:tblGrid>
      <w:tr w:rsidR="00DD30AF" w:rsidRPr="008A0812" w14:paraId="5E09BE20" w14:textId="77777777" w:rsidTr="004776AB">
        <w:tc>
          <w:tcPr>
            <w:tcW w:w="2864"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4FFB19D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Operational Budget Item</w:t>
            </w:r>
          </w:p>
        </w:tc>
        <w:tc>
          <w:tcPr>
            <w:tcW w:w="2155" w:type="dxa"/>
            <w:tcBorders>
              <w:top w:val="single" w:sz="6" w:space="0" w:color="auto"/>
              <w:left w:val="nil"/>
              <w:bottom w:val="single" w:sz="6" w:space="0" w:color="auto"/>
              <w:right w:val="single" w:sz="6" w:space="0" w:color="auto"/>
            </w:tcBorders>
            <w:shd w:val="clear" w:color="auto" w:fill="BFBFBF"/>
            <w:vAlign w:val="bottom"/>
            <w:hideMark/>
          </w:tcPr>
          <w:p w14:paraId="6F1BC83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Current</w:t>
            </w:r>
            <w:r w:rsidRPr="008A0812">
              <w:rPr>
                <w:rFonts w:cs="Segoe UI"/>
              </w:rPr>
              <w:br/>
            </w:r>
            <w:r w:rsidRPr="008A0812">
              <w:rPr>
                <w:rFonts w:cs="Segoe UI"/>
                <w:b/>
                <w:bCs/>
                <w:color w:val="000000"/>
              </w:rPr>
              <w:t>(FY 2019-2020)</w:t>
            </w:r>
          </w:p>
        </w:tc>
        <w:tc>
          <w:tcPr>
            <w:tcW w:w="2156" w:type="dxa"/>
            <w:tcBorders>
              <w:top w:val="single" w:sz="6" w:space="0" w:color="auto"/>
              <w:left w:val="nil"/>
              <w:bottom w:val="single" w:sz="6" w:space="0" w:color="auto"/>
              <w:right w:val="single" w:sz="6" w:space="0" w:color="auto"/>
            </w:tcBorders>
            <w:shd w:val="clear" w:color="auto" w:fill="BFBFBF"/>
            <w:vAlign w:val="bottom"/>
            <w:hideMark/>
          </w:tcPr>
          <w:p w14:paraId="17DBCD48"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Estimated Savings ($)</w:t>
            </w:r>
          </w:p>
        </w:tc>
        <w:tc>
          <w:tcPr>
            <w:tcW w:w="2156" w:type="dxa"/>
            <w:tcBorders>
              <w:top w:val="single" w:sz="6" w:space="0" w:color="auto"/>
              <w:left w:val="nil"/>
              <w:bottom w:val="single" w:sz="6" w:space="0" w:color="auto"/>
              <w:right w:val="single" w:sz="6" w:space="0" w:color="auto"/>
            </w:tcBorders>
            <w:shd w:val="clear" w:color="auto" w:fill="BFBFBF"/>
            <w:vAlign w:val="bottom"/>
            <w:hideMark/>
          </w:tcPr>
          <w:p w14:paraId="665EEFBD"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Estimated</w:t>
            </w:r>
          </w:p>
          <w:p w14:paraId="6320026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color w:val="000000"/>
              </w:rPr>
              <w:t>Savings (%)</w:t>
            </w:r>
          </w:p>
        </w:tc>
      </w:tr>
      <w:tr w:rsidR="00DD30AF" w:rsidRPr="008A0812" w14:paraId="573441C5"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36CFCA1C"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Personnel</w:t>
            </w:r>
          </w:p>
        </w:tc>
        <w:tc>
          <w:tcPr>
            <w:tcW w:w="2155" w:type="dxa"/>
            <w:tcBorders>
              <w:top w:val="nil"/>
              <w:left w:val="nil"/>
              <w:bottom w:val="single" w:sz="6" w:space="0" w:color="auto"/>
              <w:right w:val="single" w:sz="6" w:space="0" w:color="auto"/>
            </w:tcBorders>
            <w:shd w:val="clear" w:color="auto" w:fill="auto"/>
            <w:tcMar>
              <w:right w:w="144" w:type="dxa"/>
            </w:tcMar>
            <w:hideMark/>
          </w:tcPr>
          <w:p w14:paraId="5C897102"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$ 6,037,328 </w:t>
            </w:r>
          </w:p>
        </w:tc>
        <w:tc>
          <w:tcPr>
            <w:tcW w:w="2156" w:type="dxa"/>
            <w:tcBorders>
              <w:top w:val="nil"/>
              <w:left w:val="nil"/>
              <w:bottom w:val="single" w:sz="6" w:space="0" w:color="auto"/>
              <w:right w:val="single" w:sz="6" w:space="0" w:color="auto"/>
            </w:tcBorders>
            <w:shd w:val="clear" w:color="auto" w:fill="auto"/>
            <w:tcMar>
              <w:right w:w="144" w:type="dxa"/>
            </w:tcMar>
            <w:hideMark/>
          </w:tcPr>
          <w:p w14:paraId="1FC13597"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5231AFD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7FDA6438"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0ACBFAE9"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Utilities Electric</w:t>
            </w:r>
          </w:p>
        </w:tc>
        <w:tc>
          <w:tcPr>
            <w:tcW w:w="2155" w:type="dxa"/>
            <w:tcBorders>
              <w:top w:val="nil"/>
              <w:left w:val="nil"/>
              <w:bottom w:val="single" w:sz="6" w:space="0" w:color="auto"/>
              <w:right w:val="single" w:sz="6" w:space="0" w:color="auto"/>
            </w:tcBorders>
            <w:shd w:val="clear" w:color="auto" w:fill="auto"/>
            <w:tcMar>
              <w:right w:w="144" w:type="dxa"/>
            </w:tcMar>
            <w:hideMark/>
          </w:tcPr>
          <w:p w14:paraId="4E65760A"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$ 2,125,000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256E3CB8"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$101,000 </w:t>
            </w:r>
          </w:p>
        </w:tc>
        <w:tc>
          <w:tcPr>
            <w:tcW w:w="2156" w:type="dxa"/>
            <w:tcBorders>
              <w:top w:val="nil"/>
              <w:left w:val="nil"/>
              <w:bottom w:val="single" w:sz="6" w:space="0" w:color="auto"/>
              <w:right w:val="single" w:sz="6" w:space="0" w:color="auto"/>
            </w:tcBorders>
            <w:shd w:val="clear" w:color="auto" w:fill="auto"/>
            <w:hideMark/>
          </w:tcPr>
          <w:p w14:paraId="111C2594"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5%</w:t>
            </w:r>
          </w:p>
        </w:tc>
      </w:tr>
      <w:tr w:rsidR="00DD30AF" w:rsidRPr="008A0812" w14:paraId="07C16440"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7843C727"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Materials &amp; Supplies</w:t>
            </w:r>
          </w:p>
        </w:tc>
        <w:tc>
          <w:tcPr>
            <w:tcW w:w="2155" w:type="dxa"/>
            <w:tcBorders>
              <w:top w:val="nil"/>
              <w:left w:val="nil"/>
              <w:bottom w:val="single" w:sz="6" w:space="0" w:color="auto"/>
              <w:right w:val="single" w:sz="6" w:space="0" w:color="auto"/>
            </w:tcBorders>
            <w:shd w:val="clear" w:color="auto" w:fill="auto"/>
            <w:tcMar>
              <w:right w:w="144" w:type="dxa"/>
            </w:tcMar>
            <w:hideMark/>
          </w:tcPr>
          <w:p w14:paraId="5B3C2B76"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$ 265,000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2E5C374B"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$13,000 </w:t>
            </w:r>
          </w:p>
        </w:tc>
        <w:tc>
          <w:tcPr>
            <w:tcW w:w="2156" w:type="dxa"/>
            <w:tcBorders>
              <w:top w:val="nil"/>
              <w:left w:val="nil"/>
              <w:bottom w:val="single" w:sz="6" w:space="0" w:color="auto"/>
              <w:right w:val="single" w:sz="6" w:space="0" w:color="auto"/>
            </w:tcBorders>
            <w:shd w:val="clear" w:color="auto" w:fill="auto"/>
            <w:hideMark/>
          </w:tcPr>
          <w:p w14:paraId="22C20187"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5%</w:t>
            </w:r>
          </w:p>
        </w:tc>
      </w:tr>
      <w:tr w:rsidR="00DD30AF" w:rsidRPr="008A0812" w14:paraId="6BFCCA42"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212F9450"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Ferric Chloride</w:t>
            </w:r>
          </w:p>
        </w:tc>
        <w:tc>
          <w:tcPr>
            <w:tcW w:w="2155" w:type="dxa"/>
            <w:tcBorders>
              <w:top w:val="nil"/>
              <w:left w:val="nil"/>
              <w:bottom w:val="single" w:sz="6" w:space="0" w:color="auto"/>
              <w:right w:val="single" w:sz="6" w:space="0" w:color="auto"/>
            </w:tcBorders>
            <w:shd w:val="clear" w:color="auto" w:fill="auto"/>
            <w:tcMar>
              <w:right w:w="144" w:type="dxa"/>
            </w:tcMar>
            <w:hideMark/>
          </w:tcPr>
          <w:p w14:paraId="39598938"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$ 412,720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3AF2001D"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70FB190C"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7B154F5B"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5BE82B34"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Brineline O&amp;M</w:t>
            </w:r>
          </w:p>
        </w:tc>
        <w:tc>
          <w:tcPr>
            <w:tcW w:w="2155" w:type="dxa"/>
            <w:tcBorders>
              <w:top w:val="nil"/>
              <w:left w:val="nil"/>
              <w:bottom w:val="single" w:sz="6" w:space="0" w:color="auto"/>
              <w:right w:val="single" w:sz="6" w:space="0" w:color="auto"/>
            </w:tcBorders>
            <w:shd w:val="clear" w:color="auto" w:fill="auto"/>
            <w:tcMar>
              <w:right w:w="144" w:type="dxa"/>
            </w:tcMar>
            <w:hideMark/>
          </w:tcPr>
          <w:p w14:paraId="74CE5303"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$ 205,170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2A53943A"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636A2B8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6FAF7E30"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7B924A6B"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Contract Serv (biosolids)</w:t>
            </w:r>
          </w:p>
        </w:tc>
        <w:tc>
          <w:tcPr>
            <w:tcW w:w="2155" w:type="dxa"/>
            <w:tcBorders>
              <w:top w:val="nil"/>
              <w:left w:val="nil"/>
              <w:bottom w:val="single" w:sz="6" w:space="0" w:color="auto"/>
              <w:right w:val="single" w:sz="6" w:space="0" w:color="auto"/>
            </w:tcBorders>
            <w:shd w:val="clear" w:color="auto" w:fill="auto"/>
            <w:tcMar>
              <w:right w:w="144" w:type="dxa"/>
            </w:tcMar>
            <w:hideMark/>
          </w:tcPr>
          <w:p w14:paraId="363DEE85"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$ 1,043,410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00F443B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35D60CA2"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751CA2A7"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3A88ECDA"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Polymer</w:t>
            </w:r>
          </w:p>
        </w:tc>
        <w:tc>
          <w:tcPr>
            <w:tcW w:w="2155" w:type="dxa"/>
            <w:tcBorders>
              <w:top w:val="nil"/>
              <w:left w:val="nil"/>
              <w:bottom w:val="single" w:sz="6" w:space="0" w:color="auto"/>
              <w:right w:val="single" w:sz="6" w:space="0" w:color="auto"/>
            </w:tcBorders>
            <w:shd w:val="clear" w:color="auto" w:fill="auto"/>
            <w:tcMar>
              <w:right w:w="144" w:type="dxa"/>
            </w:tcMar>
            <w:hideMark/>
          </w:tcPr>
          <w:p w14:paraId="31F332F3"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$ 839,000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59F66041"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5BD77E7F"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691AD14B"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6698DCAC"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Inspection Services</w:t>
            </w:r>
          </w:p>
        </w:tc>
        <w:tc>
          <w:tcPr>
            <w:tcW w:w="2155" w:type="dxa"/>
            <w:tcBorders>
              <w:top w:val="nil"/>
              <w:left w:val="nil"/>
              <w:bottom w:val="single" w:sz="6" w:space="0" w:color="auto"/>
              <w:right w:val="single" w:sz="6" w:space="0" w:color="auto"/>
            </w:tcBorders>
            <w:shd w:val="clear" w:color="auto" w:fill="auto"/>
            <w:tcMar>
              <w:right w:w="144" w:type="dxa"/>
            </w:tcMar>
            <w:hideMark/>
          </w:tcPr>
          <w:p w14:paraId="1156A401"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$ 54,000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43DE74F5"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4839B67E"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4465B4BD"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44DC1C10"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Equip. parts &amp; supplies</w:t>
            </w:r>
          </w:p>
        </w:tc>
        <w:tc>
          <w:tcPr>
            <w:tcW w:w="2155" w:type="dxa"/>
            <w:tcBorders>
              <w:top w:val="nil"/>
              <w:left w:val="nil"/>
              <w:bottom w:val="single" w:sz="6" w:space="0" w:color="auto"/>
              <w:right w:val="single" w:sz="6" w:space="0" w:color="auto"/>
            </w:tcBorders>
            <w:shd w:val="clear" w:color="auto" w:fill="auto"/>
            <w:tcMar>
              <w:right w:w="144" w:type="dxa"/>
            </w:tcMar>
            <w:hideMark/>
          </w:tcPr>
          <w:p w14:paraId="4B2D6848"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$ 120,000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28065D29"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$10,000 </w:t>
            </w:r>
          </w:p>
        </w:tc>
        <w:tc>
          <w:tcPr>
            <w:tcW w:w="2156" w:type="dxa"/>
            <w:tcBorders>
              <w:top w:val="nil"/>
              <w:left w:val="nil"/>
              <w:bottom w:val="single" w:sz="6" w:space="0" w:color="auto"/>
              <w:right w:val="single" w:sz="6" w:space="0" w:color="auto"/>
            </w:tcBorders>
            <w:shd w:val="clear" w:color="auto" w:fill="auto"/>
            <w:hideMark/>
          </w:tcPr>
          <w:p w14:paraId="1730C0EB"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8%</w:t>
            </w:r>
          </w:p>
        </w:tc>
      </w:tr>
      <w:tr w:rsidR="00DD30AF" w:rsidRPr="008A0812" w14:paraId="662AFB8C"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0CD38770"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Equip. repairs</w:t>
            </w:r>
          </w:p>
        </w:tc>
        <w:tc>
          <w:tcPr>
            <w:tcW w:w="2155" w:type="dxa"/>
            <w:tcBorders>
              <w:top w:val="nil"/>
              <w:left w:val="nil"/>
              <w:bottom w:val="single" w:sz="6" w:space="0" w:color="auto"/>
              <w:right w:val="single" w:sz="6" w:space="0" w:color="auto"/>
            </w:tcBorders>
            <w:shd w:val="clear" w:color="auto" w:fill="auto"/>
            <w:tcMar>
              <w:right w:w="144" w:type="dxa"/>
            </w:tcMar>
            <w:hideMark/>
          </w:tcPr>
          <w:p w14:paraId="29FF7FD2"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$ 129,500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49D7749A"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$11,000 </w:t>
            </w:r>
          </w:p>
        </w:tc>
        <w:tc>
          <w:tcPr>
            <w:tcW w:w="2156" w:type="dxa"/>
            <w:tcBorders>
              <w:top w:val="nil"/>
              <w:left w:val="nil"/>
              <w:bottom w:val="single" w:sz="6" w:space="0" w:color="auto"/>
              <w:right w:val="single" w:sz="6" w:space="0" w:color="auto"/>
            </w:tcBorders>
            <w:shd w:val="clear" w:color="auto" w:fill="auto"/>
            <w:hideMark/>
          </w:tcPr>
          <w:p w14:paraId="69A12590"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8%</w:t>
            </w:r>
          </w:p>
        </w:tc>
      </w:tr>
      <w:tr w:rsidR="00DD30AF" w:rsidRPr="008A0812" w14:paraId="31D43DCD"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1A011BD4"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Street repairs</w:t>
            </w:r>
          </w:p>
        </w:tc>
        <w:tc>
          <w:tcPr>
            <w:tcW w:w="2155" w:type="dxa"/>
            <w:tcBorders>
              <w:top w:val="nil"/>
              <w:left w:val="nil"/>
              <w:bottom w:val="single" w:sz="6" w:space="0" w:color="auto"/>
              <w:right w:val="single" w:sz="6" w:space="0" w:color="auto"/>
            </w:tcBorders>
            <w:shd w:val="clear" w:color="auto" w:fill="auto"/>
            <w:tcMar>
              <w:right w:w="144" w:type="dxa"/>
            </w:tcMar>
            <w:hideMark/>
          </w:tcPr>
          <w:p w14:paraId="3795520F"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$ 120,000 </w:t>
            </w:r>
          </w:p>
        </w:tc>
        <w:tc>
          <w:tcPr>
            <w:tcW w:w="2156" w:type="dxa"/>
            <w:tcBorders>
              <w:top w:val="nil"/>
              <w:left w:val="nil"/>
              <w:bottom w:val="single" w:sz="6" w:space="0" w:color="auto"/>
              <w:right w:val="single" w:sz="6" w:space="0" w:color="auto"/>
            </w:tcBorders>
            <w:shd w:val="clear" w:color="auto" w:fill="auto"/>
            <w:tcMar>
              <w:right w:w="144" w:type="dxa"/>
            </w:tcMar>
            <w:hideMark/>
          </w:tcPr>
          <w:p w14:paraId="7679CC35"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N/A </w:t>
            </w:r>
          </w:p>
        </w:tc>
        <w:tc>
          <w:tcPr>
            <w:tcW w:w="2156" w:type="dxa"/>
            <w:tcBorders>
              <w:top w:val="nil"/>
              <w:left w:val="nil"/>
              <w:bottom w:val="single" w:sz="6" w:space="0" w:color="auto"/>
              <w:right w:val="single" w:sz="6" w:space="0" w:color="auto"/>
            </w:tcBorders>
            <w:shd w:val="clear" w:color="auto" w:fill="auto"/>
            <w:hideMark/>
          </w:tcPr>
          <w:p w14:paraId="399C0763"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N/A</w:t>
            </w:r>
          </w:p>
        </w:tc>
      </w:tr>
      <w:tr w:rsidR="00DD30AF" w:rsidRPr="008A0812" w14:paraId="700421F8"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3653BD56"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rPr>
              <w:t>Other</w:t>
            </w:r>
          </w:p>
        </w:tc>
        <w:tc>
          <w:tcPr>
            <w:tcW w:w="2155" w:type="dxa"/>
            <w:tcBorders>
              <w:top w:val="nil"/>
              <w:left w:val="nil"/>
              <w:bottom w:val="single" w:sz="6" w:space="0" w:color="auto"/>
              <w:right w:val="single" w:sz="6" w:space="0" w:color="auto"/>
            </w:tcBorders>
            <w:shd w:val="clear" w:color="auto" w:fill="auto"/>
            <w:tcMar>
              <w:right w:w="144" w:type="dxa"/>
            </w:tcMar>
            <w:hideMark/>
          </w:tcPr>
          <w:p w14:paraId="45935A3E"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$ 783,993 </w:t>
            </w:r>
          </w:p>
        </w:tc>
        <w:tc>
          <w:tcPr>
            <w:tcW w:w="2156" w:type="dxa"/>
            <w:tcBorders>
              <w:top w:val="nil"/>
              <w:left w:val="nil"/>
              <w:bottom w:val="single" w:sz="6" w:space="0" w:color="auto"/>
              <w:right w:val="single" w:sz="6" w:space="0" w:color="auto"/>
            </w:tcBorders>
            <w:shd w:val="clear" w:color="auto" w:fill="auto"/>
            <w:tcMar>
              <w:right w:w="144" w:type="dxa"/>
            </w:tcMar>
            <w:hideMark/>
          </w:tcPr>
          <w:p w14:paraId="40F9D9BC"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rPr>
              <w:t xml:space="preserve"> $38,000 </w:t>
            </w:r>
          </w:p>
        </w:tc>
        <w:tc>
          <w:tcPr>
            <w:tcW w:w="2156" w:type="dxa"/>
            <w:tcBorders>
              <w:top w:val="nil"/>
              <w:left w:val="nil"/>
              <w:bottom w:val="single" w:sz="6" w:space="0" w:color="auto"/>
              <w:right w:val="single" w:sz="6" w:space="0" w:color="auto"/>
            </w:tcBorders>
            <w:shd w:val="clear" w:color="auto" w:fill="auto"/>
            <w:hideMark/>
          </w:tcPr>
          <w:p w14:paraId="4C22D9A3"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rPr>
              <w:t>5%</w:t>
            </w:r>
          </w:p>
        </w:tc>
      </w:tr>
      <w:tr w:rsidR="00DD30AF" w:rsidRPr="008A0812" w14:paraId="10232BC8" w14:textId="77777777" w:rsidTr="004776AB">
        <w:tc>
          <w:tcPr>
            <w:tcW w:w="2864" w:type="dxa"/>
            <w:tcBorders>
              <w:top w:val="nil"/>
              <w:left w:val="single" w:sz="6" w:space="0" w:color="auto"/>
              <w:bottom w:val="single" w:sz="6" w:space="0" w:color="auto"/>
              <w:right w:val="single" w:sz="6" w:space="0" w:color="auto"/>
            </w:tcBorders>
            <w:shd w:val="clear" w:color="auto" w:fill="auto"/>
            <w:tcMar>
              <w:left w:w="72" w:type="dxa"/>
            </w:tcMar>
            <w:hideMark/>
          </w:tcPr>
          <w:p w14:paraId="69982C8A" w14:textId="77777777" w:rsidR="00DD30AF" w:rsidRPr="008A0812" w:rsidRDefault="00DD30AF" w:rsidP="004776AB">
            <w:pPr>
              <w:overflowPunct/>
              <w:autoSpaceDE/>
              <w:autoSpaceDN/>
              <w:adjustRightInd/>
              <w:rPr>
                <w:rFonts w:ascii="Segoe UI" w:hAnsi="Segoe UI" w:cs="Segoe UI"/>
                <w:sz w:val="18"/>
                <w:szCs w:val="18"/>
              </w:rPr>
            </w:pPr>
            <w:r w:rsidRPr="008A0812">
              <w:rPr>
                <w:rFonts w:cs="Segoe UI"/>
                <w:b/>
                <w:bCs/>
              </w:rPr>
              <w:t>Total</w:t>
            </w:r>
          </w:p>
        </w:tc>
        <w:tc>
          <w:tcPr>
            <w:tcW w:w="2155" w:type="dxa"/>
            <w:tcBorders>
              <w:top w:val="nil"/>
              <w:left w:val="nil"/>
              <w:bottom w:val="single" w:sz="6" w:space="0" w:color="auto"/>
              <w:right w:val="single" w:sz="6" w:space="0" w:color="auto"/>
            </w:tcBorders>
            <w:shd w:val="clear" w:color="auto" w:fill="auto"/>
            <w:tcMar>
              <w:right w:w="144" w:type="dxa"/>
            </w:tcMar>
            <w:hideMark/>
          </w:tcPr>
          <w:p w14:paraId="0DF1974F"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b/>
                <w:bCs/>
              </w:rPr>
              <w:t>$12,135,121</w:t>
            </w:r>
            <w:r w:rsidRPr="008A0812">
              <w:rPr>
                <w:rFonts w:cs="Segoe UI"/>
              </w:rPr>
              <w:t> </w:t>
            </w:r>
          </w:p>
        </w:tc>
        <w:tc>
          <w:tcPr>
            <w:tcW w:w="2156" w:type="dxa"/>
            <w:tcBorders>
              <w:top w:val="nil"/>
              <w:left w:val="nil"/>
              <w:bottom w:val="single" w:sz="6" w:space="0" w:color="auto"/>
              <w:right w:val="single" w:sz="6" w:space="0" w:color="auto"/>
            </w:tcBorders>
            <w:shd w:val="clear" w:color="auto" w:fill="auto"/>
            <w:tcMar>
              <w:right w:w="144" w:type="dxa"/>
            </w:tcMar>
            <w:hideMark/>
          </w:tcPr>
          <w:p w14:paraId="084657C4" w14:textId="77777777" w:rsidR="00DD30AF" w:rsidRPr="008A0812" w:rsidRDefault="00DD30AF" w:rsidP="004776AB">
            <w:pPr>
              <w:overflowPunct/>
              <w:autoSpaceDE/>
              <w:autoSpaceDN/>
              <w:adjustRightInd/>
              <w:jc w:val="right"/>
              <w:rPr>
                <w:rFonts w:ascii="Segoe UI" w:hAnsi="Segoe UI" w:cs="Segoe UI"/>
                <w:sz w:val="18"/>
                <w:szCs w:val="18"/>
              </w:rPr>
            </w:pPr>
            <w:r w:rsidRPr="008A0812">
              <w:rPr>
                <w:rFonts w:cs="Segoe UI"/>
                <w:b/>
                <w:bCs/>
              </w:rPr>
              <w:t xml:space="preserve"> $173,000 </w:t>
            </w:r>
          </w:p>
        </w:tc>
        <w:tc>
          <w:tcPr>
            <w:tcW w:w="2156" w:type="dxa"/>
            <w:tcBorders>
              <w:top w:val="nil"/>
              <w:left w:val="nil"/>
              <w:bottom w:val="single" w:sz="6" w:space="0" w:color="auto"/>
              <w:right w:val="single" w:sz="6" w:space="0" w:color="auto"/>
            </w:tcBorders>
            <w:shd w:val="clear" w:color="auto" w:fill="auto"/>
            <w:hideMark/>
          </w:tcPr>
          <w:p w14:paraId="0DA1B82C" w14:textId="77777777" w:rsidR="00DD30AF" w:rsidRPr="008A0812" w:rsidRDefault="00DD30AF" w:rsidP="004776AB">
            <w:pPr>
              <w:overflowPunct/>
              <w:autoSpaceDE/>
              <w:autoSpaceDN/>
              <w:adjustRightInd/>
              <w:jc w:val="center"/>
              <w:rPr>
                <w:rFonts w:ascii="Segoe UI" w:hAnsi="Segoe UI" w:cs="Segoe UI"/>
                <w:sz w:val="18"/>
                <w:szCs w:val="18"/>
              </w:rPr>
            </w:pPr>
            <w:r w:rsidRPr="008A0812">
              <w:rPr>
                <w:rFonts w:cs="Segoe UI"/>
                <w:b/>
                <w:bCs/>
              </w:rPr>
              <w:t>1%</w:t>
            </w:r>
          </w:p>
        </w:tc>
      </w:tr>
    </w:tbl>
    <w:p w14:paraId="3053492F" w14:textId="34E4C5B4" w:rsidR="00DD30AF" w:rsidRPr="008A0812" w:rsidRDefault="00DD30AF" w:rsidP="004776AB">
      <w:pPr>
        <w:pStyle w:val="BodyText"/>
      </w:pPr>
      <w:r w:rsidRPr="008A0812">
        <w:t xml:space="preserve">For capital upgrades, it is assumed that all the near-term (5-year) capital improvements identified in the condition assessment will need to occur to keep both trains of Unit 2 operational until the projected reduction in flow when the SNRC </w:t>
      </w:r>
      <w:r w:rsidR="00121DE4" w:rsidRPr="008A0812">
        <w:t>begins operations</w:t>
      </w:r>
      <w:r w:rsidRPr="008A0812">
        <w:t xml:space="preserve">. </w:t>
      </w:r>
    </w:p>
    <w:p w14:paraId="0709C609" w14:textId="77777777" w:rsidR="00273546" w:rsidRPr="008A0812" w:rsidRDefault="00273546" w:rsidP="00273546">
      <w:pPr>
        <w:pStyle w:val="BodyText"/>
      </w:pPr>
      <w:r w:rsidRPr="008A0812">
        <w:t>The savings will come in years 6 through 20, where projects for either Unit 2N or 2S could be deferred until past the 20-year planning timeframe. During this period the off-line unit will likely become sufficiently deteriorated and obsolete that it is not worth returning to service. If its capacity is needed in the future it would most likely be replaced by a new unit.</w:t>
      </w:r>
    </w:p>
    <w:p w14:paraId="1CFEFB6C" w14:textId="77777777" w:rsidR="00273546" w:rsidRPr="008A0812" w:rsidRDefault="00273546" w:rsidP="00273546">
      <w:pPr>
        <w:pStyle w:val="BodyText"/>
      </w:pPr>
      <w:r w:rsidRPr="008A0812">
        <w:t>The total costs in years 6 through 20 for Unit 2N and 2S are $1.2 and $1.1 million, respectively. These costs are indistinguishable at the conceptual level of the analysis, so more detailed analysis would be required to determine which train is more cost-effective to take offline.</w:t>
      </w:r>
    </w:p>
    <w:p w14:paraId="09C61DFF" w14:textId="77777777" w:rsidR="00DD30AF" w:rsidRPr="008A0812" w:rsidRDefault="00DD30AF" w:rsidP="004776AB">
      <w:pPr>
        <w:pStyle w:val="BodyText"/>
      </w:pPr>
      <w:r w:rsidRPr="008A0812">
        <w:t>Additional upgrades (such as restoring the interconnect between the Unit 2 secondary clarifiers) will also need to be completed before half of Unit 2 can be taken offline. The conceptual cost estimate for this alternative includes an allowance of $200,000 for these upgrades. A more detailed preliminary design effort should be performed to refine this cost.</w:t>
      </w:r>
    </w:p>
    <w:p w14:paraId="1E5EAFEB" w14:textId="0F84782D" w:rsidR="00DD30AF" w:rsidRPr="008A0812" w:rsidRDefault="00DD30AF" w:rsidP="00011F52">
      <w:pPr>
        <w:pStyle w:val="BodyText"/>
      </w:pPr>
      <w:r w:rsidRPr="008A0812">
        <w:t xml:space="preserve">Cost impacts for this option are summarized in the </w:t>
      </w:r>
      <w:r w:rsidR="00011F52" w:rsidRPr="008A0812">
        <w:fldChar w:fldCharType="begin"/>
      </w:r>
      <w:r w:rsidR="00011F52" w:rsidRPr="008A0812">
        <w:instrText xml:space="preserve"> REF _Ref36402684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9</w:t>
      </w:r>
      <w:r w:rsidR="00011F52" w:rsidRPr="008A0812">
        <w:fldChar w:fldCharType="end"/>
      </w:r>
      <w:r w:rsidRPr="008A0812">
        <w:t>.</w:t>
      </w:r>
    </w:p>
    <w:p w14:paraId="49820F57" w14:textId="7B9BC2A4" w:rsidR="00011F52" w:rsidRPr="008A0812" w:rsidRDefault="00011F52" w:rsidP="00011F52">
      <w:pPr>
        <w:pStyle w:val="TableHeading"/>
      </w:pPr>
      <w:bookmarkStart w:id="595" w:name="_Ref36402684"/>
      <w:bookmarkStart w:id="596" w:name="_Toc36414113"/>
      <w:bookmarkStart w:id="597" w:name="_Toc41684799"/>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9</w:t>
      </w:r>
      <w:r>
        <w:fldChar w:fldCharType="end"/>
      </w:r>
      <w:bookmarkEnd w:id="595"/>
      <w:r w:rsidRPr="008A0812">
        <w:t>: Summary of Cost Impacts of Secondary Capacity Reduction</w:t>
      </w:r>
      <w:bookmarkEnd w:id="596"/>
      <w:bookmarkEnd w:id="597"/>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76"/>
        <w:gridCol w:w="3455"/>
      </w:tblGrid>
      <w:tr w:rsidR="00DD30AF" w:rsidRPr="008A0812" w14:paraId="5D345E10" w14:textId="77777777" w:rsidTr="004776AB">
        <w:tc>
          <w:tcPr>
            <w:tcW w:w="5876" w:type="dxa"/>
            <w:tcBorders>
              <w:top w:val="single" w:sz="6" w:space="0" w:color="auto"/>
              <w:left w:val="single" w:sz="6" w:space="0" w:color="auto"/>
              <w:bottom w:val="single" w:sz="6" w:space="0" w:color="auto"/>
              <w:right w:val="single" w:sz="6" w:space="0" w:color="auto"/>
            </w:tcBorders>
            <w:shd w:val="clear" w:color="auto" w:fill="BFBFBF"/>
            <w:vAlign w:val="bottom"/>
            <w:hideMark/>
          </w:tcPr>
          <w:p w14:paraId="318F7A8D" w14:textId="451FC3C2" w:rsidR="00DD30AF" w:rsidRPr="008A0812" w:rsidRDefault="00DD30AF" w:rsidP="004776AB">
            <w:pPr>
              <w:keepNext/>
              <w:overflowPunct/>
              <w:autoSpaceDE/>
              <w:autoSpaceDN/>
              <w:adjustRightInd/>
              <w:jc w:val="center"/>
              <w:rPr>
                <w:rFonts w:ascii="Segoe UI" w:hAnsi="Segoe UI" w:cs="Segoe UI"/>
                <w:sz w:val="18"/>
                <w:szCs w:val="18"/>
              </w:rPr>
            </w:pPr>
            <w:r w:rsidRPr="008A0812">
              <w:rPr>
                <w:rFonts w:cs="Segoe UI"/>
                <w:b/>
                <w:bCs/>
              </w:rPr>
              <w:t xml:space="preserve">Operational </w:t>
            </w:r>
            <w:r w:rsidR="0028425C" w:rsidRPr="008A0812">
              <w:rPr>
                <w:rFonts w:cs="Segoe UI"/>
                <w:b/>
                <w:bCs/>
              </w:rPr>
              <w:t>Impact</w:t>
            </w:r>
          </w:p>
        </w:tc>
        <w:tc>
          <w:tcPr>
            <w:tcW w:w="3455" w:type="dxa"/>
            <w:tcBorders>
              <w:top w:val="single" w:sz="6" w:space="0" w:color="auto"/>
              <w:left w:val="nil"/>
              <w:bottom w:val="single" w:sz="6" w:space="0" w:color="auto"/>
              <w:right w:val="single" w:sz="6" w:space="0" w:color="auto"/>
            </w:tcBorders>
            <w:shd w:val="clear" w:color="auto" w:fill="BFBFBF"/>
            <w:vAlign w:val="bottom"/>
          </w:tcPr>
          <w:p w14:paraId="685D4531" w14:textId="6EA5B3BA" w:rsidR="00DD30AF" w:rsidRPr="008A0812" w:rsidRDefault="00DD30AF" w:rsidP="004776AB">
            <w:pPr>
              <w:keepNext/>
              <w:overflowPunct/>
              <w:autoSpaceDE/>
              <w:autoSpaceDN/>
              <w:adjustRightInd/>
              <w:jc w:val="center"/>
              <w:rPr>
                <w:rFonts w:ascii="Segoe UI" w:hAnsi="Segoe UI" w:cs="Segoe UI"/>
                <w:sz w:val="18"/>
                <w:szCs w:val="18"/>
              </w:rPr>
            </w:pPr>
            <w:r w:rsidRPr="008A0812">
              <w:rPr>
                <w:rFonts w:cs="Segoe UI"/>
                <w:b/>
                <w:bCs/>
              </w:rPr>
              <w:t xml:space="preserve">Annual </w:t>
            </w:r>
            <w:r w:rsidR="0028425C" w:rsidRPr="008A0812">
              <w:rPr>
                <w:rFonts w:cs="Segoe UI"/>
                <w:b/>
                <w:bCs/>
              </w:rPr>
              <w:t>Savings</w:t>
            </w:r>
          </w:p>
        </w:tc>
      </w:tr>
      <w:tr w:rsidR="00DD30AF" w:rsidRPr="008A0812" w14:paraId="50895304" w14:textId="77777777" w:rsidTr="004776AB">
        <w:tc>
          <w:tcPr>
            <w:tcW w:w="5876" w:type="dxa"/>
            <w:tcBorders>
              <w:top w:val="nil"/>
              <w:left w:val="single" w:sz="6" w:space="0" w:color="auto"/>
              <w:bottom w:val="single" w:sz="6" w:space="0" w:color="auto"/>
              <w:right w:val="single" w:sz="6" w:space="0" w:color="auto"/>
            </w:tcBorders>
            <w:shd w:val="clear" w:color="auto" w:fill="auto"/>
            <w:tcMar>
              <w:left w:w="72" w:type="dxa"/>
            </w:tcMar>
            <w:hideMark/>
          </w:tcPr>
          <w:p w14:paraId="3D096FEB" w14:textId="77777777" w:rsidR="00DD30AF" w:rsidRPr="008A0812" w:rsidRDefault="00DD30AF" w:rsidP="004776AB">
            <w:pPr>
              <w:keepNext/>
              <w:overflowPunct/>
              <w:autoSpaceDE/>
              <w:autoSpaceDN/>
              <w:adjustRightInd/>
              <w:rPr>
                <w:rFonts w:ascii="Segoe UI" w:hAnsi="Segoe UI" w:cs="Segoe UI"/>
                <w:sz w:val="18"/>
                <w:szCs w:val="18"/>
              </w:rPr>
            </w:pPr>
            <w:r w:rsidRPr="008A0812">
              <w:rPr>
                <w:rFonts w:cs="Segoe UI"/>
              </w:rPr>
              <w:t>Operational Savings from Flow Reduction</w:t>
            </w:r>
          </w:p>
        </w:tc>
        <w:tc>
          <w:tcPr>
            <w:tcW w:w="3455" w:type="dxa"/>
            <w:tcBorders>
              <w:top w:val="nil"/>
              <w:left w:val="nil"/>
              <w:bottom w:val="single" w:sz="6" w:space="0" w:color="auto"/>
              <w:right w:val="single" w:sz="6" w:space="0" w:color="auto"/>
            </w:tcBorders>
            <w:shd w:val="clear" w:color="auto" w:fill="auto"/>
          </w:tcPr>
          <w:p w14:paraId="2E1757A0" w14:textId="77777777" w:rsidR="00DD30AF" w:rsidRPr="008A0812" w:rsidRDefault="00DD30AF" w:rsidP="004776AB">
            <w:pPr>
              <w:keepNext/>
              <w:overflowPunct/>
              <w:autoSpaceDE/>
              <w:autoSpaceDN/>
              <w:adjustRightInd/>
              <w:jc w:val="right"/>
              <w:rPr>
                <w:rFonts w:cs="Segoe UI"/>
              </w:rPr>
            </w:pPr>
            <w:r w:rsidRPr="008A0812">
              <w:rPr>
                <w:rFonts w:cs="Segoe UI"/>
              </w:rPr>
              <w:t>$1,100,000</w:t>
            </w:r>
          </w:p>
        </w:tc>
      </w:tr>
      <w:tr w:rsidR="00DD30AF" w:rsidRPr="008A0812" w14:paraId="02F182CC" w14:textId="77777777" w:rsidTr="004776AB">
        <w:tc>
          <w:tcPr>
            <w:tcW w:w="5876" w:type="dxa"/>
            <w:tcBorders>
              <w:top w:val="nil"/>
              <w:left w:val="single" w:sz="6" w:space="0" w:color="auto"/>
              <w:bottom w:val="single" w:sz="6" w:space="0" w:color="auto"/>
              <w:right w:val="single" w:sz="6" w:space="0" w:color="auto"/>
            </w:tcBorders>
            <w:shd w:val="clear" w:color="auto" w:fill="auto"/>
            <w:tcMar>
              <w:left w:w="72" w:type="dxa"/>
            </w:tcMar>
            <w:hideMark/>
          </w:tcPr>
          <w:p w14:paraId="3F429BA4" w14:textId="77777777" w:rsidR="00DD30AF" w:rsidRPr="008A0812" w:rsidRDefault="00DD30AF" w:rsidP="004776AB">
            <w:pPr>
              <w:keepNext/>
              <w:overflowPunct/>
              <w:autoSpaceDE/>
              <w:autoSpaceDN/>
              <w:adjustRightInd/>
              <w:rPr>
                <w:rFonts w:ascii="Segoe UI" w:hAnsi="Segoe UI" w:cs="Segoe UI"/>
                <w:sz w:val="18"/>
                <w:szCs w:val="18"/>
              </w:rPr>
            </w:pPr>
            <w:r w:rsidRPr="008A0812">
              <w:rPr>
                <w:rFonts w:cs="Segoe UI"/>
              </w:rPr>
              <w:t>Operational Savings from Off-Lining One Unit 2 Train</w:t>
            </w:r>
          </w:p>
        </w:tc>
        <w:tc>
          <w:tcPr>
            <w:tcW w:w="3455" w:type="dxa"/>
            <w:tcBorders>
              <w:top w:val="nil"/>
              <w:left w:val="nil"/>
              <w:bottom w:val="single" w:sz="6" w:space="0" w:color="auto"/>
              <w:right w:val="single" w:sz="6" w:space="0" w:color="auto"/>
            </w:tcBorders>
            <w:shd w:val="clear" w:color="auto" w:fill="auto"/>
          </w:tcPr>
          <w:p w14:paraId="7959BE96" w14:textId="77777777" w:rsidR="00DD30AF" w:rsidRPr="008A0812" w:rsidRDefault="00DD30AF" w:rsidP="004776AB">
            <w:pPr>
              <w:keepNext/>
              <w:overflowPunct/>
              <w:autoSpaceDE/>
              <w:autoSpaceDN/>
              <w:adjustRightInd/>
              <w:jc w:val="right"/>
              <w:rPr>
                <w:rFonts w:cs="Segoe UI"/>
              </w:rPr>
            </w:pPr>
            <w:r w:rsidRPr="008A0812">
              <w:rPr>
                <w:rFonts w:cs="Segoe UI"/>
              </w:rPr>
              <w:t>$200,000</w:t>
            </w:r>
          </w:p>
        </w:tc>
      </w:tr>
      <w:tr w:rsidR="00DD30AF" w:rsidRPr="008A0812" w14:paraId="46C515A3" w14:textId="77777777" w:rsidTr="004776AB">
        <w:tc>
          <w:tcPr>
            <w:tcW w:w="5876" w:type="dxa"/>
            <w:tcBorders>
              <w:top w:val="nil"/>
              <w:left w:val="single" w:sz="6" w:space="0" w:color="auto"/>
              <w:bottom w:val="single" w:sz="6" w:space="0" w:color="auto"/>
              <w:right w:val="single" w:sz="6" w:space="0" w:color="auto"/>
            </w:tcBorders>
            <w:shd w:val="clear" w:color="auto" w:fill="auto"/>
            <w:tcMar>
              <w:left w:w="72" w:type="dxa"/>
            </w:tcMar>
          </w:tcPr>
          <w:p w14:paraId="06337ACB" w14:textId="77777777" w:rsidR="00DD30AF" w:rsidRPr="008A0812" w:rsidRDefault="00DD30AF" w:rsidP="004776AB">
            <w:pPr>
              <w:keepNext/>
              <w:overflowPunct/>
              <w:autoSpaceDE/>
              <w:autoSpaceDN/>
              <w:adjustRightInd/>
              <w:rPr>
                <w:rFonts w:cs="Segoe UI"/>
                <w:b/>
                <w:bCs/>
              </w:rPr>
            </w:pPr>
            <w:r w:rsidRPr="008A0812">
              <w:rPr>
                <w:rFonts w:cs="Segoe UI"/>
                <w:b/>
                <w:bCs/>
              </w:rPr>
              <w:t>Estimated Total Annual Savings</w:t>
            </w:r>
          </w:p>
        </w:tc>
        <w:tc>
          <w:tcPr>
            <w:tcW w:w="3455" w:type="dxa"/>
            <w:tcBorders>
              <w:top w:val="nil"/>
              <w:left w:val="nil"/>
              <w:bottom w:val="single" w:sz="6" w:space="0" w:color="auto"/>
              <w:right w:val="single" w:sz="6" w:space="0" w:color="auto"/>
            </w:tcBorders>
            <w:shd w:val="clear" w:color="auto" w:fill="auto"/>
          </w:tcPr>
          <w:p w14:paraId="7FFA7771" w14:textId="77777777" w:rsidR="00DD30AF" w:rsidRPr="008A0812" w:rsidRDefault="00DD30AF" w:rsidP="004776AB">
            <w:pPr>
              <w:keepNext/>
              <w:overflowPunct/>
              <w:autoSpaceDE/>
              <w:autoSpaceDN/>
              <w:adjustRightInd/>
              <w:jc w:val="right"/>
              <w:rPr>
                <w:rFonts w:cs="Segoe UI"/>
                <w:b/>
                <w:bCs/>
              </w:rPr>
            </w:pPr>
            <w:r w:rsidRPr="008A0812">
              <w:rPr>
                <w:rFonts w:cs="Segoe UI"/>
                <w:b/>
                <w:bCs/>
              </w:rPr>
              <w:t>$1,300,000</w:t>
            </w:r>
          </w:p>
        </w:tc>
      </w:tr>
      <w:tr w:rsidR="00DD30AF" w:rsidRPr="008A0812" w14:paraId="786B9127" w14:textId="77777777" w:rsidTr="004776AB">
        <w:tc>
          <w:tcPr>
            <w:tcW w:w="5876" w:type="dxa"/>
            <w:tcBorders>
              <w:top w:val="nil"/>
              <w:left w:val="single" w:sz="6" w:space="0" w:color="auto"/>
              <w:bottom w:val="single" w:sz="6" w:space="0" w:color="auto"/>
              <w:right w:val="single" w:sz="6" w:space="0" w:color="auto"/>
            </w:tcBorders>
            <w:shd w:val="clear" w:color="auto" w:fill="BFBFBF" w:themeFill="background1" w:themeFillShade="BF"/>
            <w:tcMar>
              <w:left w:w="72" w:type="dxa"/>
            </w:tcMar>
          </w:tcPr>
          <w:p w14:paraId="11DBF8FE" w14:textId="65ECE6FF" w:rsidR="00DD30AF" w:rsidRPr="008A0812" w:rsidRDefault="00DD30AF" w:rsidP="004776AB">
            <w:pPr>
              <w:keepNext/>
              <w:overflowPunct/>
              <w:autoSpaceDE/>
              <w:autoSpaceDN/>
              <w:adjustRightInd/>
              <w:jc w:val="center"/>
              <w:rPr>
                <w:rFonts w:cs="Segoe UI"/>
                <w:b/>
                <w:bCs/>
              </w:rPr>
            </w:pPr>
            <w:r w:rsidRPr="008A0812">
              <w:rPr>
                <w:rFonts w:cs="Segoe UI"/>
                <w:b/>
                <w:bCs/>
              </w:rPr>
              <w:t xml:space="preserve">Capital </w:t>
            </w:r>
            <w:r w:rsidR="0028425C" w:rsidRPr="008A0812">
              <w:rPr>
                <w:rFonts w:cs="Segoe UI"/>
                <w:b/>
                <w:bCs/>
              </w:rPr>
              <w:t>Impact</w:t>
            </w:r>
          </w:p>
        </w:tc>
        <w:tc>
          <w:tcPr>
            <w:tcW w:w="3455" w:type="dxa"/>
            <w:tcBorders>
              <w:top w:val="nil"/>
              <w:left w:val="nil"/>
              <w:bottom w:val="single" w:sz="6" w:space="0" w:color="auto"/>
              <w:right w:val="single" w:sz="6" w:space="0" w:color="auto"/>
            </w:tcBorders>
            <w:shd w:val="clear" w:color="auto" w:fill="BFBFBF" w:themeFill="background1" w:themeFillShade="BF"/>
          </w:tcPr>
          <w:p w14:paraId="3EEBD588" w14:textId="4C66AB5D" w:rsidR="00DD30AF" w:rsidRPr="008A0812" w:rsidRDefault="0028425C" w:rsidP="004776AB">
            <w:pPr>
              <w:keepNext/>
              <w:overflowPunct/>
              <w:autoSpaceDE/>
              <w:autoSpaceDN/>
              <w:adjustRightInd/>
              <w:jc w:val="center"/>
              <w:rPr>
                <w:rFonts w:cs="Segoe UI"/>
                <w:b/>
                <w:bCs/>
              </w:rPr>
            </w:pPr>
            <w:r w:rsidRPr="008A0812">
              <w:rPr>
                <w:rFonts w:cs="Segoe UI"/>
                <w:b/>
                <w:bCs/>
              </w:rPr>
              <w:t>Savings</w:t>
            </w:r>
          </w:p>
        </w:tc>
      </w:tr>
      <w:tr w:rsidR="00DD30AF" w:rsidRPr="008A0812" w14:paraId="162CE291" w14:textId="77777777" w:rsidTr="004776AB">
        <w:tc>
          <w:tcPr>
            <w:tcW w:w="5876" w:type="dxa"/>
            <w:tcBorders>
              <w:top w:val="nil"/>
              <w:left w:val="single" w:sz="6" w:space="0" w:color="auto"/>
              <w:bottom w:val="single" w:sz="6" w:space="0" w:color="auto"/>
              <w:right w:val="single" w:sz="6" w:space="0" w:color="auto"/>
            </w:tcBorders>
            <w:shd w:val="clear" w:color="auto" w:fill="auto"/>
            <w:tcMar>
              <w:left w:w="72" w:type="dxa"/>
            </w:tcMar>
            <w:hideMark/>
          </w:tcPr>
          <w:p w14:paraId="51AC81B3" w14:textId="77777777" w:rsidR="00DD30AF" w:rsidRPr="008A0812" w:rsidRDefault="00DD30AF" w:rsidP="004776AB">
            <w:pPr>
              <w:keepNext/>
              <w:overflowPunct/>
              <w:autoSpaceDE/>
              <w:autoSpaceDN/>
              <w:adjustRightInd/>
              <w:rPr>
                <w:rFonts w:ascii="Segoe UI" w:hAnsi="Segoe UI" w:cs="Segoe UI"/>
                <w:sz w:val="18"/>
                <w:szCs w:val="18"/>
              </w:rPr>
            </w:pPr>
            <w:r w:rsidRPr="008A0812">
              <w:rPr>
                <w:rFonts w:cs="Segoe UI"/>
              </w:rPr>
              <w:t>Capital Savings from Off-Lining One Unit 2 Train (long-term)</w:t>
            </w:r>
          </w:p>
        </w:tc>
        <w:tc>
          <w:tcPr>
            <w:tcW w:w="3455" w:type="dxa"/>
            <w:tcBorders>
              <w:top w:val="nil"/>
              <w:left w:val="nil"/>
              <w:bottom w:val="single" w:sz="6" w:space="0" w:color="auto"/>
              <w:right w:val="single" w:sz="6" w:space="0" w:color="auto"/>
            </w:tcBorders>
            <w:shd w:val="clear" w:color="auto" w:fill="auto"/>
          </w:tcPr>
          <w:p w14:paraId="61F885AB" w14:textId="77777777" w:rsidR="00DD30AF" w:rsidRPr="008A0812" w:rsidRDefault="00DD30AF" w:rsidP="004776AB">
            <w:pPr>
              <w:keepNext/>
              <w:overflowPunct/>
              <w:autoSpaceDE/>
              <w:autoSpaceDN/>
              <w:adjustRightInd/>
              <w:jc w:val="right"/>
              <w:rPr>
                <w:rFonts w:cs="Segoe UI"/>
              </w:rPr>
            </w:pPr>
            <w:r w:rsidRPr="008A0812">
              <w:rPr>
                <w:rFonts w:cs="Segoe UI"/>
              </w:rPr>
              <w:t>$1,200,000</w:t>
            </w:r>
          </w:p>
        </w:tc>
      </w:tr>
      <w:tr w:rsidR="00DD30AF" w:rsidRPr="008A0812" w14:paraId="23461247" w14:textId="77777777" w:rsidTr="004776AB">
        <w:tc>
          <w:tcPr>
            <w:tcW w:w="5876" w:type="dxa"/>
            <w:tcBorders>
              <w:top w:val="single" w:sz="6" w:space="0" w:color="auto"/>
              <w:left w:val="single" w:sz="6" w:space="0" w:color="auto"/>
              <w:bottom w:val="single" w:sz="6" w:space="0" w:color="auto"/>
              <w:right w:val="single" w:sz="6" w:space="0" w:color="auto"/>
            </w:tcBorders>
            <w:shd w:val="clear" w:color="auto" w:fill="auto"/>
            <w:tcMar>
              <w:left w:w="72" w:type="dxa"/>
            </w:tcMar>
            <w:hideMark/>
          </w:tcPr>
          <w:p w14:paraId="52FC884D" w14:textId="77777777" w:rsidR="00DD30AF" w:rsidRPr="008A0812" w:rsidRDefault="00DD30AF" w:rsidP="004776AB">
            <w:pPr>
              <w:keepNext/>
              <w:overflowPunct/>
              <w:autoSpaceDE/>
              <w:autoSpaceDN/>
              <w:adjustRightInd/>
              <w:rPr>
                <w:rFonts w:ascii="Segoe UI" w:hAnsi="Segoe UI" w:cs="Segoe UI"/>
                <w:sz w:val="18"/>
                <w:szCs w:val="18"/>
              </w:rPr>
            </w:pPr>
            <w:r w:rsidRPr="008A0812">
              <w:rPr>
                <w:rFonts w:cs="Segoe UI"/>
              </w:rPr>
              <w:t>Capital Projects for Off-Lining One Unit 2 Train (near-term)</w:t>
            </w:r>
          </w:p>
        </w:tc>
        <w:tc>
          <w:tcPr>
            <w:tcW w:w="3455" w:type="dxa"/>
            <w:tcBorders>
              <w:top w:val="single" w:sz="6" w:space="0" w:color="auto"/>
              <w:left w:val="nil"/>
              <w:bottom w:val="single" w:sz="6" w:space="0" w:color="auto"/>
              <w:right w:val="single" w:sz="6" w:space="0" w:color="auto"/>
            </w:tcBorders>
            <w:shd w:val="clear" w:color="auto" w:fill="auto"/>
          </w:tcPr>
          <w:p w14:paraId="3D05D195" w14:textId="19C8E9C0" w:rsidR="00DD30AF" w:rsidRPr="008A0812" w:rsidRDefault="0028425C" w:rsidP="004776AB">
            <w:pPr>
              <w:keepNext/>
              <w:overflowPunct/>
              <w:autoSpaceDE/>
              <w:autoSpaceDN/>
              <w:adjustRightInd/>
              <w:jc w:val="right"/>
              <w:rPr>
                <w:rFonts w:cs="Segoe UI"/>
              </w:rPr>
            </w:pPr>
            <w:r w:rsidRPr="008A0812">
              <w:rPr>
                <w:rFonts w:cs="Segoe UI"/>
              </w:rPr>
              <w:t xml:space="preserve">Cost of </w:t>
            </w:r>
            <w:r w:rsidR="00DD30AF" w:rsidRPr="008A0812">
              <w:rPr>
                <w:rFonts w:cs="Segoe UI"/>
              </w:rPr>
              <w:t>$500,000</w:t>
            </w:r>
          </w:p>
        </w:tc>
      </w:tr>
      <w:tr w:rsidR="00992B5D" w:rsidRPr="008A0812" w14:paraId="27712AED" w14:textId="77777777" w:rsidTr="004776AB">
        <w:tc>
          <w:tcPr>
            <w:tcW w:w="5876"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5237FCC4" w14:textId="7B67D8BB" w:rsidR="00992B5D" w:rsidRPr="008A0812" w:rsidRDefault="00992B5D" w:rsidP="00992B5D">
            <w:pPr>
              <w:keepNext/>
              <w:overflowPunct/>
              <w:autoSpaceDE/>
              <w:autoSpaceDN/>
              <w:adjustRightInd/>
              <w:rPr>
                <w:rFonts w:cs="Segoe UI"/>
                <w:b/>
                <w:bCs/>
              </w:rPr>
            </w:pPr>
            <w:r w:rsidRPr="008A0812">
              <w:rPr>
                <w:rFonts w:cs="Segoe UI"/>
                <w:b/>
                <w:bCs/>
              </w:rPr>
              <w:t>Estimated Total Capital Savings</w:t>
            </w:r>
          </w:p>
        </w:tc>
        <w:tc>
          <w:tcPr>
            <w:tcW w:w="3455" w:type="dxa"/>
            <w:tcBorders>
              <w:top w:val="single" w:sz="6" w:space="0" w:color="auto"/>
              <w:left w:val="nil"/>
              <w:bottom w:val="single" w:sz="6" w:space="0" w:color="auto"/>
              <w:right w:val="single" w:sz="6" w:space="0" w:color="auto"/>
            </w:tcBorders>
            <w:shd w:val="clear" w:color="auto" w:fill="auto"/>
          </w:tcPr>
          <w:p w14:paraId="48E8D647" w14:textId="2BA1B143" w:rsidR="00992B5D" w:rsidRPr="008A0812" w:rsidRDefault="00992B5D" w:rsidP="00992B5D">
            <w:pPr>
              <w:keepNext/>
              <w:overflowPunct/>
              <w:autoSpaceDE/>
              <w:autoSpaceDN/>
              <w:adjustRightInd/>
              <w:jc w:val="right"/>
              <w:rPr>
                <w:rFonts w:cs="Segoe UI"/>
                <w:b/>
                <w:bCs/>
              </w:rPr>
            </w:pPr>
            <w:r w:rsidRPr="008A0812">
              <w:rPr>
                <w:rFonts w:cs="Segoe UI"/>
                <w:b/>
                <w:bCs/>
              </w:rPr>
              <w:t>$700,000</w:t>
            </w:r>
          </w:p>
        </w:tc>
      </w:tr>
    </w:tbl>
    <w:p w14:paraId="3B88845D" w14:textId="6D44CF2B" w:rsidR="00DD30AF" w:rsidRPr="008A0812" w:rsidRDefault="00DD30AF" w:rsidP="00DD30AF">
      <w:pPr>
        <w:pStyle w:val="Heading3"/>
        <w:numPr>
          <w:ilvl w:val="2"/>
          <w:numId w:val="1"/>
        </w:numPr>
        <w:tabs>
          <w:tab w:val="clear" w:pos="720"/>
          <w:tab w:val="num" w:pos="360"/>
          <w:tab w:val="num" w:pos="1260"/>
        </w:tabs>
        <w:ind w:left="986" w:hanging="446"/>
      </w:pPr>
      <w:bookmarkStart w:id="598" w:name="_Toc23931751"/>
      <w:bookmarkStart w:id="599" w:name="_Ref36025661"/>
      <w:bookmarkStart w:id="600" w:name="_Toc41680920"/>
      <w:r w:rsidRPr="008A0812">
        <w:t xml:space="preserve">NRC Conversion to Diffused </w:t>
      </w:r>
      <w:bookmarkEnd w:id="598"/>
      <w:bookmarkEnd w:id="599"/>
      <w:r w:rsidR="00992B5D" w:rsidRPr="008A0812">
        <w:t>Air</w:t>
      </w:r>
      <w:bookmarkEnd w:id="600"/>
    </w:p>
    <w:p w14:paraId="7F4ABB73" w14:textId="77777777" w:rsidR="00DD30AF" w:rsidRPr="008A0812" w:rsidRDefault="00DD30AF" w:rsidP="004776AB">
      <w:pPr>
        <w:pStyle w:val="BodyText"/>
      </w:pPr>
      <w:r w:rsidRPr="008A0812">
        <w:t>This option considers replacing the mechanical aerators in the Nitrogen Removal Carousel (NRC) with diffused aeration to save energy. Diffused air would also provide more precise control of DO levels, with the potential to improve process performance. The depth of the existing tanks (13 to 14.5 feet) is reasonable for efficient oxygen transfer with fine bubble diffusers.</w:t>
      </w:r>
    </w:p>
    <w:p w14:paraId="7106188B" w14:textId="5F22F5D8" w:rsidR="00DD30AF" w:rsidRPr="008A0812" w:rsidRDefault="00DD30AF" w:rsidP="004776AB">
      <w:pPr>
        <w:pStyle w:val="BodyText"/>
      </w:pPr>
      <w:r w:rsidRPr="008A0812">
        <w:t>The two existing mechanical aerators are powered by two-speed electric motors rated for a maximum of 125 hp each. The aerators are run continuously at high speed to provide oxygen to the process, keep solids in suspension, and move the mixed liquor around the carousel. Assuming average power consumption is 80% of the motor rating, the mechanical aerators consume approximately $160,000 worth of electricity each year. Replacing the existing system with blowers and fine bubble diffusers could reduce the power demand and cost considerably. It would also improve operator safety and the work environment by reducing aerosolization of the wastewater.</w:t>
      </w:r>
    </w:p>
    <w:p w14:paraId="11E890BF" w14:textId="20DCA53F" w:rsidR="00DD30AF" w:rsidRPr="008A0812" w:rsidRDefault="00DD30AF" w:rsidP="004776AB">
      <w:pPr>
        <w:pStyle w:val="BodyText"/>
      </w:pPr>
      <w:r w:rsidRPr="008A0812">
        <w:t xml:space="preserve">Conceptually, the diffused air option would consist </w:t>
      </w:r>
      <w:r w:rsidR="00992B5D" w:rsidRPr="008A0812">
        <w:t xml:space="preserve">of packaged blowers </w:t>
      </w:r>
      <w:r w:rsidRPr="008A0812">
        <w:t xml:space="preserve">mounted on pads outside near the carousel. Stainless steel pipe would distribute air to diffuser grids located in the carousel. Automatic control would be provided by a system of electrically actuated valves, air flow meters, and dissolved oxygen probes. It is assumed that without the surface aerators, </w:t>
      </w:r>
      <w:r w:rsidR="00992B5D" w:rsidRPr="008A0812">
        <w:t xml:space="preserve">submersible axial-flow pumps </w:t>
      </w:r>
      <w:r w:rsidRPr="008A0812">
        <w:t>will be needed to keep the liquid circulating in the carousel.</w:t>
      </w:r>
    </w:p>
    <w:p w14:paraId="2205B9CB" w14:textId="7C2CA0F5" w:rsidR="00DD30AF" w:rsidRPr="008A0812" w:rsidRDefault="00DD30AF" w:rsidP="004776AB">
      <w:pPr>
        <w:pStyle w:val="BodyText"/>
      </w:pPr>
      <w:r w:rsidRPr="008A0812">
        <w:t xml:space="preserve">With a conceptual-level cost estimate of approximately $1.8 million, and assuming a 40% reduction in electrical cost, the simple payback for this project would be on the order of 18 years. If the </w:t>
      </w:r>
      <w:r w:rsidR="00033123">
        <w:t>SBMWD</w:t>
      </w:r>
      <w:r w:rsidRPr="008A0812">
        <w:t xml:space="preserve"> wishes to pursue this option further, it is recommended that a more detailed analysis be performed to refine the payback estimate. The scope of work for this analysis should include:</w:t>
      </w:r>
    </w:p>
    <w:p w14:paraId="517CE84A" w14:textId="77777777" w:rsidR="00992B5D" w:rsidRPr="008A0812" w:rsidRDefault="00992B5D" w:rsidP="00992B5D">
      <w:pPr>
        <w:pStyle w:val="Bullet"/>
      </w:pPr>
      <w:bookmarkStart w:id="601" w:name="_Ref36402555"/>
      <w:bookmarkStart w:id="602" w:name="_Ref36403803"/>
      <w:bookmarkStart w:id="603" w:name="_Toc23931752"/>
      <w:bookmarkStart w:id="604" w:name="_Ref36025676"/>
      <w:r w:rsidRPr="008A0812">
        <w:t>Evaluating the current mechanical aerator performance based on operating practices, SCADA information, and/or power monitoring.</w:t>
      </w:r>
    </w:p>
    <w:p w14:paraId="3FE83520" w14:textId="77777777" w:rsidR="00992B5D" w:rsidRPr="008A0812" w:rsidRDefault="00992B5D" w:rsidP="00992B5D">
      <w:pPr>
        <w:pStyle w:val="Bullet"/>
      </w:pPr>
      <w:r w:rsidRPr="008A0812">
        <w:t>Evaluating the current DO profile in the carousel.</w:t>
      </w:r>
    </w:p>
    <w:p w14:paraId="39DA763D" w14:textId="651FB30B" w:rsidR="00992B5D" w:rsidRPr="008A0812" w:rsidRDefault="00992B5D" w:rsidP="00992B5D">
      <w:pPr>
        <w:pStyle w:val="Bullet"/>
      </w:pPr>
      <w:r w:rsidRPr="008A0812">
        <w:t>Developing a spreadsheet model to estimate aeration demand.</w:t>
      </w:r>
    </w:p>
    <w:p w14:paraId="36DCD060" w14:textId="77777777" w:rsidR="00992B5D" w:rsidRPr="008A0812" w:rsidRDefault="00992B5D" w:rsidP="00992B5D">
      <w:pPr>
        <w:pStyle w:val="Bullet"/>
      </w:pPr>
      <w:r w:rsidRPr="008A0812">
        <w:t>Evaluation of up to three blower technology options.</w:t>
      </w:r>
    </w:p>
    <w:p w14:paraId="5032D57B" w14:textId="77777777" w:rsidR="00992B5D" w:rsidRPr="008A0812" w:rsidRDefault="00992B5D" w:rsidP="00992B5D">
      <w:pPr>
        <w:pStyle w:val="Bullet"/>
      </w:pPr>
      <w:r w:rsidRPr="008A0812">
        <w:t>Evaluation of up to three diffuser technology options.</w:t>
      </w:r>
    </w:p>
    <w:p w14:paraId="4934AB05" w14:textId="77777777" w:rsidR="00992B5D" w:rsidRPr="008A0812" w:rsidRDefault="00992B5D" w:rsidP="00992B5D">
      <w:pPr>
        <w:pStyle w:val="Bullet"/>
      </w:pPr>
      <w:r w:rsidRPr="008A0812">
        <w:t xml:space="preserve">Preliminary design and cost estimate for a diffused aeration system. </w:t>
      </w:r>
    </w:p>
    <w:p w14:paraId="310EE36F" w14:textId="77777777" w:rsidR="002D2C79" w:rsidRPr="008A0812" w:rsidRDefault="002D2C79" w:rsidP="00121DE4">
      <w:pPr>
        <w:pStyle w:val="Heading3"/>
      </w:pPr>
      <w:bookmarkStart w:id="605" w:name="_Ref40445831"/>
      <w:bookmarkStart w:id="606" w:name="_Toc41680921"/>
      <w:r w:rsidRPr="008A0812">
        <w:t>Unit 3 Expansion and Completion</w:t>
      </w:r>
      <w:bookmarkEnd w:id="601"/>
      <w:bookmarkEnd w:id="602"/>
      <w:bookmarkEnd w:id="605"/>
      <w:bookmarkEnd w:id="606"/>
    </w:p>
    <w:bookmarkEnd w:id="603"/>
    <w:bookmarkEnd w:id="604"/>
    <w:p w14:paraId="612C536E" w14:textId="42CC9C10" w:rsidR="00DD30AF" w:rsidRPr="008A0812" w:rsidRDefault="00DD30AF" w:rsidP="00AE02AD">
      <w:pPr>
        <w:pStyle w:val="BodyText"/>
      </w:pPr>
      <w:r w:rsidRPr="008A0812">
        <w:t xml:space="preserve">The liquid treatment processes currently in operation at SBWRP consists of Unit 1, Unit 2 North, Unit 2 South, and the NRC. </w:t>
      </w:r>
      <w:r w:rsidR="00AE02AD" w:rsidRPr="008A0812">
        <w:fldChar w:fldCharType="begin"/>
      </w:r>
      <w:r w:rsidR="00AE02AD" w:rsidRPr="008A0812">
        <w:instrText xml:space="preserve"> REF _Ref36403407 \h </w:instrText>
      </w:r>
      <w:r w:rsidR="008A0812">
        <w:instrText xml:space="preserve"> \* MERGEFORMAT </w:instrText>
      </w:r>
      <w:r w:rsidR="00AE02AD" w:rsidRPr="008A0812">
        <w:fldChar w:fldCharType="separate"/>
      </w:r>
      <w:r w:rsidR="00AA68F8" w:rsidRPr="008A0812">
        <w:t xml:space="preserve">Figure </w:t>
      </w:r>
      <w:r w:rsidR="00AA68F8">
        <w:rPr>
          <w:noProof/>
        </w:rPr>
        <w:t>10</w:t>
      </w:r>
      <w:r w:rsidR="00AA68F8">
        <w:rPr>
          <w:noProof/>
        </w:rPr>
        <w:noBreakHyphen/>
        <w:t>2</w:t>
      </w:r>
      <w:r w:rsidR="00AE02AD" w:rsidRPr="008A0812">
        <w:fldChar w:fldCharType="end"/>
      </w:r>
      <w:r w:rsidRPr="008A0812">
        <w:t xml:space="preserve"> depicts the estimated annual R&amp;R and cumulative R&amp;R costs for assets associated with Unit 1, Unit 2 North, Unit 2 South, and the NRC that have been identified over the next 30 years. By the year 2046, the cumulative R&amp;R cost for these processes are over $150 million. </w:t>
      </w:r>
      <w:r w:rsidR="00181D9D" w:rsidRPr="008A0812">
        <w:t xml:space="preserve">In particular there is a large spike in predicted R&amp;R costs in 2046 as </w:t>
      </w:r>
      <w:r w:rsidR="001979BE" w:rsidRPr="008A0812">
        <w:t>significant structural</w:t>
      </w:r>
      <w:r w:rsidR="00181D9D" w:rsidRPr="008A0812">
        <w:t xml:space="preserve"> assets reach their design life. </w:t>
      </w:r>
      <w:r w:rsidRPr="008A0812">
        <w:t xml:space="preserve">The magnitude of the cumulative R&amp;R costs presents an opportunity to replace the older multiple liquid treatment processes with a </w:t>
      </w:r>
      <w:r w:rsidR="002D2C79" w:rsidRPr="008A0812">
        <w:t>single unified process by expanding and completing Unit 3</w:t>
      </w:r>
      <w:r w:rsidRPr="008A0812">
        <w:t xml:space="preserve">. The </w:t>
      </w:r>
      <w:r w:rsidR="002D2C79" w:rsidRPr="008A0812">
        <w:t xml:space="preserve">expanded </w:t>
      </w:r>
      <w:r w:rsidRPr="008A0812">
        <w:t xml:space="preserve">facility would be designed to treat the anticipated future with the flow reduction by EVWD, handle the ammonia load from the centrate and meet water quality requirements for tertiary treatment at RIX or CWF.  </w:t>
      </w:r>
      <w:r w:rsidR="002D2C79" w:rsidRPr="008A0812">
        <w:t>Space and connection points would be included for future additional treatment systems for any known emerging constituents.</w:t>
      </w:r>
      <w:r w:rsidRPr="008A0812">
        <w:t xml:space="preserve"> </w:t>
      </w:r>
    </w:p>
    <w:p w14:paraId="76BC3D0B" w14:textId="4F2F81B5" w:rsidR="00AE02AD" w:rsidRPr="008A0812" w:rsidRDefault="00AE02AD" w:rsidP="00AF40CB">
      <w:pPr>
        <w:pStyle w:val="FigureHeading"/>
      </w:pPr>
      <w:bookmarkStart w:id="607" w:name="_Ref36403407"/>
      <w:bookmarkStart w:id="608" w:name="_Toc36414114"/>
      <w:bookmarkStart w:id="609" w:name="_Toc41684713"/>
      <w:r w:rsidRPr="008A0812">
        <w:t xml:space="preserve">Figure </w:t>
      </w:r>
      <w:fldSimple w:instr=" STYLEREF 1 \s ">
        <w:r w:rsidR="00AA68F8">
          <w:rPr>
            <w:noProof/>
          </w:rPr>
          <w:t>10</w:t>
        </w:r>
      </w:fldSimple>
      <w:r w:rsidR="00B233D1">
        <w:noBreakHyphen/>
      </w:r>
      <w:fldSimple w:instr=" SEQ Figure \* ARABIC \s 1 ">
        <w:r w:rsidR="00AA68F8">
          <w:rPr>
            <w:noProof/>
          </w:rPr>
          <w:t>2</w:t>
        </w:r>
      </w:fldSimple>
      <w:bookmarkEnd w:id="607"/>
      <w:r w:rsidRPr="008A0812">
        <w:t>: Unit 1, Unit 2N, Unit 2S and NRC Asset R&amp;R Costs</w:t>
      </w:r>
      <w:bookmarkEnd w:id="608"/>
      <w:bookmarkEnd w:id="609"/>
    </w:p>
    <w:p w14:paraId="7C898543" w14:textId="77777777" w:rsidR="00DD30AF" w:rsidRPr="008A0812" w:rsidRDefault="00DD30AF" w:rsidP="004776AB">
      <w:pPr>
        <w:pStyle w:val="BodyText"/>
        <w:keepNext/>
      </w:pPr>
      <w:r>
        <w:rPr>
          <w:noProof/>
        </w:rPr>
        <w:drawing>
          <wp:inline distT="0" distB="0" distL="0" distR="0" wp14:anchorId="7910E36B" wp14:editId="59CD9DDE">
            <wp:extent cx="5915025" cy="4597544"/>
            <wp:effectExtent l="0" t="0" r="0" b="0"/>
            <wp:docPr id="20504000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100">
                      <a:extLst>
                        <a:ext uri="{28A0092B-C50C-407E-A947-70E740481C1C}">
                          <a14:useLocalDpi xmlns:a14="http://schemas.microsoft.com/office/drawing/2010/main" val="0"/>
                        </a:ext>
                      </a:extLst>
                    </a:blip>
                    <a:stretch>
                      <a:fillRect/>
                    </a:stretch>
                  </pic:blipFill>
                  <pic:spPr>
                    <a:xfrm>
                      <a:off x="0" y="0"/>
                      <a:ext cx="5915025" cy="4597544"/>
                    </a:xfrm>
                    <a:prstGeom prst="rect">
                      <a:avLst/>
                    </a:prstGeom>
                  </pic:spPr>
                </pic:pic>
              </a:graphicData>
            </a:graphic>
          </wp:inline>
        </w:drawing>
      </w:r>
    </w:p>
    <w:p w14:paraId="42CA6788" w14:textId="0AAAF74D" w:rsidR="00DD30AF" w:rsidRPr="008A0812" w:rsidRDefault="00DD30AF" w:rsidP="004776AB">
      <w:pPr>
        <w:pStyle w:val="BodyText"/>
        <w:spacing w:before="120"/>
        <w:jc w:val="center"/>
        <w:rPr>
          <w:i/>
          <w:iCs/>
          <w:sz w:val="20"/>
          <w:szCs w:val="20"/>
        </w:rPr>
      </w:pPr>
      <w:r w:rsidRPr="008A0812">
        <w:rPr>
          <w:i/>
          <w:iCs/>
          <w:sz w:val="20"/>
          <w:szCs w:val="20"/>
        </w:rPr>
        <w:t>Source: Asset Register V</w:t>
      </w:r>
      <w:r w:rsidR="00AE02AD" w:rsidRPr="008A0812">
        <w:rPr>
          <w:i/>
          <w:iCs/>
          <w:sz w:val="20"/>
          <w:szCs w:val="20"/>
        </w:rPr>
        <w:t>90</w:t>
      </w:r>
    </w:p>
    <w:p w14:paraId="69F2A08C" w14:textId="3504A0C0" w:rsidR="00DD30AF" w:rsidRPr="008A0812" w:rsidRDefault="00DD30AF" w:rsidP="004776AB">
      <w:pPr>
        <w:pStyle w:val="BodyText"/>
      </w:pPr>
      <w:r w:rsidRPr="008A0812">
        <w:t xml:space="preserve">The </w:t>
      </w:r>
      <w:r w:rsidR="002D2C79" w:rsidRPr="008A0812">
        <w:t>Unit 3 Expansion and Completion</w:t>
      </w:r>
      <w:r w:rsidRPr="008A0812">
        <w:t xml:space="preserve"> project would replace Unit 1, Unit 2 North, Unit 2 South, and the NRC with an activated sludge process with secondary clarification. This project would utilize the existing headworks, Unit 3 primary treatment, and solids handling facilities. Further, it is assumed that aeration is provided by the </w:t>
      </w:r>
      <w:r w:rsidR="00992B5D" w:rsidRPr="008A0812">
        <w:t xml:space="preserve">existing Roots blowers </w:t>
      </w:r>
      <w:r w:rsidR="001979BE" w:rsidRPr="008A0812">
        <w:t>and/or new turbo blowers</w:t>
      </w:r>
      <w:r w:rsidRPr="008A0812">
        <w:t xml:space="preserve">, which </w:t>
      </w:r>
      <w:r w:rsidR="001979BE" w:rsidRPr="008A0812">
        <w:t>will be installed</w:t>
      </w:r>
      <w:r w:rsidRPr="008A0812">
        <w:t xml:space="preserve"> as part of a current project as described in Section 11.1.2. </w:t>
      </w:r>
      <w:r w:rsidR="002D2C79" w:rsidRPr="008A0812">
        <w:t xml:space="preserve">The project </w:t>
      </w:r>
      <w:r w:rsidRPr="008A0812">
        <w:t xml:space="preserve">would require expansion of Unit 3 primary treatment and </w:t>
      </w:r>
      <w:r w:rsidR="00181D9D" w:rsidRPr="008A0812">
        <w:t xml:space="preserve">the </w:t>
      </w:r>
      <w:r w:rsidRPr="008A0812">
        <w:t xml:space="preserve">R&amp;R projects associated with Unit 3. </w:t>
      </w:r>
    </w:p>
    <w:p w14:paraId="2AAD53E3" w14:textId="61151106" w:rsidR="004776AB" w:rsidRPr="008A0812" w:rsidRDefault="00AE02AD" w:rsidP="00AE02AD">
      <w:pPr>
        <w:pStyle w:val="BodyText"/>
      </w:pPr>
      <w:r w:rsidRPr="008A0812">
        <w:fldChar w:fldCharType="begin"/>
      </w:r>
      <w:r w:rsidRPr="008A0812">
        <w:instrText xml:space="preserve"> REF _Ref36403456 \h </w:instrText>
      </w:r>
      <w:r w:rsidR="008A0812">
        <w:instrText xml:space="preserve"> \* MERGEFORMAT </w:instrText>
      </w:r>
      <w:r w:rsidRPr="008A0812">
        <w:fldChar w:fldCharType="separate"/>
      </w:r>
      <w:r w:rsidR="00AA68F8" w:rsidRPr="008A0812">
        <w:t xml:space="preserve">Figure </w:t>
      </w:r>
      <w:r w:rsidR="00AA68F8">
        <w:rPr>
          <w:noProof/>
        </w:rPr>
        <w:t>10</w:t>
      </w:r>
      <w:r w:rsidR="00AA68F8">
        <w:rPr>
          <w:noProof/>
        </w:rPr>
        <w:noBreakHyphen/>
        <w:t>3</w:t>
      </w:r>
      <w:r w:rsidRPr="008A0812">
        <w:fldChar w:fldCharType="end"/>
      </w:r>
      <w:r w:rsidR="00DD30AF" w:rsidRPr="008A0812">
        <w:t xml:space="preserve"> shows a conceptual layout for the proposed </w:t>
      </w:r>
      <w:r w:rsidR="002E74BF" w:rsidRPr="008A0812">
        <w:t xml:space="preserve">Unit 3 Expansion and Completion </w:t>
      </w:r>
      <w:r w:rsidR="00DD30AF" w:rsidRPr="008A0812">
        <w:t xml:space="preserve">project in the northeast corner of the site adjacent to the existing Unit 3 primary clarifiers, south of Orange Show Road and West of East Twin Creek.  </w:t>
      </w:r>
      <w:bookmarkEnd w:id="569"/>
    </w:p>
    <w:p w14:paraId="75F352C6" w14:textId="03F9BAA6" w:rsidR="00AE02AD" w:rsidRPr="008A0812" w:rsidRDefault="00AE02AD" w:rsidP="00AF40CB">
      <w:pPr>
        <w:pStyle w:val="FigureHeading"/>
      </w:pPr>
      <w:bookmarkStart w:id="610" w:name="_Ref36403456"/>
      <w:bookmarkStart w:id="611" w:name="_Toc36414115"/>
      <w:bookmarkStart w:id="612" w:name="_Toc41684714"/>
      <w:r w:rsidRPr="008A0812">
        <w:t xml:space="preserve">Figure </w:t>
      </w:r>
      <w:fldSimple w:instr=" STYLEREF 1 \s ">
        <w:r w:rsidR="00AA68F8">
          <w:rPr>
            <w:noProof/>
          </w:rPr>
          <w:t>10</w:t>
        </w:r>
      </w:fldSimple>
      <w:r w:rsidR="00B233D1">
        <w:noBreakHyphen/>
      </w:r>
      <w:fldSimple w:instr=" SEQ Figure \* ARABIC \s 1 ">
        <w:r w:rsidR="00AA68F8">
          <w:rPr>
            <w:noProof/>
          </w:rPr>
          <w:t>3</w:t>
        </w:r>
      </w:fldSimple>
      <w:bookmarkEnd w:id="610"/>
      <w:r w:rsidRPr="008A0812">
        <w:t>: Unit 3 Expansion and Completion Project</w:t>
      </w:r>
      <w:bookmarkEnd w:id="611"/>
      <w:bookmarkEnd w:id="612"/>
    </w:p>
    <w:p w14:paraId="5677FFE8" w14:textId="18A219E1" w:rsidR="004776AB" w:rsidRPr="008A0812" w:rsidRDefault="008A6193" w:rsidP="004776AB">
      <w:pPr>
        <w:pStyle w:val="BodyText"/>
      </w:pPr>
      <w:r w:rsidRPr="008A0812">
        <w:rPr>
          <w:noProof/>
        </w:rPr>
        <w:drawing>
          <wp:inline distT="0" distB="0" distL="0" distR="0" wp14:anchorId="5CD3C85B" wp14:editId="1FA8E619">
            <wp:extent cx="5943600" cy="3906520"/>
            <wp:effectExtent l="19050" t="19050" r="1905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906520"/>
                    </a:xfrm>
                    <a:prstGeom prst="rect">
                      <a:avLst/>
                    </a:prstGeom>
                    <a:ln w="12700">
                      <a:solidFill>
                        <a:schemeClr val="tx1"/>
                      </a:solidFill>
                    </a:ln>
                  </pic:spPr>
                </pic:pic>
              </a:graphicData>
            </a:graphic>
          </wp:inline>
        </w:drawing>
      </w:r>
    </w:p>
    <w:p w14:paraId="6D889A61" w14:textId="78CC56D2" w:rsidR="003210FB" w:rsidRPr="008A0812" w:rsidRDefault="003210FB" w:rsidP="004776AB">
      <w:pPr>
        <w:pStyle w:val="BodyText"/>
      </w:pPr>
      <w:r w:rsidRPr="008A0812">
        <w:t>To meet the RIX effluent TIN limit of 10 mg/L for discharge to the Santa Ana River, the aeration tanks are assumed to be configured for the Modified Ludzac-Ettinger (MLE) process, including pre-anoxic zones and internal mixed-liquor return. This is similar to the flow arrangement currently in use at Unit 1 and recommended for Unit 2. The secondary system could be sized to accept the ammonia load from the centrate so that the NRC process could be taken off-line. This approach would be evaluated against sidestream deammonification to determine the best path forward. Assumptions for the conceptual cost estimate are as follows:</w:t>
      </w:r>
    </w:p>
    <w:p w14:paraId="2C976BEF" w14:textId="77777777" w:rsidR="003210FB" w:rsidRPr="008A0812" w:rsidRDefault="003210FB" w:rsidP="004776AB">
      <w:pPr>
        <w:pStyle w:val="Bullet"/>
        <w:overflowPunct/>
        <w:autoSpaceDE/>
        <w:autoSpaceDN/>
        <w:adjustRightInd/>
        <w:textAlignment w:val="auto"/>
      </w:pPr>
      <w:r w:rsidRPr="008A0812">
        <w:t>Average daily flow of 20 mgd.</w:t>
      </w:r>
    </w:p>
    <w:p w14:paraId="48146A7E" w14:textId="77777777" w:rsidR="003210FB" w:rsidRPr="008A0812" w:rsidRDefault="003210FB" w:rsidP="004776AB">
      <w:pPr>
        <w:pStyle w:val="Bullet"/>
        <w:overflowPunct/>
        <w:autoSpaceDE/>
        <w:autoSpaceDN/>
        <w:adjustRightInd/>
        <w:textAlignment w:val="auto"/>
      </w:pPr>
      <w:r w:rsidRPr="008A0812">
        <w:t xml:space="preserve">Maximum month design load of 49,300 pounds BOD per day. </w:t>
      </w:r>
    </w:p>
    <w:p w14:paraId="5246463A" w14:textId="77777777" w:rsidR="003210FB" w:rsidRPr="008A0812" w:rsidRDefault="003210FB" w:rsidP="004776AB">
      <w:pPr>
        <w:pStyle w:val="Bullet"/>
        <w:overflowPunct/>
        <w:autoSpaceDE/>
        <w:autoSpaceDN/>
        <w:adjustRightInd/>
        <w:textAlignment w:val="auto"/>
      </w:pPr>
      <w:r w:rsidRPr="008A0812">
        <w:t xml:space="preserve">Maximum month design load of </w:t>
      </w:r>
      <w:r w:rsidRPr="008A0812">
        <w:rPr>
          <w:rFonts w:cs="Calibri"/>
          <w:color w:val="000000"/>
        </w:rPr>
        <w:t>9,700 pounds TKN per day.</w:t>
      </w:r>
    </w:p>
    <w:p w14:paraId="6D0112D5" w14:textId="77777777" w:rsidR="003210FB" w:rsidRPr="008A0812" w:rsidRDefault="003210FB"/>
    <w:p w14:paraId="3E2247F2" w14:textId="77777777" w:rsidR="00C563E0" w:rsidRPr="008A0812" w:rsidRDefault="00C563E0" w:rsidP="004776AB">
      <w:pPr>
        <w:pStyle w:val="Bullet"/>
        <w:overflowPunct/>
        <w:autoSpaceDE/>
        <w:autoSpaceDN/>
        <w:adjustRightInd/>
        <w:textAlignment w:val="auto"/>
      </w:pPr>
      <w:r w:rsidRPr="008A0812">
        <w:t>Expansion of existing Unit 3 primary clarifiers by 50% to provide capacity for 54 mgd peak flow.</w:t>
      </w:r>
    </w:p>
    <w:p w14:paraId="442EE216" w14:textId="6A607CB7" w:rsidR="00C563E0" w:rsidRPr="008A0812" w:rsidRDefault="001979BE" w:rsidP="004776AB">
      <w:pPr>
        <w:pStyle w:val="Bullet"/>
        <w:overflowPunct/>
        <w:autoSpaceDE/>
        <w:autoSpaceDN/>
        <w:adjustRightInd/>
        <w:textAlignment w:val="auto"/>
      </w:pPr>
      <w:r w:rsidRPr="008A0812">
        <w:t>A</w:t>
      </w:r>
      <w:r w:rsidR="00C563E0" w:rsidRPr="008A0812">
        <w:t>eration basins</w:t>
      </w:r>
      <w:r w:rsidRPr="008A0812">
        <w:t xml:space="preserve">. Covers </w:t>
      </w:r>
      <w:r w:rsidR="00C563E0" w:rsidRPr="008A0812">
        <w:t xml:space="preserve">with odor control facilities </w:t>
      </w:r>
      <w:r w:rsidRPr="008A0812">
        <w:t xml:space="preserve">will be considered for all or part of the tanks </w:t>
      </w:r>
      <w:r w:rsidR="00C563E0" w:rsidRPr="008A0812">
        <w:t>due to the proximity to surrounding development.</w:t>
      </w:r>
    </w:p>
    <w:p w14:paraId="16DF2E11" w14:textId="71191C1F" w:rsidR="008829C6" w:rsidRPr="008A0812" w:rsidRDefault="008829C6" w:rsidP="00992B5D">
      <w:pPr>
        <w:pStyle w:val="Bullet"/>
        <w:overflowPunct/>
        <w:autoSpaceDE/>
        <w:autoSpaceDN/>
        <w:adjustRightInd/>
        <w:textAlignment w:val="auto"/>
      </w:pPr>
      <w:r w:rsidRPr="008A0812">
        <w:t xml:space="preserve">Addition </w:t>
      </w:r>
      <w:r w:rsidR="00992B5D" w:rsidRPr="008A0812">
        <w:t>10%</w:t>
      </w:r>
      <w:r w:rsidRPr="008A0812">
        <w:t xml:space="preserve"> loading</w:t>
      </w:r>
      <w:r w:rsidR="00992B5D" w:rsidRPr="008A0812">
        <w:t xml:space="preserve"> to account for centrate </w:t>
      </w:r>
      <w:r w:rsidRPr="008A0812">
        <w:t>return to headworks</w:t>
      </w:r>
      <w:r w:rsidR="00992B5D" w:rsidRPr="008A0812">
        <w:t>.</w:t>
      </w:r>
    </w:p>
    <w:p w14:paraId="59DC6C61" w14:textId="3B652728" w:rsidR="00992B5D" w:rsidRPr="008A0812" w:rsidRDefault="008829C6" w:rsidP="00992B5D">
      <w:pPr>
        <w:pStyle w:val="Bullet"/>
        <w:overflowPunct/>
        <w:autoSpaceDE/>
        <w:autoSpaceDN/>
        <w:adjustRightInd/>
        <w:textAlignment w:val="auto"/>
      </w:pPr>
      <w:r w:rsidRPr="008A0812">
        <w:t>30% BOD removal</w:t>
      </w:r>
    </w:p>
    <w:p w14:paraId="1703F925" w14:textId="6B58D0A3" w:rsidR="00C563E0" w:rsidRPr="008A0812" w:rsidRDefault="00C563E0" w:rsidP="004776AB">
      <w:pPr>
        <w:pStyle w:val="Bullet"/>
        <w:overflowPunct/>
        <w:autoSpaceDE/>
        <w:autoSpaceDN/>
        <w:adjustRightInd/>
        <w:textAlignment w:val="auto"/>
      </w:pPr>
      <w:r w:rsidRPr="008A0812">
        <w:t xml:space="preserve">Six parallel reactor tanks, each with an anoxic zone, swing zone, aerobic zone, and mixed liquor return with </w:t>
      </w:r>
      <w:r w:rsidR="00992B5D" w:rsidRPr="008A0812">
        <w:t xml:space="preserve">mixers </w:t>
      </w:r>
      <w:r w:rsidRPr="008A0812">
        <w:t>in the anoxic and swing zones.</w:t>
      </w:r>
    </w:p>
    <w:p w14:paraId="0E79AD54" w14:textId="77777777" w:rsidR="00C563E0" w:rsidRPr="008A0812" w:rsidRDefault="00C563E0" w:rsidP="004776AB">
      <w:pPr>
        <w:pStyle w:val="Bullet"/>
        <w:overflowPunct/>
        <w:autoSpaceDE/>
        <w:autoSpaceDN/>
        <w:adjustRightInd/>
        <w:textAlignment w:val="auto"/>
      </w:pPr>
      <w:r w:rsidRPr="008A0812">
        <w:t>New aeration piping from an above-ground pipe from blower project currently being designed (no additional blower cost included).</w:t>
      </w:r>
    </w:p>
    <w:p w14:paraId="6CFB1B6C" w14:textId="5727D81B" w:rsidR="00C563E0" w:rsidRPr="008A0812" w:rsidRDefault="00C563E0" w:rsidP="004776AB">
      <w:pPr>
        <w:pStyle w:val="Bullet"/>
        <w:overflowPunct/>
        <w:autoSpaceDE/>
        <w:autoSpaceDN/>
        <w:adjustRightInd/>
        <w:textAlignment w:val="auto"/>
      </w:pPr>
      <w:r w:rsidRPr="008A0812">
        <w:t>Six 100-foot diameter secondary clarifiers sized for peak flow of 54 mgd with an SVI of 150 mL/g and MLSS of 3,000 mg/L.</w:t>
      </w:r>
    </w:p>
    <w:p w14:paraId="7857E901" w14:textId="77777777" w:rsidR="00C563E0" w:rsidRPr="008A0812" w:rsidRDefault="00C563E0" w:rsidP="004776AB">
      <w:pPr>
        <w:pStyle w:val="Bullet"/>
        <w:overflowPunct/>
        <w:autoSpaceDE/>
        <w:autoSpaceDN/>
        <w:adjustRightInd/>
        <w:textAlignment w:val="auto"/>
      </w:pPr>
      <w:r w:rsidRPr="008A0812">
        <w:t xml:space="preserve">Underground RAS/WAS pumping gallery with above-ground electrical/control building. </w:t>
      </w:r>
    </w:p>
    <w:p w14:paraId="1CAC9608" w14:textId="09943A39" w:rsidR="00C563E0" w:rsidRPr="008A0812" w:rsidRDefault="00C563E0" w:rsidP="00011F52">
      <w:pPr>
        <w:pStyle w:val="BodyText"/>
        <w:spacing w:before="120"/>
      </w:pPr>
      <w:r w:rsidRPr="008A0812">
        <w:t xml:space="preserve">The engineer’s estimate of probable cost for </w:t>
      </w:r>
      <w:r w:rsidR="005A5E88" w:rsidRPr="008A0812">
        <w:t>the Unit 3 Expansion and Completion</w:t>
      </w:r>
      <w:r w:rsidRPr="008A0812">
        <w:t xml:space="preserve"> is based on the stated assumptions and is on the order of $100 million, within a range of $80 million to $140 million based on -20% to +40% range for Class 4 estimates. This estimate is inclusive of planning, design, and construction with a 30% project contingency applied.  </w:t>
      </w:r>
    </w:p>
    <w:p w14:paraId="50732854" w14:textId="0337A51A" w:rsidR="00011F52" w:rsidRPr="008A0812" w:rsidRDefault="00011F52" w:rsidP="00011F52">
      <w:pPr>
        <w:pStyle w:val="TableHeading"/>
      </w:pPr>
      <w:bookmarkStart w:id="613" w:name="_Toc36414116"/>
      <w:bookmarkStart w:id="614" w:name="_Toc41684800"/>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10</w:t>
      </w:r>
      <w:r>
        <w:fldChar w:fldCharType="end"/>
      </w:r>
      <w:r w:rsidRPr="008A0812">
        <w:t>: Unit 3 Expansion and Completion Cost Estimate (Class 4)</w:t>
      </w:r>
      <w:bookmarkEnd w:id="613"/>
      <w:bookmarkEnd w:id="614"/>
    </w:p>
    <w:tbl>
      <w:tblPr>
        <w:tblW w:w="792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12"/>
        <w:gridCol w:w="19"/>
        <w:gridCol w:w="1889"/>
      </w:tblGrid>
      <w:tr w:rsidR="00C563E0" w:rsidRPr="008A0812" w14:paraId="292E4F49" w14:textId="77777777" w:rsidTr="004776AB">
        <w:trPr>
          <w:jc w:val="center"/>
        </w:trPr>
        <w:tc>
          <w:tcPr>
            <w:tcW w:w="6012" w:type="dxa"/>
            <w:tcBorders>
              <w:top w:val="single" w:sz="6" w:space="0" w:color="auto"/>
              <w:left w:val="single" w:sz="6" w:space="0" w:color="auto"/>
              <w:bottom w:val="single" w:sz="6" w:space="0" w:color="auto"/>
              <w:right w:val="single" w:sz="6" w:space="0" w:color="auto"/>
            </w:tcBorders>
            <w:shd w:val="clear" w:color="auto" w:fill="BFBFBF"/>
          </w:tcPr>
          <w:p w14:paraId="2404638F" w14:textId="77777777" w:rsidR="00C563E0" w:rsidRPr="008A0812" w:rsidRDefault="00C563E0" w:rsidP="004776AB">
            <w:pPr>
              <w:keepNext/>
              <w:overflowPunct/>
              <w:autoSpaceDE/>
              <w:autoSpaceDN/>
              <w:adjustRightInd/>
              <w:jc w:val="center"/>
              <w:rPr>
                <w:rFonts w:ascii="Segoe UI" w:hAnsi="Segoe UI" w:cs="Segoe UI"/>
                <w:sz w:val="18"/>
                <w:szCs w:val="18"/>
              </w:rPr>
            </w:pPr>
            <w:r w:rsidRPr="008A0812">
              <w:rPr>
                <w:rFonts w:cs="Segoe UI"/>
                <w:b/>
                <w:bCs/>
              </w:rPr>
              <w:t>Project Component</w:t>
            </w:r>
          </w:p>
        </w:tc>
        <w:tc>
          <w:tcPr>
            <w:tcW w:w="19" w:type="dxa"/>
            <w:tcBorders>
              <w:top w:val="single" w:sz="6" w:space="0" w:color="auto"/>
              <w:left w:val="nil"/>
              <w:bottom w:val="single" w:sz="6" w:space="0" w:color="auto"/>
              <w:right w:val="nil"/>
            </w:tcBorders>
            <w:shd w:val="clear" w:color="auto" w:fill="BFBFBF"/>
          </w:tcPr>
          <w:p w14:paraId="576C36B2" w14:textId="77777777" w:rsidR="00C563E0" w:rsidRPr="008A0812" w:rsidRDefault="00C563E0" w:rsidP="004776AB">
            <w:pPr>
              <w:keepNext/>
              <w:overflowPunct/>
              <w:autoSpaceDE/>
              <w:autoSpaceDN/>
              <w:adjustRightInd/>
              <w:jc w:val="center"/>
              <w:rPr>
                <w:rFonts w:cs="Segoe UI"/>
                <w:b/>
                <w:bCs/>
                <w:color w:val="000000"/>
              </w:rPr>
            </w:pPr>
          </w:p>
        </w:tc>
        <w:tc>
          <w:tcPr>
            <w:tcW w:w="1889" w:type="dxa"/>
            <w:tcBorders>
              <w:top w:val="single" w:sz="6" w:space="0" w:color="auto"/>
              <w:left w:val="nil"/>
              <w:bottom w:val="single" w:sz="6" w:space="0" w:color="auto"/>
              <w:right w:val="single" w:sz="6" w:space="0" w:color="auto"/>
            </w:tcBorders>
            <w:shd w:val="clear" w:color="auto" w:fill="BFBFBF"/>
            <w:vAlign w:val="bottom"/>
            <w:hideMark/>
          </w:tcPr>
          <w:p w14:paraId="6D7B2B05" w14:textId="77777777" w:rsidR="00C563E0" w:rsidRPr="008A0812" w:rsidRDefault="00C563E0" w:rsidP="004776AB">
            <w:pPr>
              <w:keepNext/>
              <w:overflowPunct/>
              <w:autoSpaceDE/>
              <w:autoSpaceDN/>
              <w:adjustRightInd/>
              <w:jc w:val="center"/>
              <w:rPr>
                <w:rFonts w:ascii="Segoe UI" w:hAnsi="Segoe UI" w:cs="Segoe UI"/>
                <w:sz w:val="18"/>
                <w:szCs w:val="18"/>
              </w:rPr>
            </w:pPr>
            <w:r w:rsidRPr="008A0812">
              <w:rPr>
                <w:rFonts w:cs="Segoe UI"/>
                <w:b/>
                <w:bCs/>
                <w:color w:val="000000"/>
              </w:rPr>
              <w:t>Estimated Cost</w:t>
            </w:r>
          </w:p>
        </w:tc>
      </w:tr>
      <w:tr w:rsidR="00C563E0" w:rsidRPr="008A0812" w14:paraId="55E68991" w14:textId="77777777" w:rsidTr="004776AB">
        <w:trPr>
          <w:jc w:val="center"/>
        </w:trPr>
        <w:tc>
          <w:tcPr>
            <w:tcW w:w="6012" w:type="dxa"/>
            <w:tcBorders>
              <w:top w:val="single" w:sz="6" w:space="0" w:color="auto"/>
              <w:left w:val="single" w:sz="6" w:space="0" w:color="auto"/>
              <w:bottom w:val="single" w:sz="6" w:space="0" w:color="auto"/>
              <w:right w:val="single" w:sz="6" w:space="0" w:color="auto"/>
            </w:tcBorders>
            <w:tcMar>
              <w:left w:w="72" w:type="dxa"/>
            </w:tcMar>
          </w:tcPr>
          <w:p w14:paraId="70A46FB8" w14:textId="77777777" w:rsidR="00C563E0" w:rsidRPr="008A0812" w:rsidRDefault="00C563E0" w:rsidP="004776AB">
            <w:pPr>
              <w:keepNext/>
              <w:overflowPunct/>
              <w:autoSpaceDE/>
              <w:autoSpaceDN/>
              <w:adjustRightInd/>
              <w:rPr>
                <w:rFonts w:asciiTheme="majorHAnsi" w:hAnsiTheme="majorHAnsi" w:cs="Segoe UI"/>
                <w:b/>
                <w:bCs/>
              </w:rPr>
            </w:pPr>
            <w:r w:rsidRPr="008A0812">
              <w:rPr>
                <w:rFonts w:asciiTheme="majorHAnsi" w:hAnsiTheme="majorHAnsi" w:cs="Segoe UI"/>
                <w:b/>
                <w:bCs/>
              </w:rPr>
              <w:t>Project Subtotal</w:t>
            </w:r>
          </w:p>
        </w:tc>
        <w:tc>
          <w:tcPr>
            <w:tcW w:w="19" w:type="dxa"/>
            <w:tcBorders>
              <w:top w:val="single" w:sz="6" w:space="0" w:color="auto"/>
              <w:left w:val="nil"/>
              <w:bottom w:val="single" w:sz="6" w:space="0" w:color="auto"/>
              <w:right w:val="nil"/>
            </w:tcBorders>
          </w:tcPr>
          <w:p w14:paraId="6F5EDBA1" w14:textId="77777777" w:rsidR="00C563E0" w:rsidRPr="008A0812" w:rsidRDefault="00C563E0" w:rsidP="004776AB">
            <w:pPr>
              <w:keepNext/>
              <w:overflowPunct/>
              <w:autoSpaceDE/>
              <w:autoSpaceDN/>
              <w:adjustRightInd/>
              <w:jc w:val="right"/>
              <w:rPr>
                <w:rFonts w:asciiTheme="majorHAnsi" w:hAnsiTheme="majorHAnsi" w:cs="Segoe UI"/>
                <w:b/>
                <w:bCs/>
              </w:rPr>
            </w:pPr>
          </w:p>
        </w:tc>
        <w:tc>
          <w:tcPr>
            <w:tcW w:w="1889" w:type="dxa"/>
            <w:tcBorders>
              <w:top w:val="single" w:sz="6" w:space="0" w:color="auto"/>
              <w:left w:val="nil"/>
              <w:bottom w:val="single" w:sz="6" w:space="0" w:color="auto"/>
              <w:right w:val="single" w:sz="6" w:space="0" w:color="auto"/>
            </w:tcBorders>
            <w:shd w:val="clear" w:color="auto" w:fill="auto"/>
            <w:tcMar>
              <w:right w:w="72" w:type="dxa"/>
            </w:tcMar>
          </w:tcPr>
          <w:p w14:paraId="251C9E02" w14:textId="77777777" w:rsidR="00C563E0" w:rsidRPr="008A0812" w:rsidRDefault="00C563E0" w:rsidP="004776AB">
            <w:pPr>
              <w:keepNext/>
              <w:overflowPunct/>
              <w:autoSpaceDE/>
              <w:autoSpaceDN/>
              <w:adjustRightInd/>
              <w:jc w:val="right"/>
              <w:rPr>
                <w:rFonts w:asciiTheme="majorHAnsi" w:hAnsiTheme="majorHAnsi" w:cs="Segoe UI"/>
                <w:b/>
                <w:bCs/>
              </w:rPr>
            </w:pPr>
            <w:r w:rsidRPr="008A0812">
              <w:rPr>
                <w:rFonts w:asciiTheme="majorHAnsi" w:hAnsiTheme="majorHAnsi" w:cs="Segoe UI"/>
                <w:b/>
                <w:bCs/>
              </w:rPr>
              <w:t>$ 78,000,000</w:t>
            </w:r>
          </w:p>
        </w:tc>
      </w:tr>
      <w:tr w:rsidR="00C563E0" w:rsidRPr="008A0812" w14:paraId="6D99C150" w14:textId="77777777" w:rsidTr="004776AB">
        <w:trPr>
          <w:jc w:val="center"/>
        </w:trPr>
        <w:tc>
          <w:tcPr>
            <w:tcW w:w="6012" w:type="dxa"/>
            <w:tcBorders>
              <w:top w:val="single" w:sz="6" w:space="0" w:color="auto"/>
              <w:left w:val="single" w:sz="6" w:space="0" w:color="auto"/>
              <w:bottom w:val="single" w:sz="6" w:space="0" w:color="auto"/>
              <w:right w:val="single" w:sz="6" w:space="0" w:color="auto"/>
            </w:tcBorders>
            <w:tcMar>
              <w:left w:w="72" w:type="dxa"/>
            </w:tcMar>
          </w:tcPr>
          <w:p w14:paraId="08386D86" w14:textId="77777777" w:rsidR="00C563E0" w:rsidRPr="008A0812" w:rsidRDefault="00C563E0" w:rsidP="004776AB">
            <w:pPr>
              <w:keepNext/>
              <w:overflowPunct/>
              <w:autoSpaceDE/>
              <w:autoSpaceDN/>
              <w:adjustRightInd/>
              <w:rPr>
                <w:rFonts w:asciiTheme="majorHAnsi" w:hAnsiTheme="majorHAnsi" w:cs="Segoe UI"/>
              </w:rPr>
            </w:pPr>
            <w:r w:rsidRPr="008A0812">
              <w:rPr>
                <w:rFonts w:asciiTheme="majorHAnsi" w:hAnsiTheme="majorHAnsi" w:cs="Segoe UI"/>
              </w:rPr>
              <w:t>Project Contingency (+30%)</w:t>
            </w:r>
          </w:p>
        </w:tc>
        <w:tc>
          <w:tcPr>
            <w:tcW w:w="19" w:type="dxa"/>
            <w:tcBorders>
              <w:top w:val="single" w:sz="6" w:space="0" w:color="auto"/>
              <w:left w:val="nil"/>
              <w:bottom w:val="single" w:sz="6" w:space="0" w:color="auto"/>
              <w:right w:val="nil"/>
            </w:tcBorders>
          </w:tcPr>
          <w:p w14:paraId="77CE6C18" w14:textId="77777777" w:rsidR="00C563E0" w:rsidRPr="008A0812" w:rsidRDefault="00C563E0" w:rsidP="004776AB">
            <w:pPr>
              <w:keepNext/>
              <w:overflowPunct/>
              <w:autoSpaceDE/>
              <w:autoSpaceDN/>
              <w:adjustRightInd/>
              <w:jc w:val="right"/>
              <w:rPr>
                <w:rFonts w:asciiTheme="majorHAnsi" w:hAnsiTheme="majorHAnsi" w:cs="Segoe UI"/>
                <w:b/>
                <w:bCs/>
              </w:rPr>
            </w:pPr>
          </w:p>
        </w:tc>
        <w:tc>
          <w:tcPr>
            <w:tcW w:w="1889" w:type="dxa"/>
            <w:tcBorders>
              <w:top w:val="single" w:sz="6" w:space="0" w:color="auto"/>
              <w:left w:val="nil"/>
              <w:bottom w:val="single" w:sz="6" w:space="0" w:color="auto"/>
              <w:right w:val="single" w:sz="6" w:space="0" w:color="auto"/>
            </w:tcBorders>
            <w:shd w:val="clear" w:color="auto" w:fill="auto"/>
            <w:tcMar>
              <w:right w:w="72" w:type="dxa"/>
            </w:tcMar>
          </w:tcPr>
          <w:p w14:paraId="4515BA52" w14:textId="77777777" w:rsidR="00C563E0" w:rsidRPr="008A0812" w:rsidRDefault="00C563E0" w:rsidP="004776AB">
            <w:pPr>
              <w:keepNext/>
              <w:overflowPunct/>
              <w:autoSpaceDE/>
              <w:autoSpaceDN/>
              <w:adjustRightInd/>
              <w:jc w:val="right"/>
              <w:rPr>
                <w:rFonts w:asciiTheme="majorHAnsi" w:hAnsiTheme="majorHAnsi" w:cs="Segoe UI"/>
              </w:rPr>
            </w:pPr>
            <w:r w:rsidRPr="008A0812">
              <w:rPr>
                <w:rFonts w:asciiTheme="majorHAnsi" w:hAnsiTheme="majorHAnsi" w:cs="Segoe UI"/>
              </w:rPr>
              <w:t>$ 23,500,000</w:t>
            </w:r>
          </w:p>
        </w:tc>
      </w:tr>
      <w:tr w:rsidR="00C563E0" w:rsidRPr="008A0812" w14:paraId="76156F7B" w14:textId="77777777" w:rsidTr="004776AB">
        <w:trPr>
          <w:jc w:val="center"/>
        </w:trPr>
        <w:tc>
          <w:tcPr>
            <w:tcW w:w="6012" w:type="dxa"/>
            <w:tcBorders>
              <w:top w:val="single" w:sz="6" w:space="0" w:color="auto"/>
              <w:left w:val="single" w:sz="6" w:space="0" w:color="auto"/>
              <w:bottom w:val="single" w:sz="6" w:space="0" w:color="auto"/>
              <w:right w:val="single" w:sz="6" w:space="0" w:color="auto"/>
            </w:tcBorders>
            <w:tcMar>
              <w:left w:w="72" w:type="dxa"/>
            </w:tcMar>
          </w:tcPr>
          <w:p w14:paraId="3E9A1EFC" w14:textId="46B37DAB" w:rsidR="00C563E0" w:rsidRPr="008A0812" w:rsidRDefault="00C563E0" w:rsidP="004776AB">
            <w:pPr>
              <w:keepNext/>
              <w:overflowPunct/>
              <w:autoSpaceDE/>
              <w:autoSpaceDN/>
              <w:adjustRightInd/>
              <w:rPr>
                <w:rFonts w:asciiTheme="majorHAnsi" w:hAnsiTheme="majorHAnsi" w:cs="Segoe UI"/>
                <w:b/>
                <w:bCs/>
              </w:rPr>
            </w:pPr>
            <w:r w:rsidRPr="008A0812">
              <w:rPr>
                <w:rFonts w:asciiTheme="majorHAnsi" w:hAnsiTheme="majorHAnsi" w:cs="Segoe UI"/>
                <w:b/>
                <w:bCs/>
              </w:rPr>
              <w:t>Total Project Cost (2019$ rounded)</w:t>
            </w:r>
            <w:r w:rsidR="003210FB" w:rsidRPr="008A0812">
              <w:rPr>
                <w:rFonts w:asciiTheme="majorHAnsi" w:hAnsiTheme="majorHAnsi" w:cs="Segoe UI"/>
                <w:b/>
                <w:bCs/>
                <w:vertAlign w:val="superscript"/>
              </w:rPr>
              <w:t xml:space="preserve"> 1</w:t>
            </w:r>
          </w:p>
        </w:tc>
        <w:tc>
          <w:tcPr>
            <w:tcW w:w="19" w:type="dxa"/>
            <w:tcBorders>
              <w:top w:val="single" w:sz="6" w:space="0" w:color="auto"/>
              <w:left w:val="nil"/>
              <w:bottom w:val="single" w:sz="6" w:space="0" w:color="auto"/>
              <w:right w:val="nil"/>
            </w:tcBorders>
          </w:tcPr>
          <w:p w14:paraId="39A38C61" w14:textId="77777777" w:rsidR="00C563E0" w:rsidRPr="008A0812" w:rsidRDefault="00C563E0" w:rsidP="004776AB">
            <w:pPr>
              <w:keepNext/>
              <w:overflowPunct/>
              <w:autoSpaceDE/>
              <w:autoSpaceDN/>
              <w:adjustRightInd/>
              <w:jc w:val="right"/>
              <w:rPr>
                <w:rFonts w:cs="Segoe UI"/>
                <w:b/>
                <w:bCs/>
              </w:rPr>
            </w:pPr>
          </w:p>
        </w:tc>
        <w:tc>
          <w:tcPr>
            <w:tcW w:w="1889" w:type="dxa"/>
            <w:tcBorders>
              <w:top w:val="single" w:sz="6" w:space="0" w:color="auto"/>
              <w:left w:val="nil"/>
              <w:bottom w:val="single" w:sz="6" w:space="0" w:color="auto"/>
              <w:right w:val="single" w:sz="6" w:space="0" w:color="auto"/>
            </w:tcBorders>
            <w:shd w:val="clear" w:color="auto" w:fill="auto"/>
            <w:tcMar>
              <w:right w:w="72" w:type="dxa"/>
            </w:tcMar>
          </w:tcPr>
          <w:p w14:paraId="524D2F1E" w14:textId="702F2A0F" w:rsidR="00C563E0" w:rsidRPr="008A0812" w:rsidRDefault="003E48B2" w:rsidP="004776AB">
            <w:pPr>
              <w:keepNext/>
              <w:overflowPunct/>
              <w:autoSpaceDE/>
              <w:autoSpaceDN/>
              <w:adjustRightInd/>
              <w:jc w:val="right"/>
              <w:rPr>
                <w:rFonts w:cs="Segoe UI"/>
                <w:b/>
                <w:bCs/>
              </w:rPr>
            </w:pPr>
            <w:r w:rsidRPr="008A0812">
              <w:rPr>
                <w:rFonts w:cs="Segoe UI"/>
                <w:b/>
                <w:bCs/>
              </w:rPr>
              <w:t>$ 101,500,000</w:t>
            </w:r>
          </w:p>
        </w:tc>
      </w:tr>
    </w:tbl>
    <w:p w14:paraId="42108B08" w14:textId="75029DD1" w:rsidR="003210FB" w:rsidRPr="008A0812" w:rsidRDefault="003210FB" w:rsidP="003210FB">
      <w:pPr>
        <w:pStyle w:val="BodyText"/>
        <w:keepNext/>
        <w:keepLines/>
        <w:spacing w:before="120" w:after="0"/>
        <w:ind w:left="720"/>
        <w:rPr>
          <w:rFonts w:cs="Segoe UI"/>
          <w:sz w:val="18"/>
          <w:szCs w:val="18"/>
        </w:rPr>
      </w:pPr>
      <w:r w:rsidRPr="008A0812">
        <w:rPr>
          <w:rFonts w:cs="Segoe UI"/>
          <w:sz w:val="18"/>
          <w:szCs w:val="18"/>
        </w:rPr>
        <w:t>Notes:</w:t>
      </w:r>
    </w:p>
    <w:p w14:paraId="006D428E" w14:textId="40A09313" w:rsidR="003210FB" w:rsidRPr="008A0812" w:rsidRDefault="003210FB" w:rsidP="003E48B2">
      <w:pPr>
        <w:pStyle w:val="BodyText"/>
        <w:keepNext/>
        <w:keepLines/>
        <w:numPr>
          <w:ilvl w:val="0"/>
          <w:numId w:val="54"/>
        </w:numPr>
        <w:spacing w:before="120" w:after="0"/>
        <w:rPr>
          <w:rFonts w:cs="Segoe UI"/>
          <w:sz w:val="18"/>
          <w:szCs w:val="18"/>
        </w:rPr>
      </w:pPr>
      <w:r w:rsidRPr="008A0812">
        <w:rPr>
          <w:rFonts w:cs="Segoe UI"/>
          <w:sz w:val="18"/>
          <w:szCs w:val="18"/>
        </w:rPr>
        <w:t xml:space="preserve">Sequencing of the Unit 3 Expansion and Completion Project is detailed in </w:t>
      </w:r>
      <w:r w:rsidR="003E48B2" w:rsidRPr="008A0812">
        <w:rPr>
          <w:rFonts w:cs="Segoe UI"/>
          <w:sz w:val="18"/>
          <w:szCs w:val="18"/>
        </w:rPr>
        <w:t xml:space="preserve">Section </w:t>
      </w:r>
      <w:r w:rsidR="003E48B2" w:rsidRPr="008A0812">
        <w:rPr>
          <w:rFonts w:cs="Segoe UI"/>
          <w:sz w:val="18"/>
          <w:szCs w:val="18"/>
        </w:rPr>
        <w:fldChar w:fldCharType="begin"/>
      </w:r>
      <w:r w:rsidR="003E48B2" w:rsidRPr="008A0812">
        <w:rPr>
          <w:rFonts w:cs="Segoe UI"/>
          <w:sz w:val="18"/>
          <w:szCs w:val="18"/>
        </w:rPr>
        <w:instrText xml:space="preserve"> REF _Ref36655011 \r \h </w:instrText>
      </w:r>
      <w:r w:rsidR="001407D5" w:rsidRPr="008A0812">
        <w:rPr>
          <w:rFonts w:cs="Segoe UI"/>
          <w:sz w:val="18"/>
          <w:szCs w:val="18"/>
        </w:rPr>
        <w:instrText xml:space="preserve"> \* MERGEFORMAT </w:instrText>
      </w:r>
      <w:r w:rsidR="003E48B2" w:rsidRPr="008A0812">
        <w:rPr>
          <w:rFonts w:cs="Segoe UI"/>
          <w:sz w:val="18"/>
          <w:szCs w:val="18"/>
        </w:rPr>
      </w:r>
      <w:r w:rsidR="003E48B2" w:rsidRPr="008A0812">
        <w:rPr>
          <w:rFonts w:cs="Segoe UI"/>
          <w:sz w:val="18"/>
          <w:szCs w:val="18"/>
        </w:rPr>
        <w:fldChar w:fldCharType="separate"/>
      </w:r>
      <w:r w:rsidR="00AA68F8">
        <w:rPr>
          <w:rFonts w:cs="Segoe UI"/>
          <w:sz w:val="18"/>
          <w:szCs w:val="18"/>
        </w:rPr>
        <w:t>11.3</w:t>
      </w:r>
      <w:r w:rsidR="003E48B2" w:rsidRPr="008A0812">
        <w:rPr>
          <w:rFonts w:cs="Segoe UI"/>
          <w:sz w:val="18"/>
          <w:szCs w:val="18"/>
        </w:rPr>
        <w:fldChar w:fldCharType="end"/>
      </w:r>
      <w:r w:rsidR="003E48B2" w:rsidRPr="008A0812">
        <w:rPr>
          <w:rFonts w:cs="Segoe UI"/>
          <w:sz w:val="18"/>
          <w:szCs w:val="18"/>
        </w:rPr>
        <w:t>.</w:t>
      </w:r>
    </w:p>
    <w:p w14:paraId="4EBFFFA6" w14:textId="1B7BA2FE" w:rsidR="004776AB" w:rsidRPr="008A0812" w:rsidRDefault="00C563E0" w:rsidP="003210FB">
      <w:pPr>
        <w:pStyle w:val="BodyText"/>
      </w:pPr>
      <w:r w:rsidRPr="008A0812">
        <w:t xml:space="preserve">As shown in </w:t>
      </w:r>
      <w:r w:rsidR="00AE02AD" w:rsidRPr="008A0812">
        <w:fldChar w:fldCharType="begin"/>
      </w:r>
      <w:r w:rsidR="00AE02AD" w:rsidRPr="008A0812">
        <w:instrText xml:space="preserve"> REF _Ref36403493 \h </w:instrText>
      </w:r>
      <w:r w:rsidR="008A0812">
        <w:instrText xml:space="preserve"> \* MERGEFORMAT </w:instrText>
      </w:r>
      <w:r w:rsidR="00AE02AD" w:rsidRPr="008A0812">
        <w:fldChar w:fldCharType="separate"/>
      </w:r>
      <w:r w:rsidR="00AA68F8" w:rsidRPr="008A0812">
        <w:t xml:space="preserve">Figure </w:t>
      </w:r>
      <w:r w:rsidR="00AA68F8">
        <w:rPr>
          <w:noProof/>
        </w:rPr>
        <w:t>10</w:t>
      </w:r>
      <w:r w:rsidR="00AA68F8">
        <w:rPr>
          <w:noProof/>
        </w:rPr>
        <w:noBreakHyphen/>
        <w:t>4</w:t>
      </w:r>
      <w:r w:rsidR="00AE02AD" w:rsidRPr="008A0812">
        <w:fldChar w:fldCharType="end"/>
      </w:r>
      <w:r w:rsidRPr="008A0812">
        <w:t xml:space="preserve">, in 2032 an expenditure over $15 million has been identified for R&amp;R associated with the existing liquid treatment facilities. Ideally, the new unified treatment process would be installed prior to 2032 to avoid this expenditure. Timing the </w:t>
      </w:r>
      <w:r w:rsidR="005A5E88" w:rsidRPr="008A0812">
        <w:t>Unit 3 Expansion and Completion</w:t>
      </w:r>
      <w:r w:rsidRPr="008A0812">
        <w:t xml:space="preserve"> Project must consider the time needed for financing, facility planning, design, and construction. The flow reduction by EVWD is scheduled for late 2021. A facility planning level analysis of the </w:t>
      </w:r>
      <w:r w:rsidR="005A5E88" w:rsidRPr="008A0812">
        <w:t>Unit 3 Expansions and Completion</w:t>
      </w:r>
      <w:r w:rsidRPr="008A0812">
        <w:t xml:space="preserve"> can logically begin after the EVWD flow reduction occurs and resultant reduction in loads can be verified. Once more detailed planning and initial studies are complete, preliminary design can reasonably begin with sufficient time to allow construction to be complete by 2031.  </w:t>
      </w:r>
    </w:p>
    <w:p w14:paraId="578A5026" w14:textId="77777777" w:rsidR="00AE02AD" w:rsidRPr="008A0812" w:rsidRDefault="004776AB" w:rsidP="004776AB">
      <w:pPr>
        <w:pStyle w:val="BodyText"/>
        <w:keepNext/>
        <w:keepLines/>
        <w:jc w:val="center"/>
      </w:pPr>
      <w:r w:rsidRPr="008A0812">
        <w:rPr>
          <w:noProof/>
        </w:rPr>
        <mc:AlternateContent>
          <mc:Choice Requires="wps">
            <w:drawing>
              <wp:anchor distT="0" distB="0" distL="114300" distR="114300" simplePos="0" relativeHeight="251658242" behindDoc="0" locked="0" layoutInCell="1" allowOverlap="1" wp14:anchorId="57E3C19F" wp14:editId="5787C2BB">
                <wp:simplePos x="0" y="0"/>
                <wp:positionH relativeFrom="column">
                  <wp:posOffset>829310</wp:posOffset>
                </wp:positionH>
                <wp:positionV relativeFrom="paragraph">
                  <wp:posOffset>797766</wp:posOffset>
                </wp:positionV>
                <wp:extent cx="4091015" cy="0"/>
                <wp:effectExtent l="0" t="0" r="0" b="0"/>
                <wp:wrapNone/>
                <wp:docPr id="14" name="Straight Connector 14"/>
                <wp:cNvGraphicFramePr/>
                <a:graphic xmlns:a="http://schemas.openxmlformats.org/drawingml/2006/main">
                  <a:graphicData uri="http://schemas.microsoft.com/office/word/2010/wordprocessingShape">
                    <wps:wsp>
                      <wps:cNvCnPr/>
                      <wps:spPr>
                        <a:xfrm flipH="1">
                          <a:off x="0" y="0"/>
                          <a:ext cx="4091015" cy="0"/>
                        </a:xfrm>
                        <a:prstGeom prst="line">
                          <a:avLst/>
                        </a:prstGeom>
                        <a:ln w="15875">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9FD1E4" id="Straight Connector 14" o:spid="_x0000_s1026" style="position:absolute;flip:x;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3pt,62.8pt" to="387.45pt,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" strokecolor="#c75b12 [3207]" strokeweight="1.25pt">
                <v:stroke dashstyle="1 1"/>
              </v:line>
            </w:pict>
          </mc:Fallback>
        </mc:AlternateContent>
      </w:r>
      <w:r w:rsidRPr="008A0812">
        <w:rPr>
          <w:noProof/>
        </w:rPr>
        <mc:AlternateContent>
          <mc:Choice Requires="wps">
            <w:drawing>
              <wp:anchor distT="0" distB="0" distL="114300" distR="114300" simplePos="0" relativeHeight="251658243" behindDoc="0" locked="0" layoutInCell="1" allowOverlap="1" wp14:anchorId="0E467533" wp14:editId="400AE345">
                <wp:simplePos x="0" y="0"/>
                <wp:positionH relativeFrom="column">
                  <wp:posOffset>4904311</wp:posOffset>
                </wp:positionH>
                <wp:positionV relativeFrom="paragraph">
                  <wp:posOffset>824230</wp:posOffset>
                </wp:positionV>
                <wp:extent cx="0" cy="1525138"/>
                <wp:effectExtent l="0" t="0" r="38100" b="37465"/>
                <wp:wrapNone/>
                <wp:docPr id="25" name="Straight Connector 25"/>
                <wp:cNvGraphicFramePr/>
                <a:graphic xmlns:a="http://schemas.openxmlformats.org/drawingml/2006/main">
                  <a:graphicData uri="http://schemas.microsoft.com/office/word/2010/wordprocessingShape">
                    <wps:wsp>
                      <wps:cNvCnPr/>
                      <wps:spPr>
                        <a:xfrm flipH="1">
                          <a:off x="0" y="0"/>
                          <a:ext cx="0" cy="1525138"/>
                        </a:xfrm>
                        <a:prstGeom prst="line">
                          <a:avLst/>
                        </a:prstGeom>
                        <a:ln w="15875">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D64855" id="Straight Connector 25" o:spid="_x0000_s1026" style="position:absolute;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15pt,64.9pt" to="386.1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" strokecolor="#c75b12 [3207]" strokeweight="1.25pt">
                <v:stroke dashstyle="1 1"/>
              </v:line>
            </w:pict>
          </mc:Fallback>
        </mc:AlternateContent>
      </w:r>
      <w:r w:rsidRPr="008A0812">
        <w:rPr>
          <w:noProof/>
        </w:rPr>
        <mc:AlternateContent>
          <mc:Choice Requires="wps">
            <w:drawing>
              <wp:anchor distT="0" distB="0" distL="114300" distR="114300" simplePos="0" relativeHeight="251658244" behindDoc="0" locked="0" layoutInCell="1" allowOverlap="1" wp14:anchorId="7CBD9B50" wp14:editId="10FC56AF">
                <wp:simplePos x="0" y="0"/>
                <wp:positionH relativeFrom="column">
                  <wp:posOffset>1258570</wp:posOffset>
                </wp:positionH>
                <wp:positionV relativeFrom="paragraph">
                  <wp:posOffset>852170</wp:posOffset>
                </wp:positionV>
                <wp:extent cx="5938" cy="2230211"/>
                <wp:effectExtent l="76200" t="38100" r="70485" b="55880"/>
                <wp:wrapNone/>
                <wp:docPr id="26" name="Straight Connector 26"/>
                <wp:cNvGraphicFramePr/>
                <a:graphic xmlns:a="http://schemas.openxmlformats.org/drawingml/2006/main">
                  <a:graphicData uri="http://schemas.microsoft.com/office/word/2010/wordprocessingShape">
                    <wps:wsp>
                      <wps:cNvCnPr/>
                      <wps:spPr>
                        <a:xfrm flipH="1">
                          <a:off x="0" y="0"/>
                          <a:ext cx="5938" cy="2230211"/>
                        </a:xfrm>
                        <a:prstGeom prst="line">
                          <a:avLst/>
                        </a:prstGeom>
                        <a:ln w="15875">
                          <a:solidFill>
                            <a:schemeClr val="accent4"/>
                          </a:solidFill>
                          <a:prstDash val="solid"/>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3F0869" id="Straight Connector 26" o:spid="_x0000_s1026"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pt,67.1pt" to="99.55pt,2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" strokecolor="#c75b12 [3207]" strokeweight="1.25pt">
                <v:stroke startarrow="block" endarrow="block"/>
              </v:line>
            </w:pict>
          </mc:Fallback>
        </mc:AlternateContent>
      </w:r>
      <w:r w:rsidRPr="008A0812">
        <w:rPr>
          <w:noProof/>
        </w:rPr>
        <mc:AlternateContent>
          <mc:Choice Requires="wps">
            <w:drawing>
              <wp:anchor distT="0" distB="0" distL="114300" distR="114300" simplePos="0" relativeHeight="251658240" behindDoc="0" locked="0" layoutInCell="1" allowOverlap="1" wp14:anchorId="3B962C8D" wp14:editId="0B37E0D0">
                <wp:simplePos x="0" y="0"/>
                <wp:positionH relativeFrom="column">
                  <wp:posOffset>838200</wp:posOffset>
                </wp:positionH>
                <wp:positionV relativeFrom="paragraph">
                  <wp:posOffset>3122930</wp:posOffset>
                </wp:positionV>
                <wp:extent cx="1758950" cy="0"/>
                <wp:effectExtent l="0" t="0" r="0" b="0"/>
                <wp:wrapNone/>
                <wp:docPr id="245" name="Straight Connector 245"/>
                <wp:cNvGraphicFramePr/>
                <a:graphic xmlns:a="http://schemas.openxmlformats.org/drawingml/2006/main">
                  <a:graphicData uri="http://schemas.microsoft.com/office/word/2010/wordprocessingShape">
                    <wps:wsp>
                      <wps:cNvCnPr/>
                      <wps:spPr>
                        <a:xfrm flipH="1">
                          <a:off x="0" y="0"/>
                          <a:ext cx="1758950" cy="0"/>
                        </a:xfrm>
                        <a:prstGeom prst="line">
                          <a:avLst/>
                        </a:prstGeom>
                        <a:ln w="15875">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B3FC56" id="Straight Connector 245"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245.9pt" to="204.5pt,2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" strokecolor="#c75b12 [3207]" strokeweight="1.25pt">
                <v:stroke dashstyle="1 1"/>
              </v:line>
            </w:pict>
          </mc:Fallback>
        </mc:AlternateContent>
      </w:r>
      <w:r w:rsidRPr="008A0812">
        <w:rPr>
          <w:noProof/>
        </w:rPr>
        <mc:AlternateContent>
          <mc:Choice Requires="wps">
            <w:drawing>
              <wp:anchor distT="0" distB="0" distL="114300" distR="114300" simplePos="0" relativeHeight="251658241" behindDoc="0" locked="0" layoutInCell="1" allowOverlap="1" wp14:anchorId="79B838E4" wp14:editId="2B6B7EE9">
                <wp:simplePos x="0" y="0"/>
                <wp:positionH relativeFrom="column">
                  <wp:posOffset>2597150</wp:posOffset>
                </wp:positionH>
                <wp:positionV relativeFrom="paragraph">
                  <wp:posOffset>3135630</wp:posOffset>
                </wp:positionV>
                <wp:extent cx="0" cy="469900"/>
                <wp:effectExtent l="0" t="0" r="38100" b="25400"/>
                <wp:wrapNone/>
                <wp:docPr id="247" name="Straight Connector 247"/>
                <wp:cNvGraphicFramePr/>
                <a:graphic xmlns:a="http://schemas.openxmlformats.org/drawingml/2006/main">
                  <a:graphicData uri="http://schemas.microsoft.com/office/word/2010/wordprocessingShape">
                    <wps:wsp>
                      <wps:cNvCnPr/>
                      <wps:spPr>
                        <a:xfrm>
                          <a:off x="0" y="0"/>
                          <a:ext cx="0" cy="469900"/>
                        </a:xfrm>
                        <a:prstGeom prst="line">
                          <a:avLst/>
                        </a:prstGeom>
                        <a:ln w="15875">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9706F" id="Straight Connector 247"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pt,246.9pt" to="204.5pt,2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" strokecolor="#c75b12 [3207]" strokeweight="1.25pt">
                <v:stroke dashstyle="1 1"/>
              </v:line>
            </w:pict>
          </mc:Fallback>
        </mc:AlternateContent>
      </w:r>
      <w:r w:rsidRPr="008A0812">
        <w:rPr>
          <w:noProof/>
        </w:rPr>
        <mc:AlternateContent>
          <mc:Choice Requires="wps">
            <w:drawing>
              <wp:anchor distT="0" distB="0" distL="114300" distR="114300" simplePos="0" relativeHeight="251658245" behindDoc="0" locked="0" layoutInCell="1" allowOverlap="1" wp14:anchorId="55F082B1" wp14:editId="06D2962C">
                <wp:simplePos x="0" y="0"/>
                <wp:positionH relativeFrom="column">
                  <wp:posOffset>1276597</wp:posOffset>
                </wp:positionH>
                <wp:positionV relativeFrom="paragraph">
                  <wp:posOffset>1288473</wp:posOffset>
                </wp:positionV>
                <wp:extent cx="1828800" cy="182880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54D4F3" w14:textId="77777777" w:rsidR="00AA68F8" w:rsidRPr="0015787B" w:rsidRDefault="00AA68F8" w:rsidP="004776AB">
                            <w:pPr>
                              <w:pStyle w:val="BodyText"/>
                              <w:keepNext/>
                              <w:keepLines/>
                              <w:jc w:val="center"/>
                              <w:rPr>
                                <w:b/>
                                <w:color w:val="C75B12"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C75B12"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Avoided R&amp;R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type w14:anchorId="55F082B1" id="_x0000_t202" coordsize="21600,21600" o:spt="202" path="m,l,21600r21600,l21600,xe">
                <v:stroke joinstyle="miter"/>
                <v:path gradientshapeok="t" o:connecttype="rect"/>
              </v:shapetype>
              <v:shape id="Text Box 248" o:spid="_x0000_s1026" type="#_x0000_t202" style="position:absolute;left:0;text-align:left;margin-left:100.5pt;margin-top:101.45pt;width:2in;height:2in;z-index:25165824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" filled="f" stroked="f">
                <v:textbox style="mso-fit-shape-to-text:t">
                  <w:txbxContent>
                    <w:p w14:paraId="5554D4F3" w14:textId="77777777" w:rsidR="00AA68F8" w:rsidRPr="0015787B" w:rsidRDefault="00AA68F8" w:rsidP="004776AB">
                      <w:pPr>
                        <w:pStyle w:val="BodyText"/>
                        <w:keepNext/>
                        <w:keepLines/>
                        <w:jc w:val="center"/>
                        <w:rPr>
                          <w:b/>
                          <w:color w:val="C75B12"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C75B12"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Avoided R&amp;R</w:t>
                      </w:r>
                    </w:p>
                  </w:txbxContent>
                </v:textbox>
              </v:shape>
            </w:pict>
          </mc:Fallback>
        </mc:AlternateContent>
      </w:r>
    </w:p>
    <w:p w14:paraId="7031B4BE" w14:textId="03AA0F4B" w:rsidR="00AE02AD" w:rsidRPr="008A0812" w:rsidRDefault="00AE02AD" w:rsidP="00AF40CB">
      <w:pPr>
        <w:pStyle w:val="FigureHeading"/>
      </w:pPr>
      <w:bookmarkStart w:id="615" w:name="_Ref36403493"/>
      <w:bookmarkStart w:id="616" w:name="_Toc36414117"/>
      <w:bookmarkStart w:id="617" w:name="_Toc41684715"/>
      <w:r w:rsidRPr="008A0812">
        <w:t xml:space="preserve">Figure </w:t>
      </w:r>
      <w:fldSimple w:instr=" STYLEREF 1 \s ">
        <w:r w:rsidR="00AA68F8">
          <w:rPr>
            <w:noProof/>
          </w:rPr>
          <w:t>10</w:t>
        </w:r>
      </w:fldSimple>
      <w:r w:rsidR="00B233D1">
        <w:noBreakHyphen/>
      </w:r>
      <w:fldSimple w:instr=" SEQ Figure \* ARABIC \s 1 ">
        <w:r w:rsidR="00AA68F8">
          <w:rPr>
            <w:noProof/>
          </w:rPr>
          <w:t>4</w:t>
        </w:r>
      </w:fldSimple>
      <w:bookmarkEnd w:id="615"/>
      <w:r w:rsidRPr="008A0812">
        <w:t>: Unit 3 Expansion and Completion Project Timing and Avoided R&amp;R</w:t>
      </w:r>
      <w:bookmarkEnd w:id="616"/>
      <w:bookmarkEnd w:id="617"/>
    </w:p>
    <w:p w14:paraId="36BF7559" w14:textId="48614B15" w:rsidR="004776AB" w:rsidRPr="008A0812" w:rsidRDefault="004776AB" w:rsidP="004776AB">
      <w:pPr>
        <w:pStyle w:val="BodyText"/>
        <w:keepNext/>
        <w:keepLines/>
        <w:jc w:val="center"/>
      </w:pPr>
      <w:r w:rsidRPr="008A0812">
        <w:rPr>
          <w:noProof/>
        </w:rPr>
        <w:drawing>
          <wp:inline distT="0" distB="0" distL="0" distR="0" wp14:anchorId="57D7CF9A" wp14:editId="0D443AF0">
            <wp:extent cx="5724525" cy="4387056"/>
            <wp:effectExtent l="19050" t="19050" r="9525" b="139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2003" cy="4392787"/>
                    </a:xfrm>
                    <a:prstGeom prst="rect">
                      <a:avLst/>
                    </a:prstGeom>
                    <a:ln>
                      <a:solidFill>
                        <a:schemeClr val="accent1"/>
                      </a:solidFill>
                    </a:ln>
                  </pic:spPr>
                </pic:pic>
              </a:graphicData>
            </a:graphic>
          </wp:inline>
        </w:drawing>
      </w:r>
    </w:p>
    <w:p w14:paraId="6A059C57" w14:textId="60AC2DFC" w:rsidR="004776AB" w:rsidRPr="008A0812" w:rsidRDefault="004776AB" w:rsidP="004776AB">
      <w:pPr>
        <w:pStyle w:val="BodyText"/>
        <w:spacing w:before="120"/>
        <w:jc w:val="center"/>
        <w:rPr>
          <w:i/>
          <w:iCs/>
          <w:sz w:val="20"/>
          <w:szCs w:val="20"/>
        </w:rPr>
      </w:pPr>
      <w:r w:rsidRPr="008A0812">
        <w:rPr>
          <w:i/>
          <w:iCs/>
          <w:sz w:val="20"/>
          <w:szCs w:val="20"/>
        </w:rPr>
        <w:t>Source: Asset Register V</w:t>
      </w:r>
      <w:r w:rsidR="00FE46B0" w:rsidRPr="008A0812">
        <w:rPr>
          <w:i/>
          <w:iCs/>
          <w:sz w:val="20"/>
          <w:szCs w:val="20"/>
        </w:rPr>
        <w:t>90</w:t>
      </w:r>
    </w:p>
    <w:p w14:paraId="137726D2" w14:textId="3B74602A" w:rsidR="004776AB" w:rsidRPr="008A0812" w:rsidRDefault="00011F52" w:rsidP="00011F52">
      <w:pPr>
        <w:pStyle w:val="BodyText"/>
      </w:pPr>
      <w:r w:rsidRPr="008A0812">
        <w:fldChar w:fldCharType="begin"/>
      </w:r>
      <w:r w:rsidRPr="008A0812">
        <w:instrText xml:space="preserve"> REF _Ref36402760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11</w:t>
      </w:r>
      <w:r w:rsidRPr="008A0812">
        <w:fldChar w:fldCharType="end"/>
      </w:r>
      <w:r w:rsidR="004776AB" w:rsidRPr="008A0812">
        <w:t xml:space="preserve"> presents a summary of avoided R&amp;R costs by area that could result from the construction of </w:t>
      </w:r>
      <w:r w:rsidR="002E74BF" w:rsidRPr="008A0812">
        <w:t xml:space="preserve">the Unit 3 Expansion and Completion </w:t>
      </w:r>
      <w:r w:rsidR="004776AB" w:rsidRPr="008A0812">
        <w:t>if completed by 2031.</w:t>
      </w:r>
    </w:p>
    <w:p w14:paraId="458CC874" w14:textId="7AEFF1C5" w:rsidR="00011F52" w:rsidRPr="008A0812" w:rsidRDefault="00011F52" w:rsidP="00011F52">
      <w:pPr>
        <w:pStyle w:val="TableHeading"/>
      </w:pPr>
      <w:bookmarkStart w:id="618" w:name="_Ref36402760"/>
      <w:bookmarkStart w:id="619" w:name="_Toc36414118"/>
      <w:bookmarkStart w:id="620" w:name="_Toc41684801"/>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11</w:t>
      </w:r>
      <w:r>
        <w:fldChar w:fldCharType="end"/>
      </w:r>
      <w:bookmarkEnd w:id="618"/>
      <w:r w:rsidRPr="008A0812">
        <w:t>: Avoided R&amp;R Costs with Unit 3 Expansion and Completion (2031 – 2046)</w:t>
      </w:r>
      <w:bookmarkEnd w:id="619"/>
      <w:bookmarkEnd w:id="620"/>
    </w:p>
    <w:tbl>
      <w:tblPr>
        <w:tblW w:w="648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49"/>
        <w:gridCol w:w="22"/>
        <w:gridCol w:w="2209"/>
      </w:tblGrid>
      <w:tr w:rsidR="004776AB" w:rsidRPr="008A0812" w14:paraId="1CF4BACF"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shd w:val="clear" w:color="auto" w:fill="BFBFBF"/>
          </w:tcPr>
          <w:p w14:paraId="5D18F92A" w14:textId="77777777" w:rsidR="004776AB" w:rsidRPr="008A0812" w:rsidRDefault="004776AB" w:rsidP="004776AB">
            <w:pPr>
              <w:keepNext/>
              <w:overflowPunct/>
              <w:autoSpaceDE/>
              <w:autoSpaceDN/>
              <w:adjustRightInd/>
              <w:rPr>
                <w:rFonts w:ascii="Segoe UI" w:hAnsi="Segoe UI" w:cs="Segoe UI"/>
                <w:sz w:val="18"/>
                <w:szCs w:val="18"/>
              </w:rPr>
            </w:pPr>
            <w:r w:rsidRPr="008A0812">
              <w:rPr>
                <w:rFonts w:cs="Segoe UI"/>
                <w:b/>
                <w:bCs/>
              </w:rPr>
              <w:t>Project</w:t>
            </w:r>
          </w:p>
        </w:tc>
        <w:tc>
          <w:tcPr>
            <w:tcW w:w="22" w:type="dxa"/>
            <w:tcBorders>
              <w:top w:val="single" w:sz="6" w:space="0" w:color="auto"/>
              <w:left w:val="nil"/>
              <w:bottom w:val="single" w:sz="6" w:space="0" w:color="auto"/>
              <w:right w:val="nil"/>
            </w:tcBorders>
            <w:shd w:val="clear" w:color="auto" w:fill="BFBFBF"/>
          </w:tcPr>
          <w:p w14:paraId="221BA6E9" w14:textId="77777777" w:rsidR="004776AB" w:rsidRPr="008A0812" w:rsidRDefault="004776AB" w:rsidP="004776AB">
            <w:pPr>
              <w:keepNext/>
              <w:overflowPunct/>
              <w:autoSpaceDE/>
              <w:autoSpaceDN/>
              <w:adjustRightInd/>
              <w:jc w:val="center"/>
              <w:rPr>
                <w:rFonts w:cs="Segoe UI"/>
                <w:b/>
                <w:bCs/>
                <w:color w:val="000000"/>
              </w:rPr>
            </w:pPr>
          </w:p>
        </w:tc>
        <w:tc>
          <w:tcPr>
            <w:tcW w:w="2209" w:type="dxa"/>
            <w:tcBorders>
              <w:top w:val="single" w:sz="6" w:space="0" w:color="auto"/>
              <w:left w:val="nil"/>
              <w:bottom w:val="single" w:sz="6" w:space="0" w:color="auto"/>
              <w:right w:val="single" w:sz="6" w:space="0" w:color="auto"/>
            </w:tcBorders>
            <w:shd w:val="clear" w:color="auto" w:fill="BFBFBF"/>
            <w:vAlign w:val="bottom"/>
            <w:hideMark/>
          </w:tcPr>
          <w:p w14:paraId="19DF0CA4"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b/>
                <w:bCs/>
                <w:color w:val="000000"/>
              </w:rPr>
              <w:t>Estimated Cost</w:t>
            </w:r>
          </w:p>
        </w:tc>
      </w:tr>
      <w:tr w:rsidR="004776AB" w:rsidRPr="008A0812" w14:paraId="1F987ED8"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tcMar>
              <w:left w:w="72" w:type="dxa"/>
            </w:tcMar>
          </w:tcPr>
          <w:p w14:paraId="73AF58C2"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Unit 1</w:t>
            </w:r>
          </w:p>
        </w:tc>
        <w:tc>
          <w:tcPr>
            <w:tcW w:w="22" w:type="dxa"/>
            <w:tcBorders>
              <w:top w:val="single" w:sz="6" w:space="0" w:color="auto"/>
              <w:left w:val="nil"/>
              <w:bottom w:val="single" w:sz="6" w:space="0" w:color="auto"/>
              <w:right w:val="nil"/>
            </w:tcBorders>
          </w:tcPr>
          <w:p w14:paraId="28ED0835" w14:textId="77777777" w:rsidR="004776AB" w:rsidRPr="008A0812" w:rsidRDefault="004776AB" w:rsidP="004776AB">
            <w:pPr>
              <w:keepNext/>
              <w:overflowPunct/>
              <w:autoSpaceDE/>
              <w:autoSpaceDN/>
              <w:adjustRightInd/>
              <w:jc w:val="right"/>
              <w:rPr>
                <w:rFonts w:asciiTheme="majorHAnsi" w:hAnsiTheme="majorHAnsi" w:cs="Segoe UI"/>
              </w:rPr>
            </w:pPr>
          </w:p>
        </w:tc>
        <w:tc>
          <w:tcPr>
            <w:tcW w:w="2209" w:type="dxa"/>
            <w:tcBorders>
              <w:top w:val="single" w:sz="6" w:space="0" w:color="auto"/>
              <w:left w:val="nil"/>
              <w:bottom w:val="single" w:sz="6" w:space="0" w:color="auto"/>
              <w:right w:val="single" w:sz="6" w:space="0" w:color="auto"/>
            </w:tcBorders>
            <w:shd w:val="clear" w:color="auto" w:fill="auto"/>
            <w:tcMar>
              <w:right w:w="72" w:type="dxa"/>
            </w:tcMar>
          </w:tcPr>
          <w:p w14:paraId="2860AB4D"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$ 36,000,000</w:t>
            </w:r>
          </w:p>
        </w:tc>
      </w:tr>
      <w:tr w:rsidR="004776AB" w:rsidRPr="008A0812" w14:paraId="2B2C33F5"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tcMar>
              <w:left w:w="72" w:type="dxa"/>
            </w:tcMar>
          </w:tcPr>
          <w:p w14:paraId="3846DE17"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Unit 2</w:t>
            </w:r>
          </w:p>
        </w:tc>
        <w:tc>
          <w:tcPr>
            <w:tcW w:w="22" w:type="dxa"/>
            <w:tcBorders>
              <w:top w:val="single" w:sz="6" w:space="0" w:color="auto"/>
              <w:left w:val="nil"/>
              <w:bottom w:val="single" w:sz="6" w:space="0" w:color="auto"/>
              <w:right w:val="nil"/>
            </w:tcBorders>
          </w:tcPr>
          <w:p w14:paraId="11C2E5FC" w14:textId="77777777" w:rsidR="004776AB" w:rsidRPr="008A0812" w:rsidRDefault="004776AB" w:rsidP="004776AB">
            <w:pPr>
              <w:keepNext/>
              <w:overflowPunct/>
              <w:autoSpaceDE/>
              <w:autoSpaceDN/>
              <w:adjustRightInd/>
              <w:jc w:val="right"/>
              <w:rPr>
                <w:rFonts w:asciiTheme="majorHAnsi" w:hAnsiTheme="majorHAnsi" w:cs="Segoe UI"/>
              </w:rPr>
            </w:pPr>
          </w:p>
        </w:tc>
        <w:tc>
          <w:tcPr>
            <w:tcW w:w="2209" w:type="dxa"/>
            <w:tcBorders>
              <w:top w:val="single" w:sz="6" w:space="0" w:color="auto"/>
              <w:left w:val="nil"/>
              <w:bottom w:val="single" w:sz="6" w:space="0" w:color="auto"/>
              <w:right w:val="single" w:sz="6" w:space="0" w:color="auto"/>
            </w:tcBorders>
            <w:shd w:val="clear" w:color="auto" w:fill="auto"/>
            <w:tcMar>
              <w:right w:w="72" w:type="dxa"/>
            </w:tcMar>
          </w:tcPr>
          <w:p w14:paraId="7CFDAEEA" w14:textId="77777777" w:rsidR="004776AB" w:rsidRPr="008A0812" w:rsidRDefault="004776AB" w:rsidP="004776AB">
            <w:pPr>
              <w:keepNext/>
              <w:overflowPunct/>
              <w:autoSpaceDE/>
              <w:autoSpaceDN/>
              <w:adjustRightInd/>
              <w:jc w:val="right"/>
              <w:rPr>
                <w:rFonts w:asciiTheme="majorHAnsi" w:hAnsiTheme="majorHAnsi" w:cs="Segoe UI"/>
              </w:rPr>
            </w:pPr>
            <w:r w:rsidRPr="008A0812">
              <w:t>$ 45,000,000</w:t>
            </w:r>
          </w:p>
        </w:tc>
      </w:tr>
      <w:tr w:rsidR="00992B5D" w:rsidRPr="008A0812" w14:paraId="2101965C"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tcMar>
              <w:left w:w="72" w:type="dxa"/>
            </w:tcMar>
          </w:tcPr>
          <w:p w14:paraId="59D1F5AD" w14:textId="248EB809" w:rsidR="00992B5D" w:rsidRPr="008A0812" w:rsidRDefault="00992B5D" w:rsidP="00992B5D">
            <w:pPr>
              <w:keepNext/>
              <w:overflowPunct/>
              <w:autoSpaceDE/>
              <w:autoSpaceDN/>
              <w:adjustRightInd/>
              <w:rPr>
                <w:rFonts w:asciiTheme="majorHAnsi" w:hAnsiTheme="majorHAnsi" w:cs="Segoe UI"/>
              </w:rPr>
            </w:pPr>
            <w:r w:rsidRPr="008A0812">
              <w:rPr>
                <w:rFonts w:asciiTheme="majorHAnsi" w:hAnsiTheme="majorHAnsi" w:cs="Segoe UI"/>
              </w:rPr>
              <w:t>NRC</w:t>
            </w:r>
          </w:p>
        </w:tc>
        <w:tc>
          <w:tcPr>
            <w:tcW w:w="22" w:type="dxa"/>
            <w:tcBorders>
              <w:top w:val="single" w:sz="6" w:space="0" w:color="auto"/>
              <w:left w:val="nil"/>
              <w:bottom w:val="single" w:sz="6" w:space="0" w:color="auto"/>
              <w:right w:val="nil"/>
            </w:tcBorders>
          </w:tcPr>
          <w:p w14:paraId="66CAC61C" w14:textId="77777777" w:rsidR="00992B5D" w:rsidRPr="008A0812" w:rsidRDefault="00992B5D" w:rsidP="00992B5D">
            <w:pPr>
              <w:keepNext/>
              <w:overflowPunct/>
              <w:autoSpaceDE/>
              <w:autoSpaceDN/>
              <w:adjustRightInd/>
              <w:jc w:val="right"/>
              <w:rPr>
                <w:rFonts w:asciiTheme="majorHAnsi" w:hAnsiTheme="majorHAnsi" w:cs="Segoe UI"/>
              </w:rPr>
            </w:pPr>
          </w:p>
        </w:tc>
        <w:tc>
          <w:tcPr>
            <w:tcW w:w="2209" w:type="dxa"/>
            <w:tcBorders>
              <w:top w:val="single" w:sz="6" w:space="0" w:color="auto"/>
              <w:left w:val="nil"/>
              <w:bottom w:val="single" w:sz="6" w:space="0" w:color="auto"/>
              <w:right w:val="single" w:sz="6" w:space="0" w:color="auto"/>
            </w:tcBorders>
            <w:shd w:val="clear" w:color="auto" w:fill="auto"/>
            <w:tcMar>
              <w:right w:w="72" w:type="dxa"/>
            </w:tcMar>
          </w:tcPr>
          <w:p w14:paraId="0C1F1F54" w14:textId="16EBBA19" w:rsidR="00992B5D" w:rsidRPr="008A0812" w:rsidRDefault="00992B5D" w:rsidP="00992B5D">
            <w:pPr>
              <w:keepNext/>
              <w:overflowPunct/>
              <w:autoSpaceDE/>
              <w:autoSpaceDN/>
              <w:adjustRightInd/>
              <w:jc w:val="right"/>
              <w:rPr>
                <w:rFonts w:asciiTheme="majorHAnsi" w:hAnsiTheme="majorHAnsi" w:cs="Segoe UI"/>
              </w:rPr>
            </w:pPr>
            <w:r w:rsidRPr="008A0812">
              <w:t>$ 23,000,000</w:t>
            </w:r>
          </w:p>
        </w:tc>
      </w:tr>
      <w:tr w:rsidR="004776AB" w:rsidRPr="008A0812" w14:paraId="5D9BC530"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tcMar>
              <w:left w:w="72" w:type="dxa"/>
            </w:tcMar>
          </w:tcPr>
          <w:p w14:paraId="54F20DC7"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Shared Facilities</w:t>
            </w:r>
          </w:p>
        </w:tc>
        <w:tc>
          <w:tcPr>
            <w:tcW w:w="22" w:type="dxa"/>
            <w:tcBorders>
              <w:top w:val="single" w:sz="6" w:space="0" w:color="auto"/>
              <w:left w:val="nil"/>
              <w:bottom w:val="single" w:sz="6" w:space="0" w:color="auto"/>
              <w:right w:val="nil"/>
            </w:tcBorders>
          </w:tcPr>
          <w:p w14:paraId="65077AA2" w14:textId="77777777" w:rsidR="004776AB" w:rsidRPr="008A0812" w:rsidRDefault="004776AB" w:rsidP="004776AB">
            <w:pPr>
              <w:keepNext/>
              <w:overflowPunct/>
              <w:autoSpaceDE/>
              <w:autoSpaceDN/>
              <w:adjustRightInd/>
              <w:jc w:val="right"/>
              <w:rPr>
                <w:rFonts w:asciiTheme="majorHAnsi" w:hAnsiTheme="majorHAnsi" w:cs="Segoe UI"/>
              </w:rPr>
            </w:pPr>
          </w:p>
        </w:tc>
        <w:tc>
          <w:tcPr>
            <w:tcW w:w="2209" w:type="dxa"/>
            <w:tcBorders>
              <w:top w:val="single" w:sz="6" w:space="0" w:color="auto"/>
              <w:left w:val="nil"/>
              <w:bottom w:val="single" w:sz="6" w:space="0" w:color="auto"/>
              <w:right w:val="single" w:sz="6" w:space="0" w:color="auto"/>
            </w:tcBorders>
            <w:shd w:val="clear" w:color="auto" w:fill="auto"/>
            <w:tcMar>
              <w:right w:w="72" w:type="dxa"/>
            </w:tcMar>
          </w:tcPr>
          <w:p w14:paraId="6AF895E8" w14:textId="77777777" w:rsidR="004776AB" w:rsidRPr="008A0812" w:rsidRDefault="004776AB" w:rsidP="004776AB">
            <w:pPr>
              <w:keepNext/>
              <w:overflowPunct/>
              <w:autoSpaceDE/>
              <w:autoSpaceDN/>
              <w:adjustRightInd/>
              <w:jc w:val="right"/>
              <w:rPr>
                <w:rFonts w:asciiTheme="majorHAnsi" w:hAnsiTheme="majorHAnsi" w:cs="Segoe UI"/>
              </w:rPr>
            </w:pPr>
            <w:r w:rsidRPr="008A0812">
              <w:t>$ 23,000,000</w:t>
            </w:r>
          </w:p>
        </w:tc>
      </w:tr>
      <w:tr w:rsidR="004776AB" w:rsidRPr="008A0812" w14:paraId="2AA4F4E6" w14:textId="77777777" w:rsidTr="00011F52">
        <w:trPr>
          <w:jc w:val="center"/>
        </w:trPr>
        <w:tc>
          <w:tcPr>
            <w:tcW w:w="4249"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tcPr>
          <w:p w14:paraId="3BE8AF75" w14:textId="77777777" w:rsidR="004776AB" w:rsidRPr="008A0812" w:rsidRDefault="004776AB" w:rsidP="004776AB">
            <w:pPr>
              <w:keepNext/>
              <w:overflowPunct/>
              <w:autoSpaceDE/>
              <w:autoSpaceDN/>
              <w:adjustRightInd/>
              <w:rPr>
                <w:rFonts w:asciiTheme="majorHAnsi" w:hAnsiTheme="majorHAnsi" w:cs="Segoe UI"/>
                <w:b/>
              </w:rPr>
            </w:pPr>
            <w:r w:rsidRPr="008A0812">
              <w:rPr>
                <w:rFonts w:asciiTheme="majorHAnsi" w:hAnsiTheme="majorHAnsi" w:cs="Segoe UI"/>
                <w:b/>
              </w:rPr>
              <w:t>Total R&amp;R Avoided</w:t>
            </w:r>
          </w:p>
        </w:tc>
        <w:tc>
          <w:tcPr>
            <w:tcW w:w="22" w:type="dxa"/>
            <w:tcBorders>
              <w:top w:val="single" w:sz="6" w:space="0" w:color="auto"/>
              <w:left w:val="nil"/>
              <w:bottom w:val="single" w:sz="6" w:space="0" w:color="auto"/>
              <w:right w:val="nil"/>
            </w:tcBorders>
            <w:shd w:val="clear" w:color="auto" w:fill="BFBFBF" w:themeFill="background1" w:themeFillShade="BF"/>
          </w:tcPr>
          <w:p w14:paraId="68A0005B" w14:textId="77777777" w:rsidR="004776AB" w:rsidRPr="008A0812" w:rsidRDefault="004776AB" w:rsidP="004776AB">
            <w:pPr>
              <w:keepNext/>
              <w:overflowPunct/>
              <w:autoSpaceDE/>
              <w:autoSpaceDN/>
              <w:adjustRightInd/>
              <w:jc w:val="right"/>
              <w:rPr>
                <w:rFonts w:asciiTheme="majorHAnsi" w:hAnsiTheme="majorHAnsi" w:cs="Segoe UI"/>
                <w:b/>
              </w:rPr>
            </w:pPr>
          </w:p>
        </w:tc>
        <w:tc>
          <w:tcPr>
            <w:tcW w:w="2209" w:type="dxa"/>
            <w:tcBorders>
              <w:top w:val="single" w:sz="6" w:space="0" w:color="auto"/>
              <w:left w:val="nil"/>
              <w:bottom w:val="single" w:sz="6" w:space="0" w:color="auto"/>
              <w:right w:val="single" w:sz="6" w:space="0" w:color="auto"/>
            </w:tcBorders>
            <w:shd w:val="clear" w:color="auto" w:fill="BFBFBF" w:themeFill="background1" w:themeFillShade="BF"/>
            <w:tcMar>
              <w:right w:w="72" w:type="dxa"/>
            </w:tcMar>
          </w:tcPr>
          <w:p w14:paraId="5D3A8FA1" w14:textId="77777777" w:rsidR="004776AB" w:rsidRPr="008A0812" w:rsidRDefault="004776AB" w:rsidP="004776AB">
            <w:pPr>
              <w:keepNext/>
              <w:overflowPunct/>
              <w:autoSpaceDE/>
              <w:autoSpaceDN/>
              <w:adjustRightInd/>
              <w:jc w:val="right"/>
              <w:rPr>
                <w:rFonts w:asciiTheme="majorHAnsi" w:hAnsiTheme="majorHAnsi" w:cs="Segoe UI"/>
                <w:b/>
              </w:rPr>
            </w:pPr>
            <w:r w:rsidRPr="008A0812">
              <w:rPr>
                <w:b/>
              </w:rPr>
              <w:t>$ 127,</w:t>
            </w:r>
            <w:r w:rsidRPr="008A0812">
              <w:rPr>
                <w:b/>
                <w:bCs/>
              </w:rPr>
              <w:t>000</w:t>
            </w:r>
            <w:r w:rsidRPr="008A0812">
              <w:rPr>
                <w:b/>
              </w:rPr>
              <w:t>,000</w:t>
            </w:r>
          </w:p>
        </w:tc>
      </w:tr>
    </w:tbl>
    <w:p w14:paraId="25299872" w14:textId="7409CAAE" w:rsidR="00A24D35" w:rsidRPr="008A0812" w:rsidRDefault="00A24D35" w:rsidP="00A24D35">
      <w:pPr>
        <w:pStyle w:val="BodyText"/>
      </w:pPr>
      <w:bookmarkStart w:id="621" w:name="_Toc23931753"/>
      <w:r w:rsidRPr="008A0812">
        <w:t xml:space="preserve">Over two-thirds of the avoided R&amp;R costs listed above can be attributed to structural assets that reach the end of their useful lives between 2031 and 2046. The year 2046 in particular has a number of structures reaching the end of their remaining useful lives of 60-75 years, explaining the peak shown in </w:t>
      </w:r>
      <w:r w:rsidRPr="008A0812">
        <w:fldChar w:fldCharType="begin"/>
      </w:r>
      <w:r w:rsidRPr="008A0812">
        <w:instrText xml:space="preserve"> REF _Ref36403493 \h </w:instrText>
      </w:r>
      <w:r w:rsidR="008A0812">
        <w:instrText xml:space="preserve"> \* MERGEFORMAT </w:instrText>
      </w:r>
      <w:r w:rsidRPr="008A0812">
        <w:fldChar w:fldCharType="separate"/>
      </w:r>
      <w:r w:rsidR="00AA68F8" w:rsidRPr="008A0812">
        <w:t xml:space="preserve">Figure </w:t>
      </w:r>
      <w:r w:rsidR="00AA68F8">
        <w:t>10</w:t>
      </w:r>
      <w:r w:rsidR="00AA68F8">
        <w:noBreakHyphen/>
        <w:t>4</w:t>
      </w:r>
      <w:r w:rsidRPr="008A0812">
        <w:fldChar w:fldCharType="end"/>
      </w:r>
      <w:r w:rsidRPr="008A0812">
        <w:t xml:space="preserve">. Significant structures included in the R&amp;R costs in </w:t>
      </w:r>
      <w:r w:rsidRPr="008A0812">
        <w:fldChar w:fldCharType="begin"/>
      </w:r>
      <w:r w:rsidRPr="008A0812">
        <w:instrText xml:space="preserve"> REF _Ref36402760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11</w:t>
      </w:r>
      <w:r w:rsidRPr="008A0812">
        <w:fldChar w:fldCharType="end"/>
      </w:r>
      <w:r w:rsidRPr="008A0812">
        <w:t xml:space="preserve"> include:</w:t>
      </w:r>
    </w:p>
    <w:p w14:paraId="089A9402" w14:textId="7670052B" w:rsidR="00A24D35" w:rsidRPr="008A0812" w:rsidRDefault="00A24D35" w:rsidP="00A24D35">
      <w:pPr>
        <w:pStyle w:val="BodyText"/>
        <w:numPr>
          <w:ilvl w:val="0"/>
          <w:numId w:val="53"/>
        </w:numPr>
      </w:pPr>
      <w:r w:rsidRPr="008A0812">
        <w:t>Mixed Liquor Splitter Box Structure</w:t>
      </w:r>
    </w:p>
    <w:p w14:paraId="42834539" w14:textId="3C2BD21D" w:rsidR="00A24D35" w:rsidRPr="008A0812" w:rsidRDefault="00A24D35" w:rsidP="00A24D35">
      <w:pPr>
        <w:pStyle w:val="BodyText"/>
        <w:numPr>
          <w:ilvl w:val="0"/>
          <w:numId w:val="53"/>
        </w:numPr>
      </w:pPr>
      <w:r w:rsidRPr="008A0812">
        <w:t>NRC</w:t>
      </w:r>
      <w:r w:rsidR="00720D8C" w:rsidRPr="008A0812">
        <w:t xml:space="preserve"> </w:t>
      </w:r>
      <w:r w:rsidRPr="008A0812">
        <w:t>Anoxic Basin Fiber Glass Mounting</w:t>
      </w:r>
    </w:p>
    <w:p w14:paraId="7645C7E4" w14:textId="07388FE9" w:rsidR="00A24D35" w:rsidRPr="008A0812" w:rsidRDefault="00A24D35" w:rsidP="00A24D35">
      <w:pPr>
        <w:pStyle w:val="BodyText"/>
        <w:numPr>
          <w:ilvl w:val="0"/>
          <w:numId w:val="53"/>
        </w:numPr>
      </w:pPr>
      <w:r w:rsidRPr="008A0812">
        <w:t>NRC Building</w:t>
      </w:r>
      <w:r w:rsidR="00720D8C" w:rsidRPr="008A0812">
        <w:t xml:space="preserve"> Structure</w:t>
      </w:r>
    </w:p>
    <w:p w14:paraId="33C609E7" w14:textId="0ABE3595" w:rsidR="00A24D35" w:rsidRPr="008A0812" w:rsidRDefault="00A24D35" w:rsidP="00A24D35">
      <w:pPr>
        <w:pStyle w:val="BodyText"/>
        <w:numPr>
          <w:ilvl w:val="0"/>
          <w:numId w:val="53"/>
        </w:numPr>
      </w:pPr>
      <w:r w:rsidRPr="008A0812">
        <w:t>NRC Secondary Clarifier Structure</w:t>
      </w:r>
      <w:r w:rsidR="00720D8C" w:rsidRPr="008A0812">
        <w:t xml:space="preserve"> and Rake Arm Assembly</w:t>
      </w:r>
    </w:p>
    <w:p w14:paraId="6078AE3F" w14:textId="1FF59A0A" w:rsidR="00A24D35" w:rsidRPr="008A0812" w:rsidRDefault="00720D8C" w:rsidP="00A24D35">
      <w:pPr>
        <w:pStyle w:val="BodyText"/>
        <w:numPr>
          <w:ilvl w:val="0"/>
          <w:numId w:val="53"/>
        </w:numPr>
      </w:pPr>
      <w:r w:rsidRPr="008A0812">
        <w:t>Root Blower Building Structure</w:t>
      </w:r>
    </w:p>
    <w:p w14:paraId="2C23348C" w14:textId="5ADE9F28" w:rsidR="00720D8C" w:rsidRPr="008A0812" w:rsidRDefault="00720D8C" w:rsidP="00A24D35">
      <w:pPr>
        <w:pStyle w:val="BodyText"/>
        <w:numPr>
          <w:ilvl w:val="0"/>
          <w:numId w:val="53"/>
        </w:numPr>
      </w:pPr>
      <w:r w:rsidRPr="008A0812">
        <w:t>RS-1 Pump Station Vault Structure</w:t>
      </w:r>
    </w:p>
    <w:p w14:paraId="298CA0B1" w14:textId="75E49645" w:rsidR="00720D8C" w:rsidRPr="008A0812" w:rsidRDefault="00720D8C" w:rsidP="00A24D35">
      <w:pPr>
        <w:pStyle w:val="BodyText"/>
        <w:numPr>
          <w:ilvl w:val="0"/>
          <w:numId w:val="53"/>
        </w:numPr>
      </w:pPr>
      <w:r w:rsidRPr="008A0812">
        <w:t>Unit 1 Aeration Bay Structure (1 total) and Walkway Structures</w:t>
      </w:r>
    </w:p>
    <w:p w14:paraId="5D65CF7F" w14:textId="1942BA1B" w:rsidR="00720D8C" w:rsidRPr="008A0812" w:rsidRDefault="00720D8C" w:rsidP="00A24D35">
      <w:pPr>
        <w:pStyle w:val="BodyText"/>
        <w:numPr>
          <w:ilvl w:val="0"/>
          <w:numId w:val="53"/>
        </w:numPr>
      </w:pPr>
      <w:r w:rsidRPr="008A0812">
        <w:t>Unit 1 East Secondary Clarifier Structure and Rake Arm Assembly</w:t>
      </w:r>
    </w:p>
    <w:p w14:paraId="5F1566B4" w14:textId="2FEA4ED0" w:rsidR="00720D8C" w:rsidRPr="008A0812" w:rsidRDefault="00720D8C" w:rsidP="00720D8C">
      <w:pPr>
        <w:pStyle w:val="BodyText"/>
        <w:numPr>
          <w:ilvl w:val="0"/>
          <w:numId w:val="53"/>
        </w:numPr>
      </w:pPr>
      <w:r w:rsidRPr="008A0812">
        <w:t>Unit 1 West Secondary Clarifier Structure and Rake Arm Assembly</w:t>
      </w:r>
    </w:p>
    <w:p w14:paraId="53401BF2" w14:textId="0243C78D" w:rsidR="00720D8C" w:rsidRPr="008A0812" w:rsidRDefault="00720D8C" w:rsidP="00A24D35">
      <w:pPr>
        <w:pStyle w:val="BodyText"/>
        <w:numPr>
          <w:ilvl w:val="0"/>
          <w:numId w:val="53"/>
        </w:numPr>
      </w:pPr>
      <w:r w:rsidRPr="008A0812">
        <w:t>Unit 1 Pump Station Building</w:t>
      </w:r>
    </w:p>
    <w:p w14:paraId="7D4B1F65" w14:textId="189AC915" w:rsidR="00720D8C" w:rsidRPr="008A0812" w:rsidRDefault="00720D8C" w:rsidP="00A24D35">
      <w:pPr>
        <w:pStyle w:val="BodyText"/>
        <w:numPr>
          <w:ilvl w:val="0"/>
          <w:numId w:val="53"/>
        </w:numPr>
      </w:pPr>
      <w:r w:rsidRPr="008A0812">
        <w:t>Unit 2 Chlorine Contact Basin Structure</w:t>
      </w:r>
    </w:p>
    <w:p w14:paraId="0520EBE5" w14:textId="508A5817" w:rsidR="00720D8C" w:rsidRPr="008A0812" w:rsidRDefault="00720D8C" w:rsidP="00A24D35">
      <w:pPr>
        <w:pStyle w:val="BodyText"/>
        <w:numPr>
          <w:ilvl w:val="0"/>
          <w:numId w:val="53"/>
        </w:numPr>
      </w:pPr>
      <w:r w:rsidRPr="008A0812">
        <w:t>Unit 2 North Aeration Basins Structure (6 total) and Walkway Structures</w:t>
      </w:r>
    </w:p>
    <w:p w14:paraId="66624A7D" w14:textId="26A8B5B7" w:rsidR="00720D8C" w:rsidRPr="008A0812" w:rsidRDefault="00720D8C" w:rsidP="00A24D35">
      <w:pPr>
        <w:pStyle w:val="BodyText"/>
        <w:numPr>
          <w:ilvl w:val="0"/>
          <w:numId w:val="53"/>
        </w:numPr>
      </w:pPr>
      <w:r w:rsidRPr="008A0812">
        <w:t>Unit 2 North Primary Clarifier Structure</w:t>
      </w:r>
    </w:p>
    <w:p w14:paraId="314FE2C1" w14:textId="4ADE5375" w:rsidR="00720D8C" w:rsidRPr="008A0812" w:rsidRDefault="00720D8C" w:rsidP="00A24D35">
      <w:pPr>
        <w:pStyle w:val="BodyText"/>
        <w:numPr>
          <w:ilvl w:val="0"/>
          <w:numId w:val="53"/>
        </w:numPr>
      </w:pPr>
      <w:r w:rsidRPr="008A0812">
        <w:t>Unit 2 North Secondary Clarifier Rake Arm Assembly</w:t>
      </w:r>
    </w:p>
    <w:p w14:paraId="45008347" w14:textId="68FF1B85" w:rsidR="00720D8C" w:rsidRPr="008A0812" w:rsidRDefault="00720D8C" w:rsidP="00720D8C">
      <w:pPr>
        <w:pStyle w:val="BodyText"/>
        <w:numPr>
          <w:ilvl w:val="0"/>
          <w:numId w:val="53"/>
        </w:numPr>
      </w:pPr>
      <w:r w:rsidRPr="008A0812">
        <w:t>Unit 2 South Aeration Basins Structure (4 total) and Walkway Structures</w:t>
      </w:r>
    </w:p>
    <w:p w14:paraId="3FB914EF" w14:textId="6FAC3209" w:rsidR="00720D8C" w:rsidRPr="008A0812" w:rsidRDefault="00720D8C" w:rsidP="00720D8C">
      <w:pPr>
        <w:pStyle w:val="BodyText"/>
        <w:numPr>
          <w:ilvl w:val="0"/>
          <w:numId w:val="53"/>
        </w:numPr>
      </w:pPr>
      <w:r w:rsidRPr="008A0812">
        <w:t>Unit 2 South Primary Clarifier Structure</w:t>
      </w:r>
    </w:p>
    <w:p w14:paraId="3A64DC02" w14:textId="76A6266A" w:rsidR="00720D8C" w:rsidRPr="008A0812" w:rsidRDefault="00720D8C" w:rsidP="00720D8C">
      <w:pPr>
        <w:pStyle w:val="BodyText"/>
        <w:numPr>
          <w:ilvl w:val="0"/>
          <w:numId w:val="53"/>
        </w:numPr>
      </w:pPr>
      <w:r w:rsidRPr="008A0812">
        <w:t>Unit 2 South Secondary Clarifier Tank and Rake Arm Assembly</w:t>
      </w:r>
    </w:p>
    <w:p w14:paraId="0379CCCE" w14:textId="4EDC4B98" w:rsidR="00720D8C" w:rsidRPr="008A0812" w:rsidRDefault="00720D8C" w:rsidP="00720D8C">
      <w:pPr>
        <w:pStyle w:val="BodyText"/>
      </w:pPr>
      <w:r w:rsidRPr="008A0812">
        <w:t xml:space="preserve">An additional 20% of the R&amp;R listed in </w:t>
      </w:r>
      <w:r w:rsidRPr="008A0812">
        <w:fldChar w:fldCharType="begin"/>
      </w:r>
      <w:r w:rsidRPr="008A0812">
        <w:instrText xml:space="preserve"> REF _Ref36402760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11</w:t>
      </w:r>
      <w:r w:rsidRPr="008A0812">
        <w:fldChar w:fldCharType="end"/>
      </w:r>
      <w:r w:rsidRPr="008A0812">
        <w:t xml:space="preserve"> is attributed to rehab and replacement of mechanical assets. This includes assets such as valves and gates, aerators, diffusers, mixers, screw pumps, RAS and WAS pumps, scum pumps, </w:t>
      </w:r>
      <w:r w:rsidR="00567EFB" w:rsidRPr="008A0812">
        <w:t xml:space="preserve">pump motors, and </w:t>
      </w:r>
      <w:r w:rsidRPr="008A0812">
        <w:t xml:space="preserve">Roots </w:t>
      </w:r>
      <w:r w:rsidR="00567EFB" w:rsidRPr="008A0812">
        <w:t xml:space="preserve">Building </w:t>
      </w:r>
      <w:r w:rsidRPr="008A0812">
        <w:t>Blowers 4 and 5</w:t>
      </w:r>
      <w:r w:rsidR="00567EFB" w:rsidRPr="008A0812">
        <w:t>. The remainder of the costs are associated with piping, electrical and I&amp;C R&amp;R costs.</w:t>
      </w:r>
    </w:p>
    <w:p w14:paraId="1553D421" w14:textId="5AB10A77" w:rsidR="004776AB" w:rsidRPr="008A0812" w:rsidRDefault="004776AB" w:rsidP="004776AB">
      <w:pPr>
        <w:pStyle w:val="Heading2"/>
        <w:numPr>
          <w:ilvl w:val="1"/>
          <w:numId w:val="1"/>
        </w:numPr>
        <w:tabs>
          <w:tab w:val="clear" w:pos="547"/>
          <w:tab w:val="num" w:pos="446"/>
        </w:tabs>
      </w:pPr>
      <w:bookmarkStart w:id="622" w:name="_Toc41680922"/>
      <w:r w:rsidRPr="008A0812">
        <w:t>Solids Handling</w:t>
      </w:r>
      <w:bookmarkEnd w:id="621"/>
      <w:bookmarkEnd w:id="622"/>
    </w:p>
    <w:p w14:paraId="4BFDAEC9" w14:textId="77777777" w:rsidR="004776AB" w:rsidRPr="008A0812" w:rsidRDefault="004776AB" w:rsidP="004776AB">
      <w:pPr>
        <w:pStyle w:val="Heading3"/>
        <w:keepNext w:val="0"/>
        <w:numPr>
          <w:ilvl w:val="2"/>
          <w:numId w:val="1"/>
        </w:numPr>
        <w:tabs>
          <w:tab w:val="clear" w:pos="720"/>
          <w:tab w:val="num" w:pos="360"/>
          <w:tab w:val="num" w:pos="1260"/>
        </w:tabs>
        <w:overflowPunct/>
        <w:autoSpaceDE/>
        <w:autoSpaceDN/>
        <w:adjustRightInd/>
        <w:ind w:left="986" w:hanging="446"/>
        <w:textAlignment w:val="auto"/>
      </w:pPr>
      <w:bookmarkStart w:id="623" w:name="_Toc23931754"/>
      <w:bookmarkStart w:id="624" w:name="_Ref36401537"/>
      <w:bookmarkStart w:id="625" w:name="_Toc41680923"/>
      <w:r w:rsidRPr="008A0812">
        <w:t>Digester B Replacement</w:t>
      </w:r>
      <w:bookmarkEnd w:id="623"/>
      <w:bookmarkEnd w:id="624"/>
      <w:bookmarkEnd w:id="625"/>
    </w:p>
    <w:p w14:paraId="5E2722B8" w14:textId="77777777" w:rsidR="004776AB" w:rsidRPr="008A0812" w:rsidRDefault="004776AB" w:rsidP="004776AB">
      <w:pPr>
        <w:pStyle w:val="BodyText"/>
      </w:pPr>
      <w:r w:rsidRPr="008A0812">
        <w:t xml:space="preserve">Digester B is a concrete tank with an insulated metal lid that was originally built in 1958. It is 90-feet in diameter with a 33.5-foot sidewall and a 10-foot deep cone section. </w:t>
      </w:r>
    </w:p>
    <w:p w14:paraId="1E6BD48C" w14:textId="77777777" w:rsidR="004776AB" w:rsidRPr="008A0812" w:rsidRDefault="004776AB" w:rsidP="004776AB">
      <w:pPr>
        <w:pStyle w:val="BodyText"/>
      </w:pPr>
      <w:r w:rsidRPr="008A0812">
        <w:t xml:space="preserve">Three digesters (Digester A, C and D) are fed continuously for the current solids loading to produce Class B biosolids. The biosolids composting contract requires Class B biosolids or better (Section 7.2). As discussed in Section 8.7, taking an existing digester offline for service or cleaning would result in shortened retention time below the requirement for Class B. There is also particular risk associated with Digester A, which is the same age as Digester B and has a heightened likelihood of failure. Restoring Digester B to operation would improve redundancy and reliability of the digestion process. </w:t>
      </w:r>
    </w:p>
    <w:p w14:paraId="29C5C153" w14:textId="1F433F23" w:rsidR="004776AB" w:rsidRPr="008A0812" w:rsidRDefault="004776AB" w:rsidP="004776AB">
      <w:pPr>
        <w:pStyle w:val="BodyText"/>
      </w:pPr>
      <w:r w:rsidRPr="008A0812">
        <w:t xml:space="preserve">The budget estimate for replacing Digester B is $8 million based on the summation of relevant assets in the Asset Register. Costs for replacing the structure and cover were derived from Digester B assets listed in the Asset Register. Costs for ancillary equipment were derived from Digester A assets. </w:t>
      </w:r>
      <w:r w:rsidR="00161450" w:rsidRPr="008A0812">
        <w:t xml:space="preserve"> In February 2020, the Department was provided a final “Digester B Evaluation Study” from Carollo Engineers. The Department is moving forward with an immediate project to replace Digester B due to its high criticality.</w:t>
      </w:r>
    </w:p>
    <w:p w14:paraId="2296450D" w14:textId="77777777" w:rsidR="004776AB" w:rsidRPr="008A0812" w:rsidRDefault="004776AB" w:rsidP="004776AB">
      <w:pPr>
        <w:pStyle w:val="Heading3"/>
        <w:numPr>
          <w:ilvl w:val="2"/>
          <w:numId w:val="1"/>
        </w:numPr>
        <w:tabs>
          <w:tab w:val="clear" w:pos="720"/>
          <w:tab w:val="num" w:pos="360"/>
          <w:tab w:val="num" w:pos="1260"/>
        </w:tabs>
        <w:ind w:left="986" w:hanging="446"/>
      </w:pPr>
      <w:bookmarkStart w:id="626" w:name="_Toc23931755"/>
      <w:bookmarkStart w:id="627" w:name="_Ref36401547"/>
      <w:bookmarkStart w:id="628" w:name="_Toc41680924"/>
      <w:r w:rsidRPr="008A0812">
        <w:t>Digester Cleaning</w:t>
      </w:r>
      <w:bookmarkEnd w:id="626"/>
      <w:bookmarkEnd w:id="627"/>
      <w:bookmarkEnd w:id="628"/>
    </w:p>
    <w:p w14:paraId="79E3CA87" w14:textId="77777777" w:rsidR="004776AB" w:rsidRPr="008A0812" w:rsidRDefault="004776AB" w:rsidP="004776AB">
      <w:pPr>
        <w:pStyle w:val="BodyText"/>
      </w:pPr>
      <w:r w:rsidRPr="008A0812">
        <w:t xml:space="preserve">Digesters C and D are concrete tanks with concrete lids that were built in the late 1980s. Digesters C and D have a 90-foot diameter and 36.5-foot sidewall with a 10-foot deep cone section. Digesters C and D have approximately 1.8 MG of liquid storage and 35,000 SCF of DG storage in each digester. </w:t>
      </w:r>
    </w:p>
    <w:p w14:paraId="32DD8FD6" w14:textId="1CB30F9B" w:rsidR="004776AB" w:rsidRPr="008A0812" w:rsidRDefault="004776AB" w:rsidP="004776AB">
      <w:pPr>
        <w:pStyle w:val="BodyText"/>
      </w:pPr>
      <w:r w:rsidRPr="008A0812">
        <w:t xml:space="preserve">Anaerobic digestion occurs in a highly corrosive environment. Regular maintenance including digester cover coating is required to maximize service life and is recommended to be performed every 10 years. Digester cleaning has been identified as an area of concern as there is no record of digester cleaning since the late 1980s. The digester cleaning project is anticipated to include the following: </w:t>
      </w:r>
    </w:p>
    <w:p w14:paraId="78E3C2B4" w14:textId="77777777" w:rsidR="004776AB" w:rsidRPr="008A0812" w:rsidRDefault="004776AB" w:rsidP="004776AB">
      <w:pPr>
        <w:pStyle w:val="Bullet"/>
      </w:pPr>
      <w:r w:rsidRPr="008A0812">
        <w:t>Drain, remove debris, and clean tank interiors.</w:t>
      </w:r>
    </w:p>
    <w:p w14:paraId="54B17BE9" w14:textId="77777777" w:rsidR="004776AB" w:rsidRPr="008A0812" w:rsidRDefault="004776AB" w:rsidP="004776AB">
      <w:pPr>
        <w:pStyle w:val="Bullet"/>
      </w:pPr>
      <w:r w:rsidRPr="008A0812">
        <w:t>Replace lid seals.</w:t>
      </w:r>
    </w:p>
    <w:p w14:paraId="37EB71B0" w14:textId="77777777" w:rsidR="004776AB" w:rsidRPr="008A0812" w:rsidRDefault="004776AB" w:rsidP="004776AB">
      <w:pPr>
        <w:pStyle w:val="Bullet"/>
      </w:pPr>
      <w:r w:rsidRPr="008A0812">
        <w:t>Evaluate and address pipe penetrations and replace modular wall seals/sleeves on interior and exterior.</w:t>
      </w:r>
    </w:p>
    <w:p w14:paraId="5E7530D2" w14:textId="77777777" w:rsidR="004776AB" w:rsidRPr="008A0812" w:rsidRDefault="004776AB" w:rsidP="004776AB">
      <w:pPr>
        <w:pStyle w:val="Bullet"/>
      </w:pPr>
      <w:r w:rsidRPr="008A0812">
        <w:t>Minor metal repair.</w:t>
      </w:r>
    </w:p>
    <w:p w14:paraId="50DED7DB" w14:textId="77777777" w:rsidR="004776AB" w:rsidRPr="008A0812" w:rsidRDefault="004776AB" w:rsidP="004776AB">
      <w:pPr>
        <w:pStyle w:val="Bullet"/>
      </w:pPr>
      <w:r w:rsidRPr="008A0812">
        <w:t>Concrete repair.</w:t>
      </w:r>
    </w:p>
    <w:p w14:paraId="100BD829" w14:textId="1EEBFF6C" w:rsidR="004776AB" w:rsidRPr="008A0812" w:rsidRDefault="004776AB" w:rsidP="004776AB">
      <w:pPr>
        <w:pStyle w:val="BodyText"/>
      </w:pPr>
      <w:r w:rsidRPr="008A0812">
        <w:t xml:space="preserve">It is anticipated that cleaning of Digesters C and D would occur sequentially after </w:t>
      </w:r>
      <w:r w:rsidR="00FB48A5" w:rsidRPr="008A0812">
        <w:t xml:space="preserve">a new </w:t>
      </w:r>
      <w:r w:rsidRPr="008A0812">
        <w:t xml:space="preserve">Digester B had been returned to service and EVWD has removed its flows and loads from the system. The budget cost estimate for cleaning Digesters C and D is approximately $3.2 million. </w:t>
      </w:r>
    </w:p>
    <w:p w14:paraId="31704A14" w14:textId="77777777" w:rsidR="004776AB" w:rsidRPr="008A0812" w:rsidRDefault="004776AB" w:rsidP="004776AB">
      <w:pPr>
        <w:pStyle w:val="Heading3"/>
        <w:numPr>
          <w:ilvl w:val="2"/>
          <w:numId w:val="1"/>
        </w:numPr>
        <w:tabs>
          <w:tab w:val="clear" w:pos="720"/>
          <w:tab w:val="num" w:pos="360"/>
          <w:tab w:val="num" w:pos="1260"/>
        </w:tabs>
        <w:ind w:left="986" w:hanging="446"/>
      </w:pPr>
      <w:bookmarkStart w:id="629" w:name="_Ref36401556"/>
      <w:bookmarkStart w:id="630" w:name="_Toc41680925"/>
      <w:r w:rsidRPr="008A0812">
        <w:t>Digester Mixing Optimization</w:t>
      </w:r>
      <w:bookmarkEnd w:id="629"/>
      <w:bookmarkEnd w:id="630"/>
    </w:p>
    <w:p w14:paraId="3BD6A90C" w14:textId="4E8E7DB5" w:rsidR="004776AB" w:rsidRPr="008A0812" w:rsidRDefault="004776AB" w:rsidP="004776AB">
      <w:pPr>
        <w:pStyle w:val="BodyText"/>
      </w:pPr>
      <w:r w:rsidRPr="008A0812">
        <w:t>Replacing the existing mixing system could enhance reliability, improve dewatering performance, reduce trash</w:t>
      </w:r>
      <w:r w:rsidR="00FB48A5" w:rsidRPr="008A0812">
        <w:t xml:space="preserve"> and hair</w:t>
      </w:r>
      <w:r w:rsidRPr="008A0812">
        <w:t xml:space="preserve"> accumulation in the digester tanks, and optimize digester gas production. The digester mixing optimization project is anticipated to include the following: </w:t>
      </w:r>
    </w:p>
    <w:p w14:paraId="35200BA6" w14:textId="77777777" w:rsidR="004776AB" w:rsidRPr="008A0812" w:rsidRDefault="004776AB" w:rsidP="004776AB">
      <w:pPr>
        <w:pStyle w:val="Bullet"/>
        <w:overflowPunct/>
        <w:autoSpaceDE/>
        <w:autoSpaceDN/>
        <w:adjustRightInd/>
        <w:textAlignment w:val="auto"/>
      </w:pPr>
      <w:r w:rsidRPr="008A0812">
        <w:t xml:space="preserve">Evaluate mixing technology alternatives and replace existing mixing system with an alternative system. </w:t>
      </w:r>
    </w:p>
    <w:p w14:paraId="296BB46D" w14:textId="77777777" w:rsidR="004776AB" w:rsidRPr="008A0812" w:rsidRDefault="004776AB" w:rsidP="004776AB">
      <w:pPr>
        <w:pStyle w:val="Bullet"/>
        <w:overflowPunct/>
        <w:autoSpaceDE/>
        <w:autoSpaceDN/>
        <w:adjustRightInd/>
        <w:textAlignment w:val="auto"/>
      </w:pPr>
      <w:r w:rsidRPr="008A0812">
        <w:t xml:space="preserve">Develop a recommended approach to rehab the mixing systems including intermittent mixing. </w:t>
      </w:r>
    </w:p>
    <w:p w14:paraId="332EDB28" w14:textId="77777777" w:rsidR="00992B5D" w:rsidRPr="008A0812" w:rsidRDefault="00992B5D" w:rsidP="00992B5D">
      <w:pPr>
        <w:pStyle w:val="Bullet"/>
        <w:numPr>
          <w:ilvl w:val="0"/>
          <w:numId w:val="0"/>
        </w:numPr>
      </w:pPr>
      <w:bookmarkStart w:id="631" w:name="_Ref36401576"/>
      <w:bookmarkStart w:id="632" w:name="_Toc23931757"/>
      <w:r w:rsidRPr="008A0812">
        <w:t xml:space="preserve">If the evaluation determines that capital upgrades are recommended, they would be constructed while each digester is off-line for cleaning. The budget cost estimate for mixer replacement is approximately $1.2 million per digester and would have a payback period of over 60 years. This project is not recommended due to the long payback period. The existing mixers were all replaced or rehabilitated in the past four years and have a RUL of 15 years. Revisiting digester mixing should be done when the existing mixing pumps approach the end of their RUL.  </w:t>
      </w:r>
    </w:p>
    <w:p w14:paraId="53A4048C" w14:textId="77777777" w:rsidR="004776AB" w:rsidRPr="008A0812" w:rsidRDefault="004776AB" w:rsidP="004776AB">
      <w:pPr>
        <w:pStyle w:val="Heading2"/>
        <w:numPr>
          <w:ilvl w:val="1"/>
          <w:numId w:val="1"/>
        </w:numPr>
        <w:tabs>
          <w:tab w:val="clear" w:pos="547"/>
          <w:tab w:val="num" w:pos="446"/>
        </w:tabs>
      </w:pPr>
      <w:bookmarkStart w:id="633" w:name="_Toc41680926"/>
      <w:r w:rsidRPr="008A0812">
        <w:t>Brine Line Improvements</w:t>
      </w:r>
      <w:bookmarkEnd w:id="631"/>
      <w:bookmarkEnd w:id="633"/>
    </w:p>
    <w:p w14:paraId="564F58A8" w14:textId="77777777" w:rsidR="004776AB" w:rsidRPr="008A0812" w:rsidRDefault="004776AB" w:rsidP="004776AB">
      <w:pPr>
        <w:pStyle w:val="BodyText"/>
      </w:pPr>
      <w:r w:rsidRPr="008A0812">
        <w:t xml:space="preserve">A pipe connecting the SBWRP septage/brine receiving station to the Inland Empire Brine Line (IEBL) runs through the WRP site. This pipe has clogged and is difficult and costly to clean because the existing clean outs are inadequate. This project installs seven 60-inch diameter manholes in several locations along the existing pipe to allow for proper cleaning of the line. </w:t>
      </w:r>
    </w:p>
    <w:p w14:paraId="3D091127" w14:textId="77777777" w:rsidR="004776AB" w:rsidRPr="008A0812" w:rsidRDefault="004776AB" w:rsidP="004776AB">
      <w:pPr>
        <w:pStyle w:val="BodyText"/>
      </w:pPr>
      <w:r w:rsidRPr="008A0812">
        <w:t>The budget cost estimate for installing seven manholes in the pipeline within the SBWRP that connects to the IEBL is $200,000.</w:t>
      </w:r>
      <w:r w:rsidRPr="008A0812">
        <w:tab/>
      </w:r>
      <w:r w:rsidRPr="008A0812">
        <w:tab/>
      </w:r>
      <w:r w:rsidRPr="008A0812">
        <w:tab/>
      </w:r>
      <w:r w:rsidRPr="008A0812">
        <w:tab/>
      </w:r>
    </w:p>
    <w:p w14:paraId="2770A08D" w14:textId="73D51649" w:rsidR="005C0E50" w:rsidRDefault="005C0E50" w:rsidP="004776AB">
      <w:pPr>
        <w:pStyle w:val="Heading2"/>
        <w:numPr>
          <w:ilvl w:val="1"/>
          <w:numId w:val="1"/>
        </w:numPr>
        <w:tabs>
          <w:tab w:val="clear" w:pos="547"/>
          <w:tab w:val="num" w:pos="446"/>
        </w:tabs>
      </w:pPr>
      <w:bookmarkStart w:id="634" w:name="_Toc41680927"/>
      <w:r>
        <w:t>Influent Lift Stations</w:t>
      </w:r>
      <w:bookmarkEnd w:id="634"/>
    </w:p>
    <w:p w14:paraId="7D9F6A8D" w14:textId="77777777" w:rsidR="005C0E50" w:rsidRPr="008A0812" w:rsidRDefault="005C0E50" w:rsidP="005C0E50">
      <w:pPr>
        <w:pStyle w:val="Heading3"/>
        <w:tabs>
          <w:tab w:val="clear" w:pos="720"/>
          <w:tab w:val="num" w:pos="360"/>
          <w:tab w:val="num" w:pos="1260"/>
        </w:tabs>
        <w:ind w:left="1080" w:hanging="540"/>
      </w:pPr>
      <w:bookmarkStart w:id="635" w:name="_Toc41680928"/>
      <w:r>
        <w:t>Downsizing of the East Influent Lift Station</w:t>
      </w:r>
      <w:bookmarkEnd w:id="635"/>
    </w:p>
    <w:p w14:paraId="67C798A2" w14:textId="50C874D2" w:rsidR="005C0E50" w:rsidRDefault="005C0E50" w:rsidP="005C0E50">
      <w:r>
        <w:t xml:space="preserve">With the departure of EVWD flows from the SBWRP influent once the SNRC is completed, the East Influent Lift Station (EILS) will receive significantly less flow than it currently does. The EILS currently receives flows from the eastern portion of the City of San Bernardino and </w:t>
      </w:r>
      <w:r w:rsidR="00CC2A20">
        <w:t>all</w:t>
      </w:r>
      <w:r>
        <w:t xml:space="preserve"> the EVWD flow. The total ADWF at EILS is approximately 12 mgd currently. With EWVD providing approximately 6 mgd influent flow, the lift station flow will be reduced by about half.  This option explores the potential cost savings from downsizing the capacity of the EILS due to the reduced flow.</w:t>
      </w:r>
    </w:p>
    <w:p w14:paraId="6F3770F7" w14:textId="77777777" w:rsidR="005C0E50" w:rsidRDefault="005C0E50" w:rsidP="005C0E50"/>
    <w:p w14:paraId="3CF5A612" w14:textId="13C4C1A2" w:rsidR="005C0E50" w:rsidRDefault="005C0E50" w:rsidP="005C0E50">
      <w:r>
        <w:t xml:space="preserve">The EILS station is currently comprised of three 66-inch diameter screw pumps, two in operation and one standby.  Each screw pump has a capacity of 18 mgd with a 60hp motor. The downsized lift station would consist of the same pump configuration with </w:t>
      </w:r>
      <w:r w:rsidRPr="003E573D">
        <w:t>new 66-inch diameter single flight open screw pump</w:t>
      </w:r>
      <w:r>
        <w:t xml:space="preserve">s but </w:t>
      </w:r>
      <w:r w:rsidRPr="003E573D">
        <w:t>would</w:t>
      </w:r>
      <w:r>
        <w:t xml:space="preserve"> be equipped with</w:t>
      </w:r>
      <w:r w:rsidRPr="003E573D">
        <w:t xml:space="preserve"> a smaller horsepower motor</w:t>
      </w:r>
      <w:r>
        <w:t>, reduced from</w:t>
      </w:r>
      <w:r w:rsidRPr="003E573D">
        <w:t xml:space="preserve"> 60hp to 30hp</w:t>
      </w:r>
      <w:r>
        <w:t>. N</w:t>
      </w:r>
      <w:r w:rsidRPr="008B7211">
        <w:t>o changes to the existing trough would need to occur to accommodate the new screw pumps other than some slight changes to the lower bearing mount</w:t>
      </w:r>
      <w:r>
        <w:t xml:space="preserve">. </w:t>
      </w:r>
      <w:r>
        <w:fldChar w:fldCharType="begin"/>
      </w:r>
      <w:r>
        <w:instrText xml:space="preserve"> REF _Ref40268480 \h </w:instrText>
      </w:r>
      <w:r>
        <w:fldChar w:fldCharType="separate"/>
      </w:r>
      <w:r w:rsidR="00AA68F8">
        <w:t xml:space="preserve">Table </w:t>
      </w:r>
      <w:r w:rsidR="00AA68F8">
        <w:rPr>
          <w:noProof/>
        </w:rPr>
        <w:t>10</w:t>
      </w:r>
      <w:r w:rsidR="00AA68F8">
        <w:noBreakHyphen/>
      </w:r>
      <w:r w:rsidR="00AA68F8">
        <w:rPr>
          <w:noProof/>
        </w:rPr>
        <w:t>12</w:t>
      </w:r>
      <w:r>
        <w:fldChar w:fldCharType="end"/>
      </w:r>
      <w:r>
        <w:t xml:space="preserve"> below presents a summary of the assumptions made for a simple payback calculation.</w:t>
      </w:r>
    </w:p>
    <w:p w14:paraId="36F0E192" w14:textId="77777777" w:rsidR="005C0E50" w:rsidRDefault="005C0E50" w:rsidP="005C0E50"/>
    <w:p w14:paraId="520A807E" w14:textId="2A5932ED" w:rsidR="005C0E50" w:rsidRDefault="005C0E50" w:rsidP="005C0E50">
      <w:pPr>
        <w:pStyle w:val="Caption"/>
      </w:pPr>
      <w:bookmarkStart w:id="636" w:name="_Ref40268480"/>
      <w:bookmarkStart w:id="637" w:name="_Toc41684802"/>
      <w:r>
        <w:t xml:space="preserve">Table </w:t>
      </w:r>
      <w:fldSimple w:instr=" STYLEREF 1 \s ">
        <w:r w:rsidR="00AA68F8">
          <w:rPr>
            <w:noProof/>
          </w:rPr>
          <w:t>10</w:t>
        </w:r>
      </w:fldSimple>
      <w:r>
        <w:noBreakHyphen/>
      </w:r>
      <w:fldSimple w:instr=" SEQ Table \* ARABIC \s 1 ">
        <w:r w:rsidR="00AA68F8">
          <w:rPr>
            <w:noProof/>
          </w:rPr>
          <w:t>12</w:t>
        </w:r>
      </w:fldSimple>
      <w:bookmarkEnd w:id="636"/>
      <w:r>
        <w:t>: Summary of EILS Downsizing Assumptions</w:t>
      </w:r>
      <w:bookmarkEnd w:id="637"/>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78"/>
        <w:gridCol w:w="1174"/>
        <w:gridCol w:w="2256"/>
        <w:gridCol w:w="2256"/>
      </w:tblGrid>
      <w:tr w:rsidR="005C0E50" w:rsidRPr="008A0812" w14:paraId="4FFC73D3" w14:textId="77777777" w:rsidTr="00A11DF6">
        <w:trPr>
          <w:jc w:val="center"/>
        </w:trPr>
        <w:tc>
          <w:tcPr>
            <w:tcW w:w="3678" w:type="dxa"/>
            <w:vMerge w:val="restart"/>
            <w:tcBorders>
              <w:top w:val="single" w:sz="6" w:space="0" w:color="auto"/>
              <w:left w:val="single" w:sz="6" w:space="0" w:color="auto"/>
              <w:right w:val="single" w:sz="6" w:space="0" w:color="auto"/>
            </w:tcBorders>
            <w:shd w:val="clear" w:color="auto" w:fill="BFBFBF"/>
            <w:vAlign w:val="bottom"/>
          </w:tcPr>
          <w:p w14:paraId="77F05589" w14:textId="77777777" w:rsidR="005C0E50" w:rsidRPr="00B55FF9" w:rsidRDefault="005C0E50" w:rsidP="00A11DF6">
            <w:pPr>
              <w:keepNext/>
              <w:overflowPunct/>
              <w:autoSpaceDE/>
              <w:autoSpaceDN/>
              <w:adjustRightInd/>
              <w:jc w:val="center"/>
              <w:rPr>
                <w:rFonts w:cs="Segoe UI"/>
                <w:b/>
                <w:bCs/>
              </w:rPr>
            </w:pPr>
            <w:r>
              <w:rPr>
                <w:rFonts w:cs="Segoe UI"/>
                <w:b/>
                <w:bCs/>
              </w:rPr>
              <w:t>Criteria</w:t>
            </w:r>
          </w:p>
        </w:tc>
        <w:tc>
          <w:tcPr>
            <w:tcW w:w="1174" w:type="dxa"/>
            <w:vMerge w:val="restart"/>
            <w:tcBorders>
              <w:top w:val="single" w:sz="6" w:space="0" w:color="auto"/>
              <w:left w:val="nil"/>
              <w:right w:val="single" w:sz="6" w:space="0" w:color="auto"/>
            </w:tcBorders>
            <w:shd w:val="clear" w:color="auto" w:fill="BFBFBF"/>
            <w:vAlign w:val="bottom"/>
          </w:tcPr>
          <w:p w14:paraId="5A0E5AF5" w14:textId="77777777" w:rsidR="005C0E50" w:rsidRPr="00B55FF9" w:rsidRDefault="005C0E50" w:rsidP="00A11DF6">
            <w:pPr>
              <w:keepNext/>
              <w:overflowPunct/>
              <w:autoSpaceDE/>
              <w:autoSpaceDN/>
              <w:adjustRightInd/>
              <w:jc w:val="center"/>
              <w:rPr>
                <w:rFonts w:cs="Segoe UI"/>
                <w:b/>
                <w:bCs/>
              </w:rPr>
            </w:pPr>
            <w:r w:rsidRPr="00B55FF9">
              <w:rPr>
                <w:rFonts w:cs="Segoe UI"/>
                <w:b/>
                <w:bCs/>
              </w:rPr>
              <w:t>Units</w:t>
            </w:r>
          </w:p>
        </w:tc>
        <w:tc>
          <w:tcPr>
            <w:tcW w:w="4512" w:type="dxa"/>
            <w:gridSpan w:val="2"/>
            <w:tcBorders>
              <w:top w:val="single" w:sz="6" w:space="0" w:color="auto"/>
              <w:left w:val="nil"/>
              <w:bottom w:val="single" w:sz="6" w:space="0" w:color="auto"/>
              <w:right w:val="single" w:sz="6" w:space="0" w:color="auto"/>
            </w:tcBorders>
            <w:shd w:val="clear" w:color="auto" w:fill="BFBFBF"/>
          </w:tcPr>
          <w:p w14:paraId="73C4624F" w14:textId="77777777" w:rsidR="005C0E50" w:rsidRPr="008A0812" w:rsidRDefault="005C0E50" w:rsidP="00A11DF6">
            <w:pPr>
              <w:keepNext/>
              <w:overflowPunct/>
              <w:autoSpaceDE/>
              <w:autoSpaceDN/>
              <w:adjustRightInd/>
              <w:jc w:val="center"/>
              <w:rPr>
                <w:rFonts w:cs="Segoe UI"/>
                <w:b/>
                <w:bCs/>
              </w:rPr>
            </w:pPr>
            <w:r>
              <w:rPr>
                <w:rFonts w:cs="Segoe UI"/>
                <w:b/>
                <w:bCs/>
              </w:rPr>
              <w:t>Design Scenarios</w:t>
            </w:r>
          </w:p>
        </w:tc>
      </w:tr>
      <w:tr w:rsidR="005C0E50" w:rsidRPr="008A0812" w14:paraId="45D1FEF3" w14:textId="77777777" w:rsidTr="00A11DF6">
        <w:trPr>
          <w:jc w:val="center"/>
        </w:trPr>
        <w:tc>
          <w:tcPr>
            <w:tcW w:w="3678" w:type="dxa"/>
            <w:vMerge/>
            <w:tcBorders>
              <w:left w:val="single" w:sz="6" w:space="0" w:color="auto"/>
              <w:bottom w:val="single" w:sz="6" w:space="0" w:color="auto"/>
              <w:right w:val="single" w:sz="6" w:space="0" w:color="auto"/>
            </w:tcBorders>
            <w:shd w:val="clear" w:color="auto" w:fill="BFBFBF"/>
            <w:vAlign w:val="bottom"/>
          </w:tcPr>
          <w:p w14:paraId="22F43AB3" w14:textId="77777777" w:rsidR="005C0E50" w:rsidRPr="008A0812" w:rsidRDefault="005C0E50" w:rsidP="00A11DF6">
            <w:pPr>
              <w:keepNext/>
              <w:overflowPunct/>
              <w:autoSpaceDE/>
              <w:autoSpaceDN/>
              <w:adjustRightInd/>
              <w:jc w:val="center"/>
              <w:rPr>
                <w:rFonts w:cs="Segoe UI"/>
                <w:b/>
                <w:bCs/>
              </w:rPr>
            </w:pPr>
          </w:p>
        </w:tc>
        <w:tc>
          <w:tcPr>
            <w:tcW w:w="1174" w:type="dxa"/>
            <w:vMerge/>
            <w:tcBorders>
              <w:left w:val="nil"/>
              <w:bottom w:val="single" w:sz="6" w:space="0" w:color="auto"/>
              <w:right w:val="single" w:sz="6" w:space="0" w:color="auto"/>
            </w:tcBorders>
            <w:shd w:val="clear" w:color="auto" w:fill="BFBFBF"/>
            <w:vAlign w:val="bottom"/>
          </w:tcPr>
          <w:p w14:paraId="0E7C9EBA" w14:textId="77777777" w:rsidR="005C0E50" w:rsidRPr="008A0812" w:rsidRDefault="005C0E50" w:rsidP="00A11DF6">
            <w:pPr>
              <w:keepNext/>
              <w:overflowPunct/>
              <w:autoSpaceDE/>
              <w:autoSpaceDN/>
              <w:adjustRightInd/>
              <w:jc w:val="center"/>
              <w:rPr>
                <w:rFonts w:cs="Segoe UI"/>
                <w:b/>
                <w:bCs/>
              </w:rPr>
            </w:pPr>
          </w:p>
        </w:tc>
        <w:tc>
          <w:tcPr>
            <w:tcW w:w="2256" w:type="dxa"/>
            <w:tcBorders>
              <w:top w:val="single" w:sz="6" w:space="0" w:color="auto"/>
              <w:left w:val="nil"/>
              <w:bottom w:val="single" w:sz="6" w:space="0" w:color="auto"/>
              <w:right w:val="single" w:sz="6" w:space="0" w:color="auto"/>
            </w:tcBorders>
            <w:shd w:val="clear" w:color="auto" w:fill="BFBFBF"/>
          </w:tcPr>
          <w:p w14:paraId="5DE1F3CD" w14:textId="77777777" w:rsidR="005C0E50" w:rsidRPr="008A0812" w:rsidRDefault="005C0E50" w:rsidP="00A11DF6">
            <w:pPr>
              <w:keepNext/>
              <w:overflowPunct/>
              <w:autoSpaceDE/>
              <w:autoSpaceDN/>
              <w:adjustRightInd/>
              <w:jc w:val="center"/>
              <w:rPr>
                <w:rFonts w:cs="Segoe UI"/>
                <w:b/>
                <w:bCs/>
              </w:rPr>
            </w:pPr>
            <w:r>
              <w:rPr>
                <w:rFonts w:cs="Segoe UI"/>
                <w:b/>
                <w:bCs/>
              </w:rPr>
              <w:t>Current</w:t>
            </w:r>
          </w:p>
        </w:tc>
        <w:tc>
          <w:tcPr>
            <w:tcW w:w="2256" w:type="dxa"/>
            <w:tcBorders>
              <w:top w:val="single" w:sz="6" w:space="0" w:color="auto"/>
              <w:left w:val="nil"/>
              <w:bottom w:val="single" w:sz="6" w:space="0" w:color="auto"/>
              <w:right w:val="single" w:sz="6" w:space="0" w:color="auto"/>
            </w:tcBorders>
            <w:shd w:val="clear" w:color="auto" w:fill="BFBFBF"/>
          </w:tcPr>
          <w:p w14:paraId="4052DC16" w14:textId="77777777" w:rsidR="005C0E50" w:rsidRPr="008A0812" w:rsidRDefault="005C0E50" w:rsidP="00A11DF6">
            <w:pPr>
              <w:keepNext/>
              <w:overflowPunct/>
              <w:autoSpaceDE/>
              <w:autoSpaceDN/>
              <w:adjustRightInd/>
              <w:jc w:val="center"/>
              <w:rPr>
                <w:rFonts w:cs="Segoe UI"/>
                <w:b/>
                <w:bCs/>
              </w:rPr>
            </w:pPr>
            <w:r>
              <w:rPr>
                <w:rFonts w:cs="Segoe UI"/>
                <w:b/>
                <w:bCs/>
              </w:rPr>
              <w:t>Downsized</w:t>
            </w:r>
          </w:p>
        </w:tc>
      </w:tr>
      <w:tr w:rsidR="005C0E50" w:rsidRPr="008A0812" w14:paraId="350B06C6"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242E8AA5" w14:textId="77777777" w:rsidR="005C0E50" w:rsidRPr="00B55FF9" w:rsidRDefault="005C0E50" w:rsidP="00A11DF6">
            <w:pPr>
              <w:keepNext/>
              <w:overflowPunct/>
              <w:autoSpaceDE/>
              <w:autoSpaceDN/>
              <w:adjustRightInd/>
              <w:ind w:left="195"/>
              <w:rPr>
                <w:rFonts w:asciiTheme="minorHAnsi" w:hAnsiTheme="minorHAnsi" w:cs="Segoe UI"/>
              </w:rPr>
            </w:pPr>
            <w:r>
              <w:rPr>
                <w:rFonts w:asciiTheme="minorHAnsi" w:hAnsiTheme="minorHAnsi" w:cs="Segoe UI"/>
              </w:rPr>
              <w:t>Average Influent Flow</w:t>
            </w:r>
          </w:p>
        </w:tc>
        <w:tc>
          <w:tcPr>
            <w:tcW w:w="1174" w:type="dxa"/>
            <w:tcBorders>
              <w:top w:val="nil"/>
              <w:left w:val="nil"/>
              <w:bottom w:val="single" w:sz="6" w:space="0" w:color="auto"/>
              <w:right w:val="single" w:sz="6" w:space="0" w:color="auto"/>
            </w:tcBorders>
            <w:shd w:val="clear" w:color="auto" w:fill="auto"/>
          </w:tcPr>
          <w:p w14:paraId="288991AB" w14:textId="77777777" w:rsidR="005C0E50" w:rsidRPr="00B55FF9" w:rsidRDefault="005C0E50" w:rsidP="00A11DF6">
            <w:pPr>
              <w:keepNext/>
              <w:overflowPunct/>
              <w:autoSpaceDE/>
              <w:autoSpaceDN/>
              <w:adjustRightInd/>
              <w:jc w:val="center"/>
              <w:rPr>
                <w:rFonts w:asciiTheme="minorHAnsi" w:hAnsiTheme="minorHAnsi" w:cs="Segoe UI"/>
              </w:rPr>
            </w:pPr>
            <w:r>
              <w:rPr>
                <w:rFonts w:asciiTheme="minorHAnsi" w:hAnsiTheme="minorHAnsi" w:cs="Segoe UI"/>
              </w:rPr>
              <w:t>mgd</w:t>
            </w:r>
          </w:p>
        </w:tc>
        <w:tc>
          <w:tcPr>
            <w:tcW w:w="2256" w:type="dxa"/>
            <w:tcBorders>
              <w:top w:val="nil"/>
              <w:left w:val="nil"/>
              <w:bottom w:val="single" w:sz="6" w:space="0" w:color="auto"/>
              <w:right w:val="single" w:sz="6" w:space="0" w:color="auto"/>
            </w:tcBorders>
          </w:tcPr>
          <w:p w14:paraId="40A609AA" w14:textId="77777777" w:rsidR="005C0E50" w:rsidRPr="00B55FF9" w:rsidRDefault="005C0E50" w:rsidP="00A11DF6">
            <w:pPr>
              <w:keepNext/>
              <w:overflowPunct/>
              <w:autoSpaceDE/>
              <w:autoSpaceDN/>
              <w:adjustRightInd/>
              <w:jc w:val="center"/>
              <w:rPr>
                <w:rFonts w:asciiTheme="minorHAnsi" w:hAnsiTheme="minorHAnsi" w:cs="Segoe UI"/>
              </w:rPr>
            </w:pPr>
            <w:r>
              <w:rPr>
                <w:rFonts w:asciiTheme="minorHAnsi" w:hAnsiTheme="minorHAnsi" w:cs="Segoe UI"/>
              </w:rPr>
              <w:t>12</w:t>
            </w:r>
          </w:p>
        </w:tc>
        <w:tc>
          <w:tcPr>
            <w:tcW w:w="2256" w:type="dxa"/>
            <w:tcBorders>
              <w:top w:val="nil"/>
              <w:left w:val="nil"/>
              <w:bottom w:val="single" w:sz="6" w:space="0" w:color="auto"/>
              <w:right w:val="single" w:sz="6" w:space="0" w:color="auto"/>
            </w:tcBorders>
          </w:tcPr>
          <w:p w14:paraId="3CCD8F9B" w14:textId="77777777" w:rsidR="005C0E50" w:rsidRPr="00B55FF9" w:rsidRDefault="005C0E50" w:rsidP="00A11DF6">
            <w:pPr>
              <w:keepNext/>
              <w:overflowPunct/>
              <w:autoSpaceDE/>
              <w:autoSpaceDN/>
              <w:adjustRightInd/>
              <w:jc w:val="center"/>
              <w:rPr>
                <w:rFonts w:asciiTheme="minorHAnsi" w:hAnsiTheme="minorHAnsi" w:cs="Segoe UI"/>
              </w:rPr>
            </w:pPr>
            <w:r>
              <w:rPr>
                <w:rFonts w:asciiTheme="minorHAnsi" w:hAnsiTheme="minorHAnsi" w:cs="Segoe UI"/>
              </w:rPr>
              <w:t>6</w:t>
            </w:r>
          </w:p>
        </w:tc>
      </w:tr>
      <w:tr w:rsidR="005C0E50" w:rsidRPr="008A0812" w14:paraId="2D1848FA"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030FAF21" w14:textId="77777777" w:rsidR="005C0E50" w:rsidRPr="00B55FF9" w:rsidRDefault="005C0E50" w:rsidP="00A11DF6">
            <w:pPr>
              <w:keepNext/>
              <w:overflowPunct/>
              <w:autoSpaceDE/>
              <w:autoSpaceDN/>
              <w:adjustRightInd/>
              <w:ind w:left="195"/>
              <w:rPr>
                <w:rFonts w:asciiTheme="minorHAnsi" w:hAnsiTheme="minorHAnsi" w:cs="Segoe UI"/>
              </w:rPr>
            </w:pPr>
            <w:r w:rsidRPr="00857AC7">
              <w:t>Configuration</w:t>
            </w:r>
          </w:p>
        </w:tc>
        <w:tc>
          <w:tcPr>
            <w:tcW w:w="1174" w:type="dxa"/>
            <w:tcBorders>
              <w:top w:val="nil"/>
              <w:left w:val="nil"/>
              <w:bottom w:val="single" w:sz="6" w:space="0" w:color="auto"/>
              <w:right w:val="single" w:sz="6" w:space="0" w:color="auto"/>
            </w:tcBorders>
            <w:shd w:val="clear" w:color="auto" w:fill="auto"/>
          </w:tcPr>
          <w:p w14:paraId="0BBE2643" w14:textId="77777777" w:rsidR="005C0E50" w:rsidRPr="00B55FF9" w:rsidRDefault="005C0E50" w:rsidP="00A11DF6">
            <w:pPr>
              <w:keepNext/>
              <w:overflowPunct/>
              <w:autoSpaceDE/>
              <w:autoSpaceDN/>
              <w:adjustRightInd/>
              <w:jc w:val="center"/>
              <w:rPr>
                <w:rFonts w:asciiTheme="minorHAnsi" w:hAnsiTheme="minorHAnsi" w:cs="Segoe UI"/>
              </w:rPr>
            </w:pPr>
            <w:r w:rsidRPr="00857AC7">
              <w:t>-</w:t>
            </w:r>
          </w:p>
        </w:tc>
        <w:tc>
          <w:tcPr>
            <w:tcW w:w="2256" w:type="dxa"/>
            <w:tcBorders>
              <w:top w:val="nil"/>
              <w:left w:val="nil"/>
              <w:bottom w:val="single" w:sz="6" w:space="0" w:color="auto"/>
              <w:right w:val="single" w:sz="6" w:space="0" w:color="auto"/>
            </w:tcBorders>
          </w:tcPr>
          <w:p w14:paraId="18CE7E55" w14:textId="77777777" w:rsidR="005C0E50" w:rsidRPr="00B55FF9" w:rsidRDefault="005C0E50" w:rsidP="00A11DF6">
            <w:pPr>
              <w:keepNext/>
              <w:overflowPunct/>
              <w:autoSpaceDE/>
              <w:autoSpaceDN/>
              <w:adjustRightInd/>
              <w:jc w:val="center"/>
              <w:rPr>
                <w:rFonts w:asciiTheme="minorHAnsi" w:hAnsiTheme="minorHAnsi" w:cs="Segoe UI"/>
              </w:rPr>
            </w:pPr>
            <w:r w:rsidRPr="00857AC7">
              <w:t>2+1 Standby</w:t>
            </w:r>
          </w:p>
        </w:tc>
        <w:tc>
          <w:tcPr>
            <w:tcW w:w="2256" w:type="dxa"/>
            <w:tcBorders>
              <w:top w:val="nil"/>
              <w:left w:val="nil"/>
              <w:bottom w:val="single" w:sz="6" w:space="0" w:color="auto"/>
              <w:right w:val="single" w:sz="6" w:space="0" w:color="auto"/>
            </w:tcBorders>
          </w:tcPr>
          <w:p w14:paraId="44D150DF" w14:textId="77777777" w:rsidR="005C0E50" w:rsidRPr="00B55FF9" w:rsidRDefault="005C0E50" w:rsidP="00A11DF6">
            <w:pPr>
              <w:keepNext/>
              <w:overflowPunct/>
              <w:autoSpaceDE/>
              <w:autoSpaceDN/>
              <w:adjustRightInd/>
              <w:jc w:val="center"/>
              <w:rPr>
                <w:rFonts w:asciiTheme="minorHAnsi" w:hAnsiTheme="minorHAnsi" w:cs="Segoe UI"/>
              </w:rPr>
            </w:pPr>
            <w:r w:rsidRPr="00857AC7">
              <w:t>2+1 Standby</w:t>
            </w:r>
          </w:p>
        </w:tc>
      </w:tr>
      <w:tr w:rsidR="005C0E50" w:rsidRPr="008A0812" w14:paraId="315E99D7"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17B46568" w14:textId="77777777" w:rsidR="005C0E50" w:rsidRPr="00857AC7" w:rsidRDefault="005C0E50" w:rsidP="00A11DF6">
            <w:pPr>
              <w:keepNext/>
              <w:overflowPunct/>
              <w:autoSpaceDE/>
              <w:autoSpaceDN/>
              <w:adjustRightInd/>
              <w:ind w:left="195"/>
            </w:pPr>
            <w:r>
              <w:t>Capacity of pump (each)</w:t>
            </w:r>
          </w:p>
        </w:tc>
        <w:tc>
          <w:tcPr>
            <w:tcW w:w="1174" w:type="dxa"/>
            <w:tcBorders>
              <w:top w:val="nil"/>
              <w:left w:val="nil"/>
              <w:bottom w:val="single" w:sz="6" w:space="0" w:color="auto"/>
              <w:right w:val="single" w:sz="6" w:space="0" w:color="auto"/>
            </w:tcBorders>
            <w:shd w:val="clear" w:color="auto" w:fill="auto"/>
          </w:tcPr>
          <w:p w14:paraId="7EA2FE4D" w14:textId="77777777" w:rsidR="005C0E50" w:rsidRPr="00857AC7" w:rsidRDefault="005C0E50" w:rsidP="00A11DF6">
            <w:pPr>
              <w:keepNext/>
              <w:overflowPunct/>
              <w:autoSpaceDE/>
              <w:autoSpaceDN/>
              <w:adjustRightInd/>
              <w:jc w:val="center"/>
            </w:pPr>
            <w:r>
              <w:t>mgd</w:t>
            </w:r>
          </w:p>
        </w:tc>
        <w:tc>
          <w:tcPr>
            <w:tcW w:w="2256" w:type="dxa"/>
            <w:tcBorders>
              <w:top w:val="nil"/>
              <w:left w:val="nil"/>
              <w:bottom w:val="single" w:sz="6" w:space="0" w:color="auto"/>
              <w:right w:val="single" w:sz="6" w:space="0" w:color="auto"/>
            </w:tcBorders>
          </w:tcPr>
          <w:p w14:paraId="4E02C0AA" w14:textId="77777777" w:rsidR="005C0E50" w:rsidRPr="00857AC7" w:rsidRDefault="005C0E50" w:rsidP="00A11DF6">
            <w:pPr>
              <w:keepNext/>
              <w:overflowPunct/>
              <w:autoSpaceDE/>
              <w:autoSpaceDN/>
              <w:adjustRightInd/>
              <w:jc w:val="center"/>
            </w:pPr>
            <w:r>
              <w:t>18</w:t>
            </w:r>
          </w:p>
        </w:tc>
        <w:tc>
          <w:tcPr>
            <w:tcW w:w="2256" w:type="dxa"/>
            <w:tcBorders>
              <w:top w:val="nil"/>
              <w:left w:val="nil"/>
              <w:bottom w:val="single" w:sz="6" w:space="0" w:color="auto"/>
              <w:right w:val="single" w:sz="6" w:space="0" w:color="auto"/>
            </w:tcBorders>
          </w:tcPr>
          <w:p w14:paraId="5AA61ACA" w14:textId="77777777" w:rsidR="005C0E50" w:rsidRPr="00857AC7" w:rsidRDefault="005C0E50" w:rsidP="00A11DF6">
            <w:pPr>
              <w:keepNext/>
              <w:overflowPunct/>
              <w:autoSpaceDE/>
              <w:autoSpaceDN/>
              <w:adjustRightInd/>
              <w:jc w:val="center"/>
            </w:pPr>
            <w:r>
              <w:t>10.5</w:t>
            </w:r>
          </w:p>
        </w:tc>
      </w:tr>
      <w:tr w:rsidR="005C0E50" w:rsidRPr="008A0812" w14:paraId="383C5104"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15409A82" w14:textId="77777777" w:rsidR="005C0E50" w:rsidRPr="00B55FF9" w:rsidRDefault="005C0E50" w:rsidP="00A11DF6">
            <w:pPr>
              <w:keepNext/>
              <w:overflowPunct/>
              <w:autoSpaceDE/>
              <w:autoSpaceDN/>
              <w:adjustRightInd/>
              <w:ind w:left="195"/>
              <w:rPr>
                <w:rFonts w:asciiTheme="minorHAnsi" w:hAnsiTheme="minorHAnsi" w:cs="Segoe UI"/>
              </w:rPr>
            </w:pPr>
            <w:r w:rsidRPr="00857AC7">
              <w:t>Average</w:t>
            </w:r>
            <w:r>
              <w:t xml:space="preserve"> number of </w:t>
            </w:r>
            <w:r w:rsidRPr="00857AC7">
              <w:t>units in operation</w:t>
            </w:r>
          </w:p>
        </w:tc>
        <w:tc>
          <w:tcPr>
            <w:tcW w:w="1174" w:type="dxa"/>
            <w:tcBorders>
              <w:top w:val="nil"/>
              <w:left w:val="nil"/>
              <w:bottom w:val="single" w:sz="6" w:space="0" w:color="auto"/>
              <w:right w:val="single" w:sz="6" w:space="0" w:color="auto"/>
            </w:tcBorders>
            <w:shd w:val="clear" w:color="auto" w:fill="auto"/>
          </w:tcPr>
          <w:p w14:paraId="6A74390D" w14:textId="77777777" w:rsidR="005C0E50" w:rsidRPr="00B55FF9" w:rsidRDefault="005C0E50" w:rsidP="00A11DF6">
            <w:pPr>
              <w:keepNext/>
              <w:overflowPunct/>
              <w:autoSpaceDE/>
              <w:autoSpaceDN/>
              <w:adjustRightInd/>
              <w:jc w:val="center"/>
              <w:rPr>
                <w:rFonts w:asciiTheme="minorHAnsi" w:hAnsiTheme="minorHAnsi" w:cs="Segoe UI"/>
              </w:rPr>
            </w:pPr>
            <w:r w:rsidRPr="00857AC7">
              <w:t>-</w:t>
            </w:r>
          </w:p>
        </w:tc>
        <w:tc>
          <w:tcPr>
            <w:tcW w:w="2256" w:type="dxa"/>
            <w:tcBorders>
              <w:top w:val="nil"/>
              <w:left w:val="nil"/>
              <w:bottom w:val="single" w:sz="6" w:space="0" w:color="auto"/>
              <w:right w:val="single" w:sz="6" w:space="0" w:color="auto"/>
            </w:tcBorders>
          </w:tcPr>
          <w:p w14:paraId="07BDA109" w14:textId="77777777" w:rsidR="005C0E50" w:rsidRPr="00B55FF9" w:rsidRDefault="005C0E50" w:rsidP="00A11DF6">
            <w:pPr>
              <w:keepNext/>
              <w:overflowPunct/>
              <w:autoSpaceDE/>
              <w:autoSpaceDN/>
              <w:adjustRightInd/>
              <w:jc w:val="center"/>
              <w:rPr>
                <w:rFonts w:asciiTheme="minorHAnsi" w:hAnsiTheme="minorHAnsi" w:cs="Segoe UI"/>
              </w:rPr>
            </w:pPr>
            <w:r w:rsidRPr="00857AC7">
              <w:t>1</w:t>
            </w:r>
          </w:p>
        </w:tc>
        <w:tc>
          <w:tcPr>
            <w:tcW w:w="2256" w:type="dxa"/>
            <w:tcBorders>
              <w:top w:val="nil"/>
              <w:left w:val="nil"/>
              <w:bottom w:val="single" w:sz="6" w:space="0" w:color="auto"/>
              <w:right w:val="single" w:sz="6" w:space="0" w:color="auto"/>
            </w:tcBorders>
          </w:tcPr>
          <w:p w14:paraId="10D78CAC" w14:textId="77777777" w:rsidR="005C0E50" w:rsidRPr="00B55FF9" w:rsidRDefault="005C0E50" w:rsidP="00A11DF6">
            <w:pPr>
              <w:keepNext/>
              <w:overflowPunct/>
              <w:autoSpaceDE/>
              <w:autoSpaceDN/>
              <w:adjustRightInd/>
              <w:jc w:val="center"/>
              <w:rPr>
                <w:rFonts w:asciiTheme="minorHAnsi" w:hAnsiTheme="minorHAnsi" w:cs="Segoe UI"/>
              </w:rPr>
            </w:pPr>
            <w:r w:rsidRPr="00857AC7">
              <w:t>1</w:t>
            </w:r>
          </w:p>
        </w:tc>
      </w:tr>
      <w:tr w:rsidR="005C0E50" w:rsidRPr="008A0812" w14:paraId="63755BD0"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7CFCD892" w14:textId="77777777" w:rsidR="005C0E50" w:rsidRPr="00B55FF9" w:rsidRDefault="005C0E50" w:rsidP="00A11DF6">
            <w:pPr>
              <w:keepNext/>
              <w:overflowPunct/>
              <w:autoSpaceDE/>
              <w:autoSpaceDN/>
              <w:adjustRightInd/>
              <w:ind w:left="195"/>
              <w:rPr>
                <w:rFonts w:asciiTheme="minorHAnsi" w:hAnsiTheme="minorHAnsi" w:cs="Segoe UI"/>
              </w:rPr>
            </w:pPr>
            <w:r w:rsidRPr="00857AC7">
              <w:t>Daily Operation</w:t>
            </w:r>
          </w:p>
        </w:tc>
        <w:tc>
          <w:tcPr>
            <w:tcW w:w="1174" w:type="dxa"/>
            <w:tcBorders>
              <w:top w:val="nil"/>
              <w:left w:val="nil"/>
              <w:bottom w:val="single" w:sz="6" w:space="0" w:color="auto"/>
              <w:right w:val="single" w:sz="6" w:space="0" w:color="auto"/>
            </w:tcBorders>
            <w:shd w:val="clear" w:color="auto" w:fill="auto"/>
          </w:tcPr>
          <w:p w14:paraId="0B0D5C3E" w14:textId="77777777" w:rsidR="005C0E50" w:rsidRPr="00B55FF9" w:rsidRDefault="005C0E50" w:rsidP="00A11DF6">
            <w:pPr>
              <w:keepNext/>
              <w:overflowPunct/>
              <w:autoSpaceDE/>
              <w:autoSpaceDN/>
              <w:adjustRightInd/>
              <w:jc w:val="center"/>
              <w:rPr>
                <w:rFonts w:asciiTheme="minorHAnsi" w:hAnsiTheme="minorHAnsi" w:cs="Segoe UI"/>
              </w:rPr>
            </w:pPr>
            <w:r w:rsidRPr="00857AC7">
              <w:t>hr</w:t>
            </w:r>
          </w:p>
        </w:tc>
        <w:tc>
          <w:tcPr>
            <w:tcW w:w="2256" w:type="dxa"/>
            <w:tcBorders>
              <w:top w:val="nil"/>
              <w:left w:val="nil"/>
              <w:bottom w:val="single" w:sz="6" w:space="0" w:color="auto"/>
              <w:right w:val="single" w:sz="6" w:space="0" w:color="auto"/>
            </w:tcBorders>
          </w:tcPr>
          <w:p w14:paraId="1A986C1A" w14:textId="77777777" w:rsidR="005C0E50" w:rsidRPr="00B55FF9" w:rsidRDefault="005C0E50" w:rsidP="00A11DF6">
            <w:pPr>
              <w:keepNext/>
              <w:overflowPunct/>
              <w:autoSpaceDE/>
              <w:autoSpaceDN/>
              <w:adjustRightInd/>
              <w:jc w:val="center"/>
              <w:rPr>
                <w:rFonts w:asciiTheme="minorHAnsi" w:hAnsiTheme="minorHAnsi" w:cs="Segoe UI"/>
              </w:rPr>
            </w:pPr>
            <w:r w:rsidRPr="00857AC7">
              <w:t>24</w:t>
            </w:r>
          </w:p>
        </w:tc>
        <w:tc>
          <w:tcPr>
            <w:tcW w:w="2256" w:type="dxa"/>
            <w:tcBorders>
              <w:top w:val="nil"/>
              <w:left w:val="nil"/>
              <w:bottom w:val="single" w:sz="6" w:space="0" w:color="auto"/>
              <w:right w:val="single" w:sz="6" w:space="0" w:color="auto"/>
            </w:tcBorders>
          </w:tcPr>
          <w:p w14:paraId="6477D00C" w14:textId="77777777" w:rsidR="005C0E50" w:rsidRPr="00B55FF9" w:rsidRDefault="005C0E50" w:rsidP="00A11DF6">
            <w:pPr>
              <w:keepNext/>
              <w:overflowPunct/>
              <w:autoSpaceDE/>
              <w:autoSpaceDN/>
              <w:adjustRightInd/>
              <w:jc w:val="center"/>
              <w:rPr>
                <w:rFonts w:asciiTheme="minorHAnsi" w:hAnsiTheme="minorHAnsi" w:cs="Segoe UI"/>
              </w:rPr>
            </w:pPr>
            <w:r w:rsidRPr="00857AC7">
              <w:t>24</w:t>
            </w:r>
          </w:p>
        </w:tc>
      </w:tr>
      <w:tr w:rsidR="005C0E50" w:rsidRPr="008A0812" w14:paraId="46DDC941"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28501348" w14:textId="77777777" w:rsidR="005C0E50" w:rsidRPr="00B55FF9" w:rsidRDefault="005C0E50" w:rsidP="00A11DF6">
            <w:pPr>
              <w:keepNext/>
              <w:overflowPunct/>
              <w:autoSpaceDE/>
              <w:autoSpaceDN/>
              <w:adjustRightInd/>
              <w:ind w:left="195"/>
              <w:rPr>
                <w:rFonts w:asciiTheme="minorHAnsi" w:hAnsiTheme="minorHAnsi" w:cs="Segoe UI"/>
              </w:rPr>
            </w:pPr>
            <w:r w:rsidRPr="00857AC7">
              <w:t>Rated power, each</w:t>
            </w:r>
          </w:p>
        </w:tc>
        <w:tc>
          <w:tcPr>
            <w:tcW w:w="1174" w:type="dxa"/>
            <w:tcBorders>
              <w:top w:val="nil"/>
              <w:left w:val="nil"/>
              <w:bottom w:val="single" w:sz="6" w:space="0" w:color="auto"/>
              <w:right w:val="single" w:sz="6" w:space="0" w:color="auto"/>
            </w:tcBorders>
            <w:shd w:val="clear" w:color="auto" w:fill="auto"/>
          </w:tcPr>
          <w:p w14:paraId="23006708" w14:textId="77777777" w:rsidR="005C0E50" w:rsidRPr="00B55FF9" w:rsidRDefault="005C0E50" w:rsidP="00A11DF6">
            <w:pPr>
              <w:keepNext/>
              <w:overflowPunct/>
              <w:autoSpaceDE/>
              <w:autoSpaceDN/>
              <w:adjustRightInd/>
              <w:jc w:val="center"/>
              <w:rPr>
                <w:rFonts w:asciiTheme="minorHAnsi" w:hAnsiTheme="minorHAnsi" w:cs="Segoe UI"/>
              </w:rPr>
            </w:pPr>
            <w:r w:rsidRPr="00857AC7">
              <w:t>hp</w:t>
            </w:r>
          </w:p>
        </w:tc>
        <w:tc>
          <w:tcPr>
            <w:tcW w:w="2256" w:type="dxa"/>
            <w:tcBorders>
              <w:top w:val="nil"/>
              <w:left w:val="nil"/>
              <w:bottom w:val="single" w:sz="6" w:space="0" w:color="auto"/>
              <w:right w:val="single" w:sz="6" w:space="0" w:color="auto"/>
            </w:tcBorders>
          </w:tcPr>
          <w:p w14:paraId="617D6862" w14:textId="77777777" w:rsidR="005C0E50" w:rsidRPr="00B55FF9" w:rsidRDefault="005C0E50" w:rsidP="00A11DF6">
            <w:pPr>
              <w:keepNext/>
              <w:overflowPunct/>
              <w:autoSpaceDE/>
              <w:autoSpaceDN/>
              <w:adjustRightInd/>
              <w:jc w:val="center"/>
              <w:rPr>
                <w:rFonts w:asciiTheme="minorHAnsi" w:hAnsiTheme="minorHAnsi" w:cs="Segoe UI"/>
              </w:rPr>
            </w:pPr>
            <w:r w:rsidRPr="00857AC7">
              <w:t>60</w:t>
            </w:r>
          </w:p>
        </w:tc>
        <w:tc>
          <w:tcPr>
            <w:tcW w:w="2256" w:type="dxa"/>
            <w:tcBorders>
              <w:top w:val="nil"/>
              <w:left w:val="nil"/>
              <w:bottom w:val="single" w:sz="6" w:space="0" w:color="auto"/>
              <w:right w:val="single" w:sz="6" w:space="0" w:color="auto"/>
            </w:tcBorders>
          </w:tcPr>
          <w:p w14:paraId="231A6693" w14:textId="77777777" w:rsidR="005C0E50" w:rsidRPr="00B55FF9" w:rsidRDefault="005C0E50" w:rsidP="00A11DF6">
            <w:pPr>
              <w:keepNext/>
              <w:overflowPunct/>
              <w:autoSpaceDE/>
              <w:autoSpaceDN/>
              <w:adjustRightInd/>
              <w:jc w:val="center"/>
              <w:rPr>
                <w:rFonts w:asciiTheme="minorHAnsi" w:hAnsiTheme="minorHAnsi" w:cs="Segoe UI"/>
              </w:rPr>
            </w:pPr>
            <w:r w:rsidRPr="00857AC7">
              <w:t>30</w:t>
            </w:r>
          </w:p>
        </w:tc>
      </w:tr>
      <w:tr w:rsidR="005C0E50" w:rsidRPr="008A0812" w14:paraId="6C2177D6"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457E90C3" w14:textId="77777777" w:rsidR="005C0E50" w:rsidRPr="00B55FF9" w:rsidRDefault="005C0E50" w:rsidP="00A11DF6">
            <w:pPr>
              <w:keepNext/>
              <w:overflowPunct/>
              <w:autoSpaceDE/>
              <w:autoSpaceDN/>
              <w:adjustRightInd/>
              <w:ind w:left="195"/>
              <w:rPr>
                <w:rFonts w:asciiTheme="minorHAnsi" w:hAnsiTheme="minorHAnsi" w:cs="Segoe UI"/>
              </w:rPr>
            </w:pPr>
            <w:r w:rsidRPr="00857AC7">
              <w:t>Average power draw, percent of rated</w:t>
            </w:r>
          </w:p>
        </w:tc>
        <w:tc>
          <w:tcPr>
            <w:tcW w:w="1174" w:type="dxa"/>
            <w:tcBorders>
              <w:top w:val="nil"/>
              <w:left w:val="nil"/>
              <w:bottom w:val="single" w:sz="6" w:space="0" w:color="auto"/>
              <w:right w:val="single" w:sz="6" w:space="0" w:color="auto"/>
            </w:tcBorders>
            <w:shd w:val="clear" w:color="auto" w:fill="auto"/>
          </w:tcPr>
          <w:p w14:paraId="238473FD" w14:textId="77777777" w:rsidR="005C0E50" w:rsidRPr="00B55FF9" w:rsidRDefault="005C0E50" w:rsidP="00A11DF6">
            <w:pPr>
              <w:keepNext/>
              <w:overflowPunct/>
              <w:autoSpaceDE/>
              <w:autoSpaceDN/>
              <w:adjustRightInd/>
              <w:jc w:val="center"/>
              <w:rPr>
                <w:rFonts w:asciiTheme="minorHAnsi" w:hAnsiTheme="minorHAnsi" w:cs="Segoe UI"/>
              </w:rPr>
            </w:pPr>
            <w:r w:rsidRPr="00857AC7">
              <w:t>%</w:t>
            </w:r>
          </w:p>
        </w:tc>
        <w:tc>
          <w:tcPr>
            <w:tcW w:w="2256" w:type="dxa"/>
            <w:tcBorders>
              <w:top w:val="nil"/>
              <w:left w:val="nil"/>
              <w:bottom w:val="single" w:sz="6" w:space="0" w:color="auto"/>
              <w:right w:val="single" w:sz="6" w:space="0" w:color="auto"/>
            </w:tcBorders>
          </w:tcPr>
          <w:p w14:paraId="2B628103" w14:textId="77777777" w:rsidR="005C0E50" w:rsidRPr="00B55FF9" w:rsidRDefault="005C0E50" w:rsidP="00A11DF6">
            <w:pPr>
              <w:keepNext/>
              <w:overflowPunct/>
              <w:autoSpaceDE/>
              <w:autoSpaceDN/>
              <w:adjustRightInd/>
              <w:jc w:val="center"/>
              <w:rPr>
                <w:rFonts w:asciiTheme="minorHAnsi" w:hAnsiTheme="minorHAnsi" w:cs="Segoe UI"/>
              </w:rPr>
            </w:pPr>
            <w:r w:rsidRPr="00857AC7">
              <w:t>80%</w:t>
            </w:r>
          </w:p>
        </w:tc>
        <w:tc>
          <w:tcPr>
            <w:tcW w:w="2256" w:type="dxa"/>
            <w:tcBorders>
              <w:top w:val="nil"/>
              <w:left w:val="nil"/>
              <w:bottom w:val="single" w:sz="6" w:space="0" w:color="auto"/>
              <w:right w:val="single" w:sz="6" w:space="0" w:color="auto"/>
            </w:tcBorders>
          </w:tcPr>
          <w:p w14:paraId="7CFC0A3B" w14:textId="77777777" w:rsidR="005C0E50" w:rsidRPr="00B55FF9" w:rsidRDefault="005C0E50" w:rsidP="00A11DF6">
            <w:pPr>
              <w:keepNext/>
              <w:overflowPunct/>
              <w:autoSpaceDE/>
              <w:autoSpaceDN/>
              <w:adjustRightInd/>
              <w:jc w:val="center"/>
              <w:rPr>
                <w:rFonts w:asciiTheme="minorHAnsi" w:hAnsiTheme="minorHAnsi" w:cs="Segoe UI"/>
              </w:rPr>
            </w:pPr>
            <w:r w:rsidRPr="00857AC7">
              <w:t>80%</w:t>
            </w:r>
          </w:p>
        </w:tc>
      </w:tr>
      <w:tr w:rsidR="005C0E50" w:rsidRPr="008A0812" w14:paraId="5DCE26B9"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5AFF3710" w14:textId="77777777" w:rsidR="005C0E50" w:rsidRPr="00B55FF9" w:rsidRDefault="005C0E50" w:rsidP="00A11DF6">
            <w:pPr>
              <w:keepNext/>
              <w:overflowPunct/>
              <w:autoSpaceDE/>
              <w:autoSpaceDN/>
              <w:adjustRightInd/>
              <w:ind w:left="195"/>
              <w:rPr>
                <w:rFonts w:asciiTheme="minorHAnsi" w:hAnsiTheme="minorHAnsi" w:cs="Segoe UI"/>
              </w:rPr>
            </w:pPr>
            <w:r w:rsidRPr="00857AC7">
              <w:t>Average power draw</w:t>
            </w:r>
          </w:p>
        </w:tc>
        <w:tc>
          <w:tcPr>
            <w:tcW w:w="1174" w:type="dxa"/>
            <w:tcBorders>
              <w:top w:val="nil"/>
              <w:left w:val="nil"/>
              <w:bottom w:val="single" w:sz="6" w:space="0" w:color="auto"/>
              <w:right w:val="single" w:sz="6" w:space="0" w:color="auto"/>
            </w:tcBorders>
            <w:shd w:val="clear" w:color="auto" w:fill="auto"/>
          </w:tcPr>
          <w:p w14:paraId="0BF0576D" w14:textId="77777777" w:rsidR="005C0E50" w:rsidRPr="00B55FF9" w:rsidRDefault="005C0E50" w:rsidP="00A11DF6">
            <w:pPr>
              <w:keepNext/>
              <w:overflowPunct/>
              <w:autoSpaceDE/>
              <w:autoSpaceDN/>
              <w:adjustRightInd/>
              <w:jc w:val="center"/>
              <w:rPr>
                <w:rFonts w:asciiTheme="minorHAnsi" w:hAnsiTheme="minorHAnsi" w:cs="Segoe UI"/>
              </w:rPr>
            </w:pPr>
            <w:r w:rsidRPr="00857AC7">
              <w:t>kW</w:t>
            </w:r>
          </w:p>
        </w:tc>
        <w:tc>
          <w:tcPr>
            <w:tcW w:w="2256" w:type="dxa"/>
            <w:tcBorders>
              <w:top w:val="nil"/>
              <w:left w:val="nil"/>
              <w:bottom w:val="single" w:sz="6" w:space="0" w:color="auto"/>
              <w:right w:val="single" w:sz="6" w:space="0" w:color="auto"/>
            </w:tcBorders>
          </w:tcPr>
          <w:p w14:paraId="1E56B8AE" w14:textId="77777777" w:rsidR="005C0E50" w:rsidRPr="00B55FF9" w:rsidRDefault="005C0E50" w:rsidP="00A11DF6">
            <w:pPr>
              <w:keepNext/>
              <w:overflowPunct/>
              <w:autoSpaceDE/>
              <w:autoSpaceDN/>
              <w:adjustRightInd/>
              <w:jc w:val="center"/>
              <w:rPr>
                <w:rFonts w:asciiTheme="minorHAnsi" w:hAnsiTheme="minorHAnsi" w:cs="Segoe UI"/>
              </w:rPr>
            </w:pPr>
            <w:r w:rsidRPr="00857AC7">
              <w:t>36</w:t>
            </w:r>
          </w:p>
        </w:tc>
        <w:tc>
          <w:tcPr>
            <w:tcW w:w="2256" w:type="dxa"/>
            <w:tcBorders>
              <w:top w:val="nil"/>
              <w:left w:val="nil"/>
              <w:bottom w:val="single" w:sz="6" w:space="0" w:color="auto"/>
              <w:right w:val="single" w:sz="6" w:space="0" w:color="auto"/>
            </w:tcBorders>
          </w:tcPr>
          <w:p w14:paraId="7FF7BB02" w14:textId="77777777" w:rsidR="005C0E50" w:rsidRPr="00B55FF9" w:rsidRDefault="005C0E50" w:rsidP="00A11DF6">
            <w:pPr>
              <w:keepNext/>
              <w:overflowPunct/>
              <w:autoSpaceDE/>
              <w:autoSpaceDN/>
              <w:adjustRightInd/>
              <w:jc w:val="center"/>
              <w:rPr>
                <w:rFonts w:asciiTheme="minorHAnsi" w:hAnsiTheme="minorHAnsi" w:cs="Segoe UI"/>
              </w:rPr>
            </w:pPr>
            <w:r w:rsidRPr="00857AC7">
              <w:t>18</w:t>
            </w:r>
          </w:p>
        </w:tc>
      </w:tr>
      <w:tr w:rsidR="005C0E50" w:rsidRPr="008A0812" w14:paraId="4A0441D1" w14:textId="77777777" w:rsidTr="00A11DF6">
        <w:trPr>
          <w:jc w:val="center"/>
        </w:trPr>
        <w:tc>
          <w:tcPr>
            <w:tcW w:w="3678" w:type="dxa"/>
            <w:tcBorders>
              <w:top w:val="nil"/>
              <w:left w:val="single" w:sz="6" w:space="0" w:color="auto"/>
              <w:bottom w:val="single" w:sz="6" w:space="0" w:color="auto"/>
              <w:right w:val="single" w:sz="6" w:space="0" w:color="auto"/>
            </w:tcBorders>
            <w:shd w:val="clear" w:color="auto" w:fill="auto"/>
            <w:tcMar>
              <w:left w:w="72" w:type="dxa"/>
            </w:tcMar>
          </w:tcPr>
          <w:p w14:paraId="48B06FBB" w14:textId="77777777" w:rsidR="005C0E50" w:rsidRPr="00B55FF9" w:rsidRDefault="005C0E50" w:rsidP="00A11DF6">
            <w:pPr>
              <w:keepNext/>
              <w:overflowPunct/>
              <w:autoSpaceDE/>
              <w:autoSpaceDN/>
              <w:adjustRightInd/>
              <w:ind w:left="195"/>
              <w:rPr>
                <w:rFonts w:asciiTheme="minorHAnsi" w:hAnsiTheme="minorHAnsi" w:cs="Segoe UI"/>
              </w:rPr>
            </w:pPr>
            <w:r w:rsidRPr="00857AC7">
              <w:t>Annual electricity cost</w:t>
            </w:r>
          </w:p>
        </w:tc>
        <w:tc>
          <w:tcPr>
            <w:tcW w:w="1174" w:type="dxa"/>
            <w:tcBorders>
              <w:top w:val="nil"/>
              <w:left w:val="nil"/>
              <w:bottom w:val="single" w:sz="6" w:space="0" w:color="auto"/>
              <w:right w:val="single" w:sz="6" w:space="0" w:color="auto"/>
            </w:tcBorders>
            <w:shd w:val="clear" w:color="auto" w:fill="auto"/>
          </w:tcPr>
          <w:p w14:paraId="33BB41AF" w14:textId="77777777" w:rsidR="005C0E50" w:rsidRPr="00B55FF9" w:rsidRDefault="005C0E50" w:rsidP="00A11DF6">
            <w:pPr>
              <w:keepNext/>
              <w:overflowPunct/>
              <w:autoSpaceDE/>
              <w:autoSpaceDN/>
              <w:adjustRightInd/>
              <w:jc w:val="center"/>
              <w:rPr>
                <w:rFonts w:asciiTheme="minorHAnsi" w:hAnsiTheme="minorHAnsi" w:cs="Segoe UI"/>
              </w:rPr>
            </w:pPr>
            <w:r w:rsidRPr="00857AC7">
              <w:t>$/year</w:t>
            </w:r>
          </w:p>
        </w:tc>
        <w:tc>
          <w:tcPr>
            <w:tcW w:w="2256" w:type="dxa"/>
            <w:tcBorders>
              <w:top w:val="nil"/>
              <w:left w:val="nil"/>
              <w:bottom w:val="single" w:sz="6" w:space="0" w:color="auto"/>
              <w:right w:val="single" w:sz="6" w:space="0" w:color="auto"/>
            </w:tcBorders>
          </w:tcPr>
          <w:p w14:paraId="31D3ADDE" w14:textId="77777777" w:rsidR="005C0E50" w:rsidRPr="00B55FF9" w:rsidRDefault="005C0E50" w:rsidP="00A11DF6">
            <w:pPr>
              <w:keepNext/>
              <w:overflowPunct/>
              <w:autoSpaceDE/>
              <w:autoSpaceDN/>
              <w:adjustRightInd/>
              <w:jc w:val="center"/>
              <w:rPr>
                <w:rFonts w:asciiTheme="minorHAnsi" w:hAnsiTheme="minorHAnsi" w:cs="Segoe UI"/>
              </w:rPr>
            </w:pPr>
            <w:r w:rsidRPr="00857AC7">
              <w:t>40,000</w:t>
            </w:r>
          </w:p>
        </w:tc>
        <w:tc>
          <w:tcPr>
            <w:tcW w:w="2256" w:type="dxa"/>
            <w:tcBorders>
              <w:top w:val="nil"/>
              <w:left w:val="nil"/>
              <w:bottom w:val="single" w:sz="6" w:space="0" w:color="auto"/>
              <w:right w:val="single" w:sz="6" w:space="0" w:color="auto"/>
            </w:tcBorders>
          </w:tcPr>
          <w:p w14:paraId="20C1E894" w14:textId="77777777" w:rsidR="005C0E50" w:rsidRPr="00B55FF9" w:rsidRDefault="005C0E50" w:rsidP="00A11DF6">
            <w:pPr>
              <w:keepNext/>
              <w:overflowPunct/>
              <w:autoSpaceDE/>
              <w:autoSpaceDN/>
              <w:adjustRightInd/>
              <w:jc w:val="center"/>
              <w:rPr>
                <w:rFonts w:asciiTheme="minorHAnsi" w:hAnsiTheme="minorHAnsi" w:cs="Segoe UI"/>
              </w:rPr>
            </w:pPr>
            <w:r w:rsidRPr="00857AC7">
              <w:t>20,000</w:t>
            </w:r>
          </w:p>
        </w:tc>
      </w:tr>
    </w:tbl>
    <w:p w14:paraId="205DD6C7" w14:textId="77777777" w:rsidR="005C0E50" w:rsidRDefault="005C0E50" w:rsidP="005C0E50"/>
    <w:p w14:paraId="4B0560B1" w14:textId="36E35517" w:rsidR="005C0E50" w:rsidRDefault="005C0E50" w:rsidP="005C0E50">
      <w:r>
        <w:t xml:space="preserve">One pump in operation would be adequate with the reduced capacity of 10.5 mgd during dry </w:t>
      </w:r>
      <w:r w:rsidR="00CC2A20">
        <w:t>weather but</w:t>
      </w:r>
      <w:r>
        <w:t xml:space="preserve"> would require that two pumps be in operation to meet peak flows estimated at 21 mgd for the EILS. For simplicity, it is assumed that one pump is in operation on average in both scenarios. </w:t>
      </w:r>
      <w:r>
        <w:fldChar w:fldCharType="begin"/>
      </w:r>
      <w:r>
        <w:instrText xml:space="preserve"> REF _Ref40269235 \h </w:instrText>
      </w:r>
      <w:r>
        <w:fldChar w:fldCharType="separate"/>
      </w:r>
      <w:r w:rsidR="00AA68F8">
        <w:t xml:space="preserve">Table </w:t>
      </w:r>
      <w:r w:rsidR="00AA68F8">
        <w:rPr>
          <w:noProof/>
        </w:rPr>
        <w:t>10</w:t>
      </w:r>
      <w:r w:rsidR="00AA68F8">
        <w:noBreakHyphen/>
      </w:r>
      <w:r w:rsidR="00AA68F8">
        <w:rPr>
          <w:noProof/>
        </w:rPr>
        <w:t>13</w:t>
      </w:r>
      <w:r>
        <w:fldChar w:fldCharType="end"/>
      </w:r>
      <w:r>
        <w:t xml:space="preserve"> below presents the result of a simple payback analysis based on the assumed conditions described above.</w:t>
      </w:r>
    </w:p>
    <w:p w14:paraId="285B3C52" w14:textId="77777777" w:rsidR="005C0E50" w:rsidRDefault="005C0E50" w:rsidP="005C0E50"/>
    <w:p w14:paraId="4F25DD58" w14:textId="69465233" w:rsidR="005C0E50" w:rsidRDefault="005C0E50" w:rsidP="005C0E50">
      <w:pPr>
        <w:pStyle w:val="Caption"/>
      </w:pPr>
      <w:r>
        <w:t xml:space="preserve"> </w:t>
      </w:r>
      <w:bookmarkStart w:id="638" w:name="_Ref40269235"/>
      <w:bookmarkStart w:id="639" w:name="_Toc41684803"/>
      <w:r>
        <w:t xml:space="preserve">Table </w:t>
      </w:r>
      <w:fldSimple w:instr=" STYLEREF 1 \s ">
        <w:r w:rsidR="00AA68F8">
          <w:rPr>
            <w:noProof/>
          </w:rPr>
          <w:t>10</w:t>
        </w:r>
      </w:fldSimple>
      <w:r>
        <w:noBreakHyphen/>
      </w:r>
      <w:fldSimple w:instr=" SEQ Table \* ARABIC \s 1 ">
        <w:r w:rsidR="00AA68F8">
          <w:rPr>
            <w:noProof/>
          </w:rPr>
          <w:t>13</w:t>
        </w:r>
      </w:fldSimple>
      <w:bookmarkEnd w:id="638"/>
      <w:r>
        <w:t>: EILS Downsizing Simple Payback Results</w:t>
      </w:r>
      <w:bookmarkEnd w:id="639"/>
    </w:p>
    <w:tbl>
      <w:tblPr>
        <w:tblW w:w="5302"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82"/>
        <w:gridCol w:w="2520"/>
      </w:tblGrid>
      <w:tr w:rsidR="005C0E50" w:rsidRPr="008A0812" w14:paraId="6E174058" w14:textId="77777777" w:rsidTr="00A11DF6">
        <w:trPr>
          <w:trHeight w:val="252"/>
          <w:jc w:val="center"/>
        </w:trPr>
        <w:tc>
          <w:tcPr>
            <w:tcW w:w="2782" w:type="dxa"/>
            <w:tcBorders>
              <w:top w:val="single" w:sz="6" w:space="0" w:color="auto"/>
              <w:left w:val="single" w:sz="6" w:space="0" w:color="auto"/>
              <w:bottom w:val="single" w:sz="4" w:space="0" w:color="auto"/>
              <w:right w:val="single" w:sz="6" w:space="0" w:color="auto"/>
            </w:tcBorders>
            <w:shd w:val="clear" w:color="auto" w:fill="BFBFBF"/>
            <w:vAlign w:val="bottom"/>
          </w:tcPr>
          <w:p w14:paraId="7AA964B6" w14:textId="77777777" w:rsidR="005C0E50" w:rsidRPr="00B55FF9" w:rsidRDefault="005C0E50" w:rsidP="00A11DF6">
            <w:pPr>
              <w:keepNext/>
              <w:overflowPunct/>
              <w:autoSpaceDE/>
              <w:autoSpaceDN/>
              <w:adjustRightInd/>
              <w:jc w:val="center"/>
              <w:rPr>
                <w:rFonts w:cs="Segoe UI"/>
                <w:b/>
                <w:bCs/>
              </w:rPr>
            </w:pPr>
            <w:r>
              <w:rPr>
                <w:rFonts w:cs="Segoe UI"/>
                <w:b/>
                <w:bCs/>
              </w:rPr>
              <w:t>Simple Payback</w:t>
            </w:r>
          </w:p>
        </w:tc>
        <w:tc>
          <w:tcPr>
            <w:tcW w:w="2520" w:type="dxa"/>
            <w:tcBorders>
              <w:top w:val="single" w:sz="6" w:space="0" w:color="auto"/>
              <w:left w:val="nil"/>
              <w:bottom w:val="single" w:sz="4" w:space="0" w:color="auto"/>
              <w:right w:val="single" w:sz="6" w:space="0" w:color="auto"/>
            </w:tcBorders>
            <w:shd w:val="clear" w:color="auto" w:fill="BFBFBF"/>
            <w:vAlign w:val="bottom"/>
          </w:tcPr>
          <w:p w14:paraId="4F89A1F6" w14:textId="77777777" w:rsidR="005C0E50" w:rsidRPr="00B55FF9" w:rsidRDefault="005C0E50" w:rsidP="00A11DF6">
            <w:pPr>
              <w:keepNext/>
              <w:overflowPunct/>
              <w:autoSpaceDE/>
              <w:autoSpaceDN/>
              <w:adjustRightInd/>
              <w:jc w:val="center"/>
              <w:rPr>
                <w:rFonts w:cs="Segoe UI"/>
                <w:b/>
                <w:bCs/>
              </w:rPr>
            </w:pPr>
            <w:r>
              <w:rPr>
                <w:rFonts w:cs="Segoe UI"/>
                <w:b/>
                <w:bCs/>
              </w:rPr>
              <w:t>Result</w:t>
            </w:r>
          </w:p>
        </w:tc>
      </w:tr>
      <w:tr w:rsidR="005C0E50" w:rsidRPr="008A0812" w14:paraId="3764697C" w14:textId="77777777" w:rsidTr="00A11DF6">
        <w:trPr>
          <w:jc w:val="center"/>
        </w:trPr>
        <w:tc>
          <w:tcPr>
            <w:tcW w:w="2782" w:type="dxa"/>
            <w:tcBorders>
              <w:top w:val="single" w:sz="4" w:space="0" w:color="auto"/>
              <w:left w:val="single" w:sz="6" w:space="0" w:color="auto"/>
              <w:bottom w:val="single" w:sz="6" w:space="0" w:color="auto"/>
              <w:right w:val="single" w:sz="6" w:space="0" w:color="auto"/>
            </w:tcBorders>
            <w:shd w:val="clear" w:color="auto" w:fill="auto"/>
            <w:tcMar>
              <w:left w:w="72" w:type="dxa"/>
            </w:tcMar>
          </w:tcPr>
          <w:p w14:paraId="0D0C51FA" w14:textId="77777777" w:rsidR="005C0E50" w:rsidRPr="00B55FF9" w:rsidRDefault="005C0E50" w:rsidP="00A11DF6">
            <w:pPr>
              <w:keepNext/>
              <w:overflowPunct/>
              <w:autoSpaceDE/>
              <w:autoSpaceDN/>
              <w:adjustRightInd/>
              <w:ind w:left="195"/>
              <w:rPr>
                <w:rFonts w:asciiTheme="minorHAnsi" w:hAnsiTheme="minorHAnsi" w:cs="Segoe UI"/>
              </w:rPr>
            </w:pPr>
            <w:r w:rsidRPr="00633710">
              <w:t>Electrical savings, assumed</w:t>
            </w:r>
          </w:p>
        </w:tc>
        <w:tc>
          <w:tcPr>
            <w:tcW w:w="2520" w:type="dxa"/>
            <w:tcBorders>
              <w:top w:val="single" w:sz="4" w:space="0" w:color="auto"/>
              <w:left w:val="nil"/>
              <w:bottom w:val="single" w:sz="6" w:space="0" w:color="auto"/>
              <w:right w:val="single" w:sz="6" w:space="0" w:color="auto"/>
            </w:tcBorders>
            <w:shd w:val="clear" w:color="auto" w:fill="auto"/>
          </w:tcPr>
          <w:p w14:paraId="2CB1ADC7" w14:textId="77777777" w:rsidR="005C0E50" w:rsidRPr="00B55FF9" w:rsidRDefault="005C0E50" w:rsidP="00A11DF6">
            <w:pPr>
              <w:keepNext/>
              <w:overflowPunct/>
              <w:autoSpaceDE/>
              <w:autoSpaceDN/>
              <w:adjustRightInd/>
              <w:jc w:val="center"/>
              <w:rPr>
                <w:rFonts w:asciiTheme="minorHAnsi" w:hAnsiTheme="minorHAnsi" w:cs="Segoe UI"/>
              </w:rPr>
            </w:pPr>
            <w:r>
              <w:rPr>
                <w:rFonts w:asciiTheme="minorHAnsi" w:hAnsiTheme="minorHAnsi" w:cs="Segoe UI"/>
              </w:rPr>
              <w:t>50%</w:t>
            </w:r>
          </w:p>
        </w:tc>
      </w:tr>
      <w:tr w:rsidR="005C0E50" w:rsidRPr="008A0812" w14:paraId="14EA8CEB" w14:textId="77777777" w:rsidTr="00A11DF6">
        <w:trPr>
          <w:jc w:val="center"/>
        </w:trPr>
        <w:tc>
          <w:tcPr>
            <w:tcW w:w="5302" w:type="dxa"/>
            <w:gridSpan w:val="2"/>
            <w:tcBorders>
              <w:top w:val="nil"/>
              <w:left w:val="single" w:sz="6" w:space="0" w:color="auto"/>
              <w:bottom w:val="single" w:sz="6" w:space="0" w:color="auto"/>
              <w:right w:val="single" w:sz="6" w:space="0" w:color="auto"/>
            </w:tcBorders>
            <w:shd w:val="clear" w:color="auto" w:fill="auto"/>
            <w:tcMar>
              <w:left w:w="72" w:type="dxa"/>
            </w:tcMar>
          </w:tcPr>
          <w:p w14:paraId="222F8ABF" w14:textId="77777777" w:rsidR="005C0E50" w:rsidRPr="00B55FF9" w:rsidRDefault="005C0E50" w:rsidP="00A11DF6">
            <w:pPr>
              <w:keepNext/>
              <w:overflowPunct/>
              <w:autoSpaceDE/>
              <w:autoSpaceDN/>
              <w:adjustRightInd/>
              <w:ind w:left="195"/>
              <w:rPr>
                <w:rFonts w:asciiTheme="minorHAnsi" w:hAnsiTheme="minorHAnsi" w:cs="Segoe UI"/>
              </w:rPr>
            </w:pPr>
            <w:r w:rsidRPr="00F60172">
              <w:rPr>
                <w:rFonts w:asciiTheme="minorHAnsi" w:hAnsiTheme="minorHAnsi" w:cs="Segoe UI"/>
                <w:i/>
                <w:iCs/>
              </w:rPr>
              <w:t>Capital Costs</w:t>
            </w:r>
          </w:p>
        </w:tc>
      </w:tr>
      <w:tr w:rsidR="005C0E50" w:rsidRPr="008A0812" w14:paraId="3AE5BD01"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052CCA73" w14:textId="77777777" w:rsidR="005C0E50" w:rsidRPr="00633710" w:rsidRDefault="005C0E50" w:rsidP="00A11DF6">
            <w:pPr>
              <w:keepNext/>
              <w:overflowPunct/>
              <w:autoSpaceDE/>
              <w:autoSpaceDN/>
              <w:adjustRightInd/>
              <w:ind w:left="375"/>
            </w:pPr>
            <w:r>
              <w:t>Pumps (each)</w:t>
            </w:r>
          </w:p>
        </w:tc>
        <w:tc>
          <w:tcPr>
            <w:tcW w:w="2520" w:type="dxa"/>
            <w:tcBorders>
              <w:top w:val="nil"/>
              <w:left w:val="nil"/>
              <w:bottom w:val="single" w:sz="6" w:space="0" w:color="auto"/>
              <w:right w:val="single" w:sz="6" w:space="0" w:color="auto"/>
            </w:tcBorders>
            <w:shd w:val="clear" w:color="auto" w:fill="auto"/>
          </w:tcPr>
          <w:p w14:paraId="225F3E4C" w14:textId="77777777" w:rsidR="005C0E50" w:rsidRDefault="005C0E50" w:rsidP="00A11DF6">
            <w:pPr>
              <w:keepNext/>
              <w:overflowPunct/>
              <w:autoSpaceDE/>
              <w:autoSpaceDN/>
              <w:adjustRightInd/>
              <w:jc w:val="center"/>
            </w:pPr>
            <w:r>
              <w:t>$92,000</w:t>
            </w:r>
          </w:p>
        </w:tc>
      </w:tr>
      <w:tr w:rsidR="005C0E50" w:rsidRPr="008A0812" w14:paraId="5D81F368"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1A90AF93" w14:textId="77777777" w:rsidR="005C0E50" w:rsidRDefault="005C0E50" w:rsidP="00A11DF6">
            <w:pPr>
              <w:keepNext/>
              <w:overflowPunct/>
              <w:autoSpaceDE/>
              <w:autoSpaceDN/>
              <w:adjustRightInd/>
              <w:ind w:left="375"/>
            </w:pPr>
            <w:r>
              <w:t>Pumps (total)</w:t>
            </w:r>
          </w:p>
        </w:tc>
        <w:tc>
          <w:tcPr>
            <w:tcW w:w="2520" w:type="dxa"/>
            <w:tcBorders>
              <w:top w:val="nil"/>
              <w:left w:val="nil"/>
              <w:bottom w:val="single" w:sz="6" w:space="0" w:color="auto"/>
              <w:right w:val="single" w:sz="6" w:space="0" w:color="auto"/>
            </w:tcBorders>
            <w:shd w:val="clear" w:color="auto" w:fill="auto"/>
          </w:tcPr>
          <w:p w14:paraId="3BAC5692" w14:textId="77777777" w:rsidR="005C0E50" w:rsidRDefault="005C0E50" w:rsidP="00A11DF6">
            <w:pPr>
              <w:keepNext/>
              <w:overflowPunct/>
              <w:autoSpaceDE/>
              <w:autoSpaceDN/>
              <w:adjustRightInd/>
              <w:jc w:val="center"/>
            </w:pPr>
            <w:r>
              <w:t>$276,000</w:t>
            </w:r>
          </w:p>
        </w:tc>
      </w:tr>
      <w:tr w:rsidR="005C0E50" w:rsidRPr="008A0812" w14:paraId="70D70131"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5D63CAD9" w14:textId="77777777" w:rsidR="005C0E50" w:rsidRDefault="005C0E50" w:rsidP="00A11DF6">
            <w:pPr>
              <w:keepNext/>
              <w:overflowPunct/>
              <w:autoSpaceDE/>
              <w:autoSpaceDN/>
              <w:adjustRightInd/>
              <w:ind w:left="375"/>
            </w:pPr>
            <w:r>
              <w:t>Mounting and Installation</w:t>
            </w:r>
          </w:p>
        </w:tc>
        <w:tc>
          <w:tcPr>
            <w:tcW w:w="2520" w:type="dxa"/>
            <w:tcBorders>
              <w:top w:val="nil"/>
              <w:left w:val="nil"/>
              <w:bottom w:val="single" w:sz="6" w:space="0" w:color="auto"/>
              <w:right w:val="single" w:sz="6" w:space="0" w:color="auto"/>
            </w:tcBorders>
            <w:shd w:val="clear" w:color="auto" w:fill="auto"/>
          </w:tcPr>
          <w:p w14:paraId="5869E084" w14:textId="77777777" w:rsidR="005C0E50" w:rsidRDefault="005C0E50" w:rsidP="00A11DF6">
            <w:pPr>
              <w:keepNext/>
              <w:overflowPunct/>
              <w:autoSpaceDE/>
              <w:autoSpaceDN/>
              <w:adjustRightInd/>
              <w:jc w:val="center"/>
            </w:pPr>
            <w:r>
              <w:t>$200,000</w:t>
            </w:r>
          </w:p>
        </w:tc>
      </w:tr>
      <w:tr w:rsidR="005C0E50" w:rsidRPr="008A0812" w14:paraId="67BB1AAF"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03559B75" w14:textId="77777777" w:rsidR="005C0E50" w:rsidRDefault="005C0E50" w:rsidP="00A11DF6">
            <w:pPr>
              <w:keepNext/>
              <w:overflowPunct/>
              <w:autoSpaceDE/>
              <w:autoSpaceDN/>
              <w:adjustRightInd/>
              <w:ind w:left="375"/>
            </w:pPr>
            <w:r>
              <w:t>Design and soft costs</w:t>
            </w:r>
          </w:p>
        </w:tc>
        <w:tc>
          <w:tcPr>
            <w:tcW w:w="2520" w:type="dxa"/>
            <w:tcBorders>
              <w:top w:val="nil"/>
              <w:left w:val="nil"/>
              <w:bottom w:val="single" w:sz="6" w:space="0" w:color="auto"/>
              <w:right w:val="single" w:sz="6" w:space="0" w:color="auto"/>
            </w:tcBorders>
            <w:shd w:val="clear" w:color="auto" w:fill="auto"/>
          </w:tcPr>
          <w:p w14:paraId="0639854A" w14:textId="77777777" w:rsidR="005C0E50" w:rsidRDefault="005C0E50" w:rsidP="00A11DF6">
            <w:pPr>
              <w:keepNext/>
              <w:overflowPunct/>
              <w:autoSpaceDE/>
              <w:autoSpaceDN/>
              <w:adjustRightInd/>
              <w:jc w:val="center"/>
            </w:pPr>
            <w:r>
              <w:t>$124,000</w:t>
            </w:r>
          </w:p>
        </w:tc>
      </w:tr>
      <w:tr w:rsidR="005C0E50" w:rsidRPr="008A0812" w14:paraId="4959D292"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0FFB8B43" w14:textId="77777777" w:rsidR="005C0E50" w:rsidRPr="00F60172" w:rsidRDefault="005C0E50" w:rsidP="00A11DF6">
            <w:pPr>
              <w:keepNext/>
              <w:overflowPunct/>
              <w:autoSpaceDE/>
              <w:autoSpaceDN/>
              <w:adjustRightInd/>
              <w:ind w:left="195"/>
              <w:rPr>
                <w:b/>
                <w:bCs/>
              </w:rPr>
            </w:pPr>
            <w:r w:rsidRPr="00F60172">
              <w:rPr>
                <w:b/>
                <w:bCs/>
              </w:rPr>
              <w:t>Total Capital cost</w:t>
            </w:r>
          </w:p>
        </w:tc>
        <w:tc>
          <w:tcPr>
            <w:tcW w:w="2520" w:type="dxa"/>
            <w:tcBorders>
              <w:top w:val="nil"/>
              <w:left w:val="nil"/>
              <w:bottom w:val="single" w:sz="6" w:space="0" w:color="auto"/>
              <w:right w:val="single" w:sz="6" w:space="0" w:color="auto"/>
            </w:tcBorders>
            <w:shd w:val="clear" w:color="auto" w:fill="auto"/>
          </w:tcPr>
          <w:p w14:paraId="401A3B18" w14:textId="77777777" w:rsidR="005C0E50" w:rsidRPr="00F60172" w:rsidRDefault="005C0E50" w:rsidP="00A11DF6">
            <w:pPr>
              <w:keepNext/>
              <w:overflowPunct/>
              <w:autoSpaceDE/>
              <w:autoSpaceDN/>
              <w:adjustRightInd/>
              <w:jc w:val="center"/>
              <w:rPr>
                <w:b/>
                <w:bCs/>
              </w:rPr>
            </w:pPr>
            <w:r w:rsidRPr="00F60172">
              <w:rPr>
                <w:b/>
                <w:bCs/>
              </w:rPr>
              <w:t>$600,000</w:t>
            </w:r>
          </w:p>
        </w:tc>
      </w:tr>
      <w:tr w:rsidR="005C0E50" w:rsidRPr="008A0812" w14:paraId="0664B2D8" w14:textId="77777777" w:rsidTr="00A11DF6">
        <w:trPr>
          <w:jc w:val="center"/>
        </w:trPr>
        <w:tc>
          <w:tcPr>
            <w:tcW w:w="2782" w:type="dxa"/>
            <w:tcBorders>
              <w:top w:val="nil"/>
              <w:left w:val="single" w:sz="6" w:space="0" w:color="auto"/>
              <w:bottom w:val="single" w:sz="6" w:space="0" w:color="auto"/>
              <w:right w:val="single" w:sz="6" w:space="0" w:color="auto"/>
            </w:tcBorders>
            <w:shd w:val="clear" w:color="auto" w:fill="auto"/>
            <w:tcMar>
              <w:left w:w="72" w:type="dxa"/>
            </w:tcMar>
          </w:tcPr>
          <w:p w14:paraId="15F0167D" w14:textId="77777777" w:rsidR="005C0E50" w:rsidRPr="00F60172" w:rsidRDefault="005C0E50" w:rsidP="00A11DF6">
            <w:pPr>
              <w:keepNext/>
              <w:overflowPunct/>
              <w:autoSpaceDE/>
              <w:autoSpaceDN/>
              <w:adjustRightInd/>
              <w:ind w:left="195"/>
              <w:rPr>
                <w:b/>
                <w:bCs/>
              </w:rPr>
            </w:pPr>
            <w:r w:rsidRPr="00F60172">
              <w:rPr>
                <w:b/>
                <w:bCs/>
              </w:rPr>
              <w:t>Simple Payback</w:t>
            </w:r>
          </w:p>
        </w:tc>
        <w:tc>
          <w:tcPr>
            <w:tcW w:w="2520" w:type="dxa"/>
            <w:tcBorders>
              <w:top w:val="nil"/>
              <w:left w:val="nil"/>
              <w:bottom w:val="single" w:sz="6" w:space="0" w:color="auto"/>
              <w:right w:val="single" w:sz="6" w:space="0" w:color="auto"/>
            </w:tcBorders>
            <w:shd w:val="clear" w:color="auto" w:fill="auto"/>
          </w:tcPr>
          <w:p w14:paraId="369B7F05" w14:textId="77777777" w:rsidR="005C0E50" w:rsidRPr="00F60172" w:rsidRDefault="005C0E50" w:rsidP="00A11DF6">
            <w:pPr>
              <w:keepNext/>
              <w:overflowPunct/>
              <w:autoSpaceDE/>
              <w:autoSpaceDN/>
              <w:adjustRightInd/>
              <w:jc w:val="center"/>
              <w:rPr>
                <w:b/>
                <w:bCs/>
              </w:rPr>
            </w:pPr>
            <w:r w:rsidRPr="00F60172">
              <w:rPr>
                <w:b/>
                <w:bCs/>
              </w:rPr>
              <w:t>30 years</w:t>
            </w:r>
          </w:p>
        </w:tc>
      </w:tr>
    </w:tbl>
    <w:p w14:paraId="602DBBA5" w14:textId="77777777" w:rsidR="005C0E50" w:rsidRDefault="005C0E50" w:rsidP="005C0E50"/>
    <w:p w14:paraId="5584851A" w14:textId="36D87747" w:rsidR="005C0E50" w:rsidRPr="00310AC0" w:rsidRDefault="005C0E50" w:rsidP="005C0E50">
      <w:r>
        <w:t xml:space="preserve">The 50% electrical savings provided is a based on the annual cost difference presented in </w:t>
      </w:r>
      <w:r>
        <w:fldChar w:fldCharType="begin"/>
      </w:r>
      <w:r>
        <w:instrText xml:space="preserve"> REF _Ref40268480 \h </w:instrText>
      </w:r>
      <w:r>
        <w:fldChar w:fldCharType="separate"/>
      </w:r>
      <w:r w:rsidR="00AA68F8">
        <w:t xml:space="preserve">Table </w:t>
      </w:r>
      <w:r w:rsidR="00AA68F8">
        <w:rPr>
          <w:noProof/>
        </w:rPr>
        <w:t>10</w:t>
      </w:r>
      <w:r w:rsidR="00AA68F8">
        <w:noBreakHyphen/>
      </w:r>
      <w:r w:rsidR="00AA68F8">
        <w:rPr>
          <w:noProof/>
        </w:rPr>
        <w:t>12</w:t>
      </w:r>
      <w:r>
        <w:fldChar w:fldCharType="end"/>
      </w:r>
      <w:r>
        <w:t xml:space="preserve">. This estimated savings is considered conservative, as there would likely be less electrical savings when considering details such as pump efficiencies, amount of flow being conveyed, and times of operation. Given the assumptions above, it is not recommended that SBMWD pursue the downsizing of the EILS due to the long payback period. Additional analysis could be done to provide a refined payback estimate, however additional savings are not likely to reduce the payback period significantly. </w:t>
      </w:r>
    </w:p>
    <w:p w14:paraId="1FE3E321" w14:textId="345E79BA" w:rsidR="004776AB" w:rsidRPr="008A0812" w:rsidRDefault="004776AB" w:rsidP="004776AB">
      <w:pPr>
        <w:pStyle w:val="Heading2"/>
        <w:numPr>
          <w:ilvl w:val="1"/>
          <w:numId w:val="1"/>
        </w:numPr>
        <w:tabs>
          <w:tab w:val="clear" w:pos="547"/>
          <w:tab w:val="num" w:pos="446"/>
        </w:tabs>
      </w:pPr>
      <w:bookmarkStart w:id="640" w:name="_Toc41680929"/>
      <w:r w:rsidRPr="008A0812">
        <w:t>Special Studies</w:t>
      </w:r>
      <w:bookmarkEnd w:id="640"/>
    </w:p>
    <w:p w14:paraId="048D3A4A" w14:textId="77777777" w:rsidR="004776AB" w:rsidRPr="008A0812" w:rsidRDefault="004776AB" w:rsidP="004776AB">
      <w:pPr>
        <w:pStyle w:val="BodyText"/>
      </w:pPr>
      <w:r w:rsidRPr="008A0812">
        <w:t xml:space="preserve">This section describes four special studies that have been identified to respond to results of the asset inventory, enhance safety, optimize plant performance, and plan for future changes in the regulatory landscape and electrical codes. Cost placeholders have been included for potential resultant projects from the Electrical and SCADA Master Plans since these projects are anticipated to be required in the near-term (5-year) period. Costs for resultant projects from the Biosolids Strategic Plan and RIX Facilities Plan are not included since the analysis results and timing of resultant projects are unknown at this time. </w:t>
      </w:r>
    </w:p>
    <w:p w14:paraId="3901DF6E" w14:textId="77777777" w:rsidR="004776AB" w:rsidRPr="008A0812" w:rsidRDefault="004776AB" w:rsidP="004776AB">
      <w:pPr>
        <w:pStyle w:val="Heading3"/>
        <w:numPr>
          <w:ilvl w:val="2"/>
          <w:numId w:val="1"/>
        </w:numPr>
        <w:tabs>
          <w:tab w:val="clear" w:pos="720"/>
          <w:tab w:val="num" w:pos="360"/>
          <w:tab w:val="num" w:pos="1260"/>
        </w:tabs>
        <w:ind w:left="986" w:hanging="446"/>
      </w:pPr>
      <w:bookmarkStart w:id="641" w:name="_Toc23931758"/>
      <w:bookmarkStart w:id="642" w:name="_Ref36401590"/>
      <w:bookmarkStart w:id="643" w:name="_Toc41680930"/>
      <w:bookmarkEnd w:id="632"/>
      <w:r w:rsidRPr="008A0812">
        <w:t>Electrical Master Plan</w:t>
      </w:r>
      <w:bookmarkEnd w:id="641"/>
      <w:bookmarkEnd w:id="642"/>
      <w:bookmarkEnd w:id="643"/>
    </w:p>
    <w:p w14:paraId="17E561CB" w14:textId="77777777" w:rsidR="004776AB" w:rsidRPr="008A0812" w:rsidRDefault="004776AB" w:rsidP="004776AB">
      <w:pPr>
        <w:pStyle w:val="BodyText"/>
      </w:pPr>
      <w:r w:rsidRPr="008A0812">
        <w:t xml:space="preserve">Most of the electrical distribution panels at the plant have exceeded their useful life of 30 years, which is a typical industry standard for replacing most electrical equipment. These panels include the BLM Switchgear (5kV), Hoffman Switchgear (480V) and majority of the motor control centers (MCC) located throughout the plant. Some of the electrical panels date back to 1971 (Burner Building), other such panels were installed in the early to late 1980s. Furthermore, modifications to these panels over the years has created a lack of vendor continuity and spare parts.  </w:t>
      </w:r>
    </w:p>
    <w:p w14:paraId="55E572A0" w14:textId="4536761B" w:rsidR="004776AB" w:rsidRPr="008A0812" w:rsidRDefault="004776AB" w:rsidP="004776AB">
      <w:pPr>
        <w:pStyle w:val="BodyText"/>
      </w:pPr>
      <w:r w:rsidRPr="008A0812">
        <w:t>The condition assessment revealed that 12% of all inspected electrical assets in use have zero remaining useful life (RUL), 20% of electrical assets have RUL of</w:t>
      </w:r>
      <w:r w:rsidR="00D15A6D">
        <w:t xml:space="preserve"> </w:t>
      </w:r>
      <w:r w:rsidRPr="008A0812">
        <w:t>less than 5 years, and 72% less than 10 years. Many changes over the life of the plant have resulted in electrical cables, circuit breakers, and MCC buckets being abandoned in place and simply tagged as out of service. Many of the MCCs are underutilized with only a handful of actively used buckets.</w:t>
      </w:r>
    </w:p>
    <w:p w14:paraId="5E6B41B5" w14:textId="4226DA47" w:rsidR="004776AB" w:rsidRPr="008A0812" w:rsidRDefault="004776AB" w:rsidP="004776AB">
      <w:pPr>
        <w:pStyle w:val="BodyText"/>
      </w:pPr>
      <w:r w:rsidRPr="008A0812">
        <w:t>Currently, the plant is undergoing CIP projects that require additional power capacity and interim solutions to handle additional load requirements (kW) and distribution. Projects such as the Blower Rehabilitation Project, Fuel Cell Project and Clean Water Factory are impacting the existing electrical distribution system. The SBMWD is presently working with Southern California Edison (SCE) to combine the two</w:t>
      </w:r>
      <w:r w:rsidR="00431D26">
        <w:t xml:space="preserve"> of the six</w:t>
      </w:r>
      <w:r w:rsidRPr="008A0812">
        <w:t xml:space="preserve"> services at the plant to one metered service at the existing BLM Switchgear</w:t>
      </w:r>
      <w:r w:rsidR="00745389" w:rsidRPr="008A0812">
        <w:t xml:space="preserve"> as part of the Electrical Infrastructure Improvement Project</w:t>
      </w:r>
      <w:r w:rsidRPr="008A0812">
        <w:t xml:space="preserve">. This work is expected to be done in 2021. Based on current load information and proposed additional loads, the existing (12kV/4160V) SCE transformer will be 109% </w:t>
      </w:r>
      <w:r w:rsidR="00745389" w:rsidRPr="008A0812">
        <w:t>of rated capacity</w:t>
      </w:r>
      <w:r w:rsidR="005A5E88" w:rsidRPr="008A0812">
        <w:t xml:space="preserve"> </w:t>
      </w:r>
      <w:r w:rsidRPr="008A0812">
        <w:t>when the fuel cell is not operational.</w:t>
      </w:r>
    </w:p>
    <w:p w14:paraId="53C4B7EF" w14:textId="05A52001" w:rsidR="004776AB" w:rsidRPr="008A0812" w:rsidRDefault="004776AB" w:rsidP="004776AB">
      <w:pPr>
        <w:pStyle w:val="BodyText"/>
      </w:pPr>
      <w:r w:rsidRPr="008A0812">
        <w:t>An Electrical Master Plan is recommended to provide a holistic approach to upgrading the plant’s existing electrical distribution system to improve reliability, redundancy and create equipment standards with features to enhance electrical work safety practices as defined by NFPA 70E. The Electrical Master Plan should be completed by a professional electrical engineer with municipal experience and familiarity of the NEC and CEC codes. The Electrical Master Plan should include the following tasks:</w:t>
      </w:r>
    </w:p>
    <w:p w14:paraId="3CD13D57" w14:textId="7B6FA8A1" w:rsidR="004776AB" w:rsidRPr="008A0812" w:rsidRDefault="004776AB" w:rsidP="004776AB">
      <w:pPr>
        <w:pStyle w:val="Bullet"/>
        <w:overflowPunct/>
        <w:autoSpaceDE/>
        <w:autoSpaceDN/>
        <w:adjustRightInd/>
        <w:textAlignment w:val="auto"/>
      </w:pPr>
      <w:r w:rsidRPr="008A0812">
        <w:t>Condition assessment of electrical distribution equipment</w:t>
      </w:r>
      <w:r w:rsidR="00D15A6D">
        <w:t>, including evaluation and identification of current electrical code violations and recommendations for correction</w:t>
      </w:r>
      <w:r w:rsidRPr="008A0812">
        <w:t>.</w:t>
      </w:r>
    </w:p>
    <w:p w14:paraId="422B1390" w14:textId="77777777" w:rsidR="004776AB" w:rsidRPr="008A0812" w:rsidRDefault="004776AB" w:rsidP="004776AB">
      <w:pPr>
        <w:pStyle w:val="Bullet"/>
        <w:overflowPunct/>
        <w:autoSpaceDE/>
        <w:autoSpaceDN/>
        <w:adjustRightInd/>
        <w:textAlignment w:val="auto"/>
      </w:pPr>
      <w:r w:rsidRPr="008A0812">
        <w:t>Review of as-built documentation.</w:t>
      </w:r>
    </w:p>
    <w:p w14:paraId="099A56CE" w14:textId="066A2889" w:rsidR="004776AB" w:rsidRPr="008A0812" w:rsidRDefault="004776AB" w:rsidP="004776AB">
      <w:pPr>
        <w:pStyle w:val="Bullet"/>
        <w:overflowPunct/>
        <w:autoSpaceDE/>
        <w:autoSpaceDN/>
        <w:adjustRightInd/>
        <w:textAlignment w:val="auto"/>
      </w:pPr>
      <w:r w:rsidRPr="008A0812">
        <w:t>Develop as</w:t>
      </w:r>
      <w:r w:rsidR="00D15A6D">
        <w:t>-</w:t>
      </w:r>
      <w:r w:rsidRPr="008A0812">
        <w:t>built single line diagram (to help confirm what is existing).</w:t>
      </w:r>
    </w:p>
    <w:p w14:paraId="0100C800" w14:textId="77777777" w:rsidR="004776AB" w:rsidRPr="008A0812" w:rsidRDefault="004776AB" w:rsidP="004776AB">
      <w:pPr>
        <w:pStyle w:val="Bullet"/>
        <w:overflowPunct/>
        <w:autoSpaceDE/>
        <w:autoSpaceDN/>
        <w:adjustRightInd/>
        <w:textAlignment w:val="auto"/>
      </w:pPr>
      <w:r w:rsidRPr="008A0812">
        <w:t>Load calculations and capacity requirements, including future work.</w:t>
      </w:r>
    </w:p>
    <w:p w14:paraId="16054D18" w14:textId="77777777" w:rsidR="004776AB" w:rsidRPr="008A0812" w:rsidRDefault="004776AB" w:rsidP="004776AB">
      <w:pPr>
        <w:pStyle w:val="Bullet"/>
        <w:overflowPunct/>
        <w:autoSpaceDE/>
        <w:autoSpaceDN/>
        <w:adjustRightInd/>
        <w:textAlignment w:val="auto"/>
      </w:pPr>
      <w:r w:rsidRPr="008A0812">
        <w:t xml:space="preserve">Investigate existing MCC’s and approach to consolidation. Consolidation methods should consider the RUL of the MCCs and compare to complete replacement. Replacement of the MCCs should be coordinated with process improvement projects. </w:t>
      </w:r>
    </w:p>
    <w:p w14:paraId="646B41D2" w14:textId="77777777" w:rsidR="004776AB" w:rsidRPr="008A0812" w:rsidRDefault="004776AB" w:rsidP="004776AB">
      <w:pPr>
        <w:pStyle w:val="Bullet"/>
        <w:overflowPunct/>
        <w:autoSpaceDE/>
        <w:autoSpaceDN/>
        <w:adjustRightInd/>
        <w:textAlignment w:val="auto"/>
      </w:pPr>
      <w:r w:rsidRPr="008A0812">
        <w:t>Alternative configurations including cost analysis.</w:t>
      </w:r>
    </w:p>
    <w:p w14:paraId="01C91229" w14:textId="77777777" w:rsidR="004776AB" w:rsidRPr="008A0812" w:rsidRDefault="004776AB" w:rsidP="004776AB">
      <w:pPr>
        <w:pStyle w:val="Bullet"/>
        <w:overflowPunct/>
        <w:autoSpaceDE/>
        <w:autoSpaceDN/>
        <w:adjustRightInd/>
        <w:textAlignment w:val="auto"/>
      </w:pPr>
      <w:r w:rsidRPr="008A0812">
        <w:t>Review of arc resistant enclosure types including arc flash reduction controls such as protection relays and   maintenance switches.</w:t>
      </w:r>
    </w:p>
    <w:p w14:paraId="19CA6A3E" w14:textId="77777777" w:rsidR="004776AB" w:rsidRPr="008A0812" w:rsidRDefault="004776AB" w:rsidP="004776AB">
      <w:pPr>
        <w:pStyle w:val="Bullet"/>
        <w:overflowPunct/>
        <w:autoSpaceDE/>
        <w:autoSpaceDN/>
        <w:adjustRightInd/>
        <w:textAlignment w:val="auto"/>
      </w:pPr>
      <w:r w:rsidRPr="008A0812">
        <w:t>Sequence of work and implementation, grouping electrical work with process improvement projects.</w:t>
      </w:r>
    </w:p>
    <w:p w14:paraId="055A7A9C" w14:textId="77777777" w:rsidR="004776AB" w:rsidRPr="008A0812" w:rsidRDefault="004776AB" w:rsidP="004776AB">
      <w:pPr>
        <w:pStyle w:val="Bullet"/>
        <w:overflowPunct/>
        <w:autoSpaceDE/>
        <w:autoSpaceDN/>
        <w:adjustRightInd/>
        <w:textAlignment w:val="auto"/>
      </w:pPr>
      <w:r w:rsidRPr="008A0812">
        <w:t>Coordinate with the SCADA Master Plan.</w:t>
      </w:r>
    </w:p>
    <w:p w14:paraId="7B1E71FC" w14:textId="77777777" w:rsidR="004776AB" w:rsidRPr="008A0812" w:rsidRDefault="004776AB" w:rsidP="004776AB">
      <w:pPr>
        <w:pStyle w:val="Bullet"/>
        <w:overflowPunct/>
        <w:autoSpaceDE/>
        <w:autoSpaceDN/>
        <w:adjustRightInd/>
        <w:textAlignment w:val="auto"/>
      </w:pPr>
      <w:r w:rsidRPr="008A0812">
        <w:t>Report with recommendations.</w:t>
      </w:r>
    </w:p>
    <w:p w14:paraId="5A07BD0B" w14:textId="03B07634" w:rsidR="004776AB" w:rsidRPr="008A0812" w:rsidRDefault="004776AB" w:rsidP="004776AB">
      <w:pPr>
        <w:pStyle w:val="Bullet"/>
        <w:overflowPunct/>
        <w:autoSpaceDE/>
        <w:autoSpaceDN/>
        <w:adjustRightInd/>
        <w:textAlignment w:val="auto"/>
      </w:pPr>
      <w:r w:rsidRPr="008A0812">
        <w:t xml:space="preserve">Workshops with </w:t>
      </w:r>
      <w:r w:rsidR="00033123">
        <w:t>SBMWD</w:t>
      </w:r>
      <w:r w:rsidRPr="008A0812">
        <w:t xml:space="preserve"> to review the results of the Electrical Master Plan.</w:t>
      </w:r>
    </w:p>
    <w:p w14:paraId="75EC296E" w14:textId="77777777" w:rsidR="004776AB" w:rsidRPr="008A0812" w:rsidRDefault="004776AB" w:rsidP="004776AB">
      <w:pPr>
        <w:pStyle w:val="BodyText"/>
      </w:pPr>
      <w:r w:rsidRPr="008A0812">
        <w:t xml:space="preserve">The budget cost estimate for the Electrical Master Plan is approximately $130,000. </w:t>
      </w:r>
    </w:p>
    <w:p w14:paraId="5E43EA2C" w14:textId="2C278314" w:rsidR="004776AB" w:rsidRPr="008A0812" w:rsidRDefault="004776AB" w:rsidP="00011F52">
      <w:pPr>
        <w:pStyle w:val="BodyText"/>
      </w:pPr>
      <w:r w:rsidRPr="008A0812">
        <w:t xml:space="preserve">It is expected that the projects listed in </w:t>
      </w:r>
      <w:r w:rsidR="00011F52" w:rsidRPr="008A0812">
        <w:fldChar w:fldCharType="begin"/>
      </w:r>
      <w:r w:rsidR="00011F52" w:rsidRPr="008A0812">
        <w:instrText xml:space="preserve"> REF _Ref36402786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14</w:t>
      </w:r>
      <w:r w:rsidR="00011F52" w:rsidRPr="008A0812">
        <w:fldChar w:fldCharType="end"/>
      </w:r>
      <w:r w:rsidRPr="008A0812">
        <w:t xml:space="preserve"> would be identified during the master planning process as required projects in the near-term 5-year timeframe. </w:t>
      </w:r>
    </w:p>
    <w:p w14:paraId="1B7FF036" w14:textId="2540AF18" w:rsidR="00011F52" w:rsidRPr="008A0812" w:rsidRDefault="00011F52" w:rsidP="00011F52">
      <w:pPr>
        <w:pStyle w:val="TableHeading"/>
      </w:pPr>
      <w:bookmarkStart w:id="644" w:name="_Ref36402786"/>
      <w:bookmarkStart w:id="645" w:name="_Toc36414119"/>
      <w:bookmarkStart w:id="646" w:name="_Toc41684804"/>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14</w:t>
      </w:r>
      <w:r>
        <w:fldChar w:fldCharType="end"/>
      </w:r>
      <w:bookmarkEnd w:id="644"/>
      <w:r w:rsidRPr="008A0812">
        <w:t>: Potential Electrical CIP Projects</w:t>
      </w:r>
      <w:bookmarkEnd w:id="645"/>
      <w:bookmarkEnd w:id="646"/>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25"/>
        <w:gridCol w:w="4006"/>
      </w:tblGrid>
      <w:tr w:rsidR="004776AB" w:rsidRPr="008A0812" w14:paraId="46800CD2"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bottom"/>
            <w:hideMark/>
          </w:tcPr>
          <w:p w14:paraId="6E7B7937" w14:textId="77777777" w:rsidR="004776AB" w:rsidRPr="008A0812" w:rsidRDefault="004776AB" w:rsidP="004776AB">
            <w:pPr>
              <w:keepNext/>
              <w:keepLines/>
              <w:overflowPunct/>
              <w:autoSpaceDE/>
              <w:autoSpaceDN/>
              <w:adjustRightInd/>
              <w:jc w:val="center"/>
              <w:rPr>
                <w:rFonts w:ascii="Segoe UI" w:hAnsi="Segoe UI" w:cs="Segoe UI"/>
                <w:sz w:val="18"/>
                <w:szCs w:val="18"/>
              </w:rPr>
            </w:pPr>
            <w:r w:rsidRPr="008A0812">
              <w:rPr>
                <w:rFonts w:cs="Segoe UI"/>
                <w:b/>
                <w:bCs/>
              </w:rPr>
              <w:t>Potential Projects</w:t>
            </w:r>
          </w:p>
        </w:tc>
        <w:tc>
          <w:tcPr>
            <w:tcW w:w="4006" w:type="dxa"/>
            <w:tcBorders>
              <w:top w:val="single" w:sz="6" w:space="0" w:color="auto"/>
              <w:left w:val="nil"/>
              <w:bottom w:val="single" w:sz="6" w:space="0" w:color="auto"/>
              <w:right w:val="single" w:sz="6" w:space="0" w:color="auto"/>
            </w:tcBorders>
            <w:shd w:val="clear" w:color="auto" w:fill="BFBFBF"/>
            <w:vAlign w:val="bottom"/>
            <w:hideMark/>
          </w:tcPr>
          <w:p w14:paraId="11E62E04" w14:textId="77777777" w:rsidR="004776AB" w:rsidRPr="008A0812" w:rsidRDefault="004776AB" w:rsidP="004776AB">
            <w:pPr>
              <w:keepNext/>
              <w:keepLines/>
              <w:overflowPunct/>
              <w:autoSpaceDE/>
              <w:autoSpaceDN/>
              <w:adjustRightInd/>
              <w:jc w:val="center"/>
              <w:rPr>
                <w:rFonts w:ascii="Segoe UI" w:hAnsi="Segoe UI" w:cs="Segoe UI"/>
                <w:sz w:val="18"/>
                <w:szCs w:val="18"/>
              </w:rPr>
            </w:pPr>
            <w:r w:rsidRPr="008A0812">
              <w:rPr>
                <w:rFonts w:cs="Segoe UI"/>
                <w:b/>
                <w:bCs/>
                <w:color w:val="000000"/>
              </w:rPr>
              <w:t>Estimated Project Cost</w:t>
            </w:r>
          </w:p>
        </w:tc>
      </w:tr>
      <w:tr w:rsidR="004776AB" w:rsidRPr="008A0812" w14:paraId="7E7A9503" w14:textId="77777777" w:rsidTr="004776AB">
        <w:tc>
          <w:tcPr>
            <w:tcW w:w="5325" w:type="dxa"/>
            <w:tcBorders>
              <w:top w:val="nil"/>
              <w:left w:val="single" w:sz="6" w:space="0" w:color="auto"/>
              <w:bottom w:val="single" w:sz="6" w:space="0" w:color="auto"/>
              <w:right w:val="single" w:sz="6" w:space="0" w:color="auto"/>
            </w:tcBorders>
            <w:shd w:val="clear" w:color="auto" w:fill="auto"/>
            <w:tcMar>
              <w:left w:w="72" w:type="dxa"/>
            </w:tcMar>
            <w:hideMark/>
          </w:tcPr>
          <w:p w14:paraId="3978A510" w14:textId="77777777" w:rsidR="004776AB" w:rsidRPr="008A0812" w:rsidRDefault="004776AB" w:rsidP="004776AB">
            <w:pPr>
              <w:keepNext/>
              <w:keepLines/>
              <w:overflowPunct/>
              <w:autoSpaceDE/>
              <w:autoSpaceDN/>
              <w:adjustRightInd/>
              <w:rPr>
                <w:rFonts w:ascii="Segoe UI" w:hAnsi="Segoe UI" w:cs="Segoe UI"/>
                <w:sz w:val="18"/>
                <w:szCs w:val="18"/>
              </w:rPr>
            </w:pPr>
            <w:r w:rsidRPr="008A0812">
              <w:rPr>
                <w:rFonts w:asciiTheme="majorHAnsi" w:hAnsiTheme="majorHAnsi" w:cs="Segoe UI"/>
              </w:rPr>
              <w:t>BLM Switchgear (5kV) Replacement</w:t>
            </w:r>
          </w:p>
        </w:tc>
        <w:tc>
          <w:tcPr>
            <w:tcW w:w="4006" w:type="dxa"/>
            <w:tcBorders>
              <w:top w:val="nil"/>
              <w:left w:val="nil"/>
              <w:bottom w:val="single" w:sz="6" w:space="0" w:color="auto"/>
              <w:right w:val="single" w:sz="6" w:space="0" w:color="auto"/>
            </w:tcBorders>
            <w:shd w:val="clear" w:color="auto" w:fill="auto"/>
            <w:tcMar>
              <w:right w:w="72" w:type="dxa"/>
            </w:tcMar>
            <w:hideMark/>
          </w:tcPr>
          <w:p w14:paraId="6461294F" w14:textId="77777777" w:rsidR="004776AB" w:rsidRPr="008A0812" w:rsidRDefault="004776AB" w:rsidP="004776AB">
            <w:pPr>
              <w:keepNext/>
              <w:keepLines/>
              <w:overflowPunct/>
              <w:autoSpaceDE/>
              <w:autoSpaceDN/>
              <w:adjustRightInd/>
              <w:jc w:val="right"/>
              <w:rPr>
                <w:rFonts w:ascii="Segoe UI" w:hAnsi="Segoe UI" w:cs="Segoe UI"/>
                <w:sz w:val="18"/>
                <w:szCs w:val="18"/>
              </w:rPr>
            </w:pPr>
            <w:r w:rsidRPr="008A0812">
              <w:t xml:space="preserve"> $ 2,000,000 </w:t>
            </w:r>
          </w:p>
        </w:tc>
      </w:tr>
      <w:tr w:rsidR="004776AB" w:rsidRPr="008A0812" w14:paraId="3510A5BF" w14:textId="77777777" w:rsidTr="004776AB">
        <w:tc>
          <w:tcPr>
            <w:tcW w:w="5325" w:type="dxa"/>
            <w:tcBorders>
              <w:top w:val="nil"/>
              <w:left w:val="single" w:sz="6" w:space="0" w:color="auto"/>
              <w:bottom w:val="single" w:sz="6" w:space="0" w:color="auto"/>
              <w:right w:val="single" w:sz="6" w:space="0" w:color="auto"/>
            </w:tcBorders>
            <w:shd w:val="clear" w:color="auto" w:fill="auto"/>
            <w:tcMar>
              <w:left w:w="72" w:type="dxa"/>
            </w:tcMar>
            <w:hideMark/>
          </w:tcPr>
          <w:p w14:paraId="3FB381B6" w14:textId="77777777" w:rsidR="004776AB" w:rsidRPr="008A0812" w:rsidRDefault="004776AB" w:rsidP="004776AB">
            <w:pPr>
              <w:keepNext/>
              <w:keepLines/>
              <w:overflowPunct/>
              <w:autoSpaceDE/>
              <w:autoSpaceDN/>
              <w:adjustRightInd/>
              <w:rPr>
                <w:rFonts w:ascii="Segoe UI" w:hAnsi="Segoe UI" w:cs="Segoe UI"/>
                <w:sz w:val="18"/>
                <w:szCs w:val="18"/>
              </w:rPr>
            </w:pPr>
            <w:r w:rsidRPr="008A0812">
              <w:rPr>
                <w:rFonts w:asciiTheme="majorHAnsi" w:hAnsiTheme="majorHAnsi" w:cs="Segoe UI"/>
              </w:rPr>
              <w:t>Hoffman Building Main Switchgear (480V) Replacement</w:t>
            </w:r>
          </w:p>
        </w:tc>
        <w:tc>
          <w:tcPr>
            <w:tcW w:w="4006" w:type="dxa"/>
            <w:tcBorders>
              <w:top w:val="nil"/>
              <w:left w:val="nil"/>
              <w:bottom w:val="single" w:sz="6" w:space="0" w:color="auto"/>
              <w:right w:val="single" w:sz="6" w:space="0" w:color="auto"/>
            </w:tcBorders>
            <w:shd w:val="clear" w:color="auto" w:fill="auto"/>
            <w:tcMar>
              <w:right w:w="72" w:type="dxa"/>
            </w:tcMar>
            <w:hideMark/>
          </w:tcPr>
          <w:p w14:paraId="6483F310" w14:textId="77777777" w:rsidR="004776AB" w:rsidRPr="008A0812" w:rsidRDefault="004776AB" w:rsidP="004776AB">
            <w:pPr>
              <w:keepNext/>
              <w:keepLines/>
              <w:overflowPunct/>
              <w:autoSpaceDE/>
              <w:autoSpaceDN/>
              <w:adjustRightInd/>
              <w:jc w:val="right"/>
              <w:rPr>
                <w:rFonts w:ascii="Segoe UI" w:hAnsi="Segoe UI" w:cs="Segoe UI"/>
                <w:sz w:val="18"/>
                <w:szCs w:val="18"/>
              </w:rPr>
            </w:pPr>
            <w:r w:rsidRPr="008A0812">
              <w:rPr>
                <w:rFonts w:cs="Segoe UI"/>
              </w:rPr>
              <w:t xml:space="preserve"> $ 1,150,000 </w:t>
            </w:r>
          </w:p>
        </w:tc>
      </w:tr>
      <w:tr w:rsidR="004776AB" w:rsidRPr="008A0812" w14:paraId="710D5902" w14:textId="77777777" w:rsidTr="004776AB">
        <w:tc>
          <w:tcPr>
            <w:tcW w:w="5325" w:type="dxa"/>
            <w:tcBorders>
              <w:top w:val="nil"/>
              <w:left w:val="single" w:sz="6" w:space="0" w:color="auto"/>
              <w:bottom w:val="single" w:sz="6" w:space="0" w:color="auto"/>
              <w:right w:val="single" w:sz="6" w:space="0" w:color="auto"/>
            </w:tcBorders>
            <w:shd w:val="clear" w:color="auto" w:fill="auto"/>
            <w:tcMar>
              <w:left w:w="72" w:type="dxa"/>
            </w:tcMar>
            <w:hideMark/>
          </w:tcPr>
          <w:p w14:paraId="5AB370AB" w14:textId="77777777" w:rsidR="004776AB" w:rsidRPr="008A0812" w:rsidRDefault="004776AB" w:rsidP="004776AB">
            <w:pPr>
              <w:keepNext/>
              <w:keepLines/>
              <w:overflowPunct/>
              <w:autoSpaceDE/>
              <w:autoSpaceDN/>
              <w:adjustRightInd/>
              <w:rPr>
                <w:rFonts w:ascii="Segoe UI" w:hAnsi="Segoe UI" w:cs="Segoe UI"/>
                <w:sz w:val="18"/>
                <w:szCs w:val="18"/>
              </w:rPr>
            </w:pPr>
            <w:r w:rsidRPr="008A0812">
              <w:rPr>
                <w:rFonts w:asciiTheme="majorHAnsi" w:hAnsiTheme="majorHAnsi" w:cs="Segoe UI"/>
              </w:rPr>
              <w:t>MCC Consolidation</w:t>
            </w:r>
          </w:p>
        </w:tc>
        <w:tc>
          <w:tcPr>
            <w:tcW w:w="4006" w:type="dxa"/>
            <w:tcBorders>
              <w:top w:val="nil"/>
              <w:left w:val="nil"/>
              <w:bottom w:val="single" w:sz="6" w:space="0" w:color="auto"/>
              <w:right w:val="single" w:sz="6" w:space="0" w:color="auto"/>
            </w:tcBorders>
            <w:shd w:val="clear" w:color="auto" w:fill="auto"/>
            <w:tcMar>
              <w:right w:w="72" w:type="dxa"/>
            </w:tcMar>
            <w:hideMark/>
          </w:tcPr>
          <w:p w14:paraId="30F6399F" w14:textId="77777777" w:rsidR="004776AB" w:rsidRPr="008A0812" w:rsidRDefault="004776AB" w:rsidP="004776AB">
            <w:pPr>
              <w:keepNext/>
              <w:keepLines/>
              <w:overflowPunct/>
              <w:autoSpaceDE/>
              <w:autoSpaceDN/>
              <w:adjustRightInd/>
              <w:jc w:val="right"/>
              <w:rPr>
                <w:rFonts w:ascii="Segoe UI" w:hAnsi="Segoe UI" w:cs="Segoe UI"/>
                <w:sz w:val="18"/>
                <w:szCs w:val="18"/>
              </w:rPr>
            </w:pPr>
            <w:r w:rsidRPr="008A0812">
              <w:t xml:space="preserve"> $ 3,400,000 </w:t>
            </w:r>
          </w:p>
        </w:tc>
      </w:tr>
      <w:tr w:rsidR="004776AB" w:rsidRPr="008A0812" w14:paraId="57441E65" w14:textId="77777777" w:rsidTr="004776AB">
        <w:tc>
          <w:tcPr>
            <w:tcW w:w="5325" w:type="dxa"/>
            <w:tcBorders>
              <w:top w:val="nil"/>
              <w:left w:val="single" w:sz="6" w:space="0" w:color="auto"/>
              <w:bottom w:val="single" w:sz="6" w:space="0" w:color="auto"/>
              <w:right w:val="single" w:sz="6" w:space="0" w:color="auto"/>
            </w:tcBorders>
            <w:shd w:val="clear" w:color="auto" w:fill="auto"/>
            <w:tcMar>
              <w:left w:w="72" w:type="dxa"/>
            </w:tcMar>
            <w:hideMark/>
          </w:tcPr>
          <w:p w14:paraId="281C902C" w14:textId="77777777" w:rsidR="004776AB" w:rsidRPr="008A0812" w:rsidRDefault="004776AB" w:rsidP="004776AB">
            <w:pPr>
              <w:keepNext/>
              <w:keepLines/>
              <w:overflowPunct/>
              <w:autoSpaceDE/>
              <w:autoSpaceDN/>
              <w:adjustRightInd/>
              <w:rPr>
                <w:rFonts w:ascii="Segoe UI" w:hAnsi="Segoe UI" w:cs="Segoe UI"/>
                <w:sz w:val="18"/>
                <w:szCs w:val="18"/>
              </w:rPr>
            </w:pPr>
            <w:r w:rsidRPr="008A0812">
              <w:rPr>
                <w:rFonts w:asciiTheme="majorHAnsi" w:hAnsiTheme="majorHAnsi" w:cs="Segoe UI"/>
              </w:rPr>
              <w:t>Burner Building - New Power Distribution</w:t>
            </w:r>
          </w:p>
        </w:tc>
        <w:tc>
          <w:tcPr>
            <w:tcW w:w="4006" w:type="dxa"/>
            <w:tcBorders>
              <w:top w:val="nil"/>
              <w:left w:val="nil"/>
              <w:bottom w:val="single" w:sz="6" w:space="0" w:color="auto"/>
              <w:right w:val="single" w:sz="6" w:space="0" w:color="auto"/>
            </w:tcBorders>
            <w:shd w:val="clear" w:color="auto" w:fill="auto"/>
            <w:tcMar>
              <w:right w:w="72" w:type="dxa"/>
            </w:tcMar>
            <w:hideMark/>
          </w:tcPr>
          <w:p w14:paraId="6AD3B7EE" w14:textId="77777777" w:rsidR="004776AB" w:rsidRPr="008A0812" w:rsidRDefault="004776AB" w:rsidP="004776AB">
            <w:pPr>
              <w:keepNext/>
              <w:keepLines/>
              <w:overflowPunct/>
              <w:autoSpaceDE/>
              <w:autoSpaceDN/>
              <w:adjustRightInd/>
              <w:jc w:val="right"/>
              <w:rPr>
                <w:rFonts w:ascii="Segoe UI" w:hAnsi="Segoe UI" w:cs="Segoe UI"/>
                <w:sz w:val="18"/>
                <w:szCs w:val="18"/>
              </w:rPr>
            </w:pPr>
            <w:r w:rsidRPr="008A0812">
              <w:t xml:space="preserve"> $    250,000 </w:t>
            </w:r>
          </w:p>
        </w:tc>
      </w:tr>
      <w:tr w:rsidR="004776AB" w:rsidRPr="008A0812" w14:paraId="67AF382E"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hideMark/>
          </w:tcPr>
          <w:p w14:paraId="6B4EE91F" w14:textId="77777777" w:rsidR="004776AB" w:rsidRPr="008A0812" w:rsidRDefault="004776AB" w:rsidP="004776AB">
            <w:pPr>
              <w:keepNext/>
              <w:keepLines/>
              <w:overflowPunct/>
              <w:autoSpaceDE/>
              <w:autoSpaceDN/>
              <w:adjustRightInd/>
              <w:rPr>
                <w:rFonts w:ascii="Segoe UI" w:hAnsi="Segoe UI" w:cs="Segoe UI"/>
                <w:sz w:val="18"/>
                <w:szCs w:val="18"/>
              </w:rPr>
            </w:pPr>
            <w:r w:rsidRPr="008A0812">
              <w:rPr>
                <w:rFonts w:asciiTheme="majorHAnsi" w:hAnsiTheme="majorHAnsi" w:cs="Segoe UI"/>
              </w:rPr>
              <w:t xml:space="preserve">Plant-wide Arc Flash Hazards Analysis and Labeling </w:t>
            </w:r>
          </w:p>
        </w:tc>
        <w:tc>
          <w:tcPr>
            <w:tcW w:w="4006" w:type="dxa"/>
            <w:tcBorders>
              <w:top w:val="single" w:sz="6" w:space="0" w:color="auto"/>
              <w:left w:val="nil"/>
              <w:bottom w:val="single" w:sz="6" w:space="0" w:color="auto"/>
              <w:right w:val="single" w:sz="6" w:space="0" w:color="auto"/>
            </w:tcBorders>
            <w:shd w:val="clear" w:color="auto" w:fill="auto"/>
            <w:tcMar>
              <w:right w:w="72" w:type="dxa"/>
            </w:tcMar>
            <w:hideMark/>
          </w:tcPr>
          <w:p w14:paraId="4D5241B2" w14:textId="77777777" w:rsidR="004776AB" w:rsidRPr="008A0812" w:rsidRDefault="004776AB" w:rsidP="004776AB">
            <w:pPr>
              <w:keepNext/>
              <w:keepLines/>
              <w:overflowPunct/>
              <w:autoSpaceDE/>
              <w:autoSpaceDN/>
              <w:adjustRightInd/>
              <w:jc w:val="right"/>
              <w:rPr>
                <w:rFonts w:ascii="Segoe UI" w:hAnsi="Segoe UI" w:cs="Segoe UI"/>
                <w:sz w:val="18"/>
                <w:szCs w:val="18"/>
              </w:rPr>
            </w:pPr>
            <w:r w:rsidRPr="008A0812">
              <w:t xml:space="preserve"> $    120,000 </w:t>
            </w:r>
          </w:p>
        </w:tc>
      </w:tr>
      <w:tr w:rsidR="004776AB" w:rsidRPr="008A0812" w14:paraId="0DEF2D16"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480B39D7" w14:textId="77777777" w:rsidR="004776AB" w:rsidRPr="008A0812" w:rsidRDefault="004776AB" w:rsidP="004776AB">
            <w:pPr>
              <w:keepNext/>
              <w:keepLines/>
              <w:overflowPunct/>
              <w:autoSpaceDE/>
              <w:autoSpaceDN/>
              <w:adjustRightInd/>
              <w:rPr>
                <w:rFonts w:asciiTheme="majorHAnsi" w:hAnsiTheme="majorHAnsi" w:cs="Segoe UI"/>
                <w:b/>
                <w:bCs/>
              </w:rPr>
            </w:pPr>
            <w:r w:rsidRPr="008A0812">
              <w:rPr>
                <w:rFonts w:asciiTheme="majorHAnsi" w:hAnsiTheme="majorHAnsi" w:cs="Segoe UI"/>
                <w:b/>
                <w:bCs/>
              </w:rPr>
              <w:t>Construction Subtotal</w:t>
            </w:r>
          </w:p>
        </w:tc>
        <w:tc>
          <w:tcPr>
            <w:tcW w:w="4006" w:type="dxa"/>
            <w:tcBorders>
              <w:top w:val="single" w:sz="6" w:space="0" w:color="auto"/>
              <w:left w:val="nil"/>
              <w:bottom w:val="single" w:sz="6" w:space="0" w:color="auto"/>
              <w:right w:val="single" w:sz="6" w:space="0" w:color="auto"/>
            </w:tcBorders>
            <w:shd w:val="clear" w:color="auto" w:fill="auto"/>
            <w:tcMar>
              <w:right w:w="72" w:type="dxa"/>
            </w:tcMar>
          </w:tcPr>
          <w:p w14:paraId="71B6D3FB" w14:textId="77777777" w:rsidR="004776AB" w:rsidRPr="008A0812" w:rsidRDefault="004776AB" w:rsidP="004776AB">
            <w:pPr>
              <w:keepNext/>
              <w:keepLines/>
              <w:overflowPunct/>
              <w:autoSpaceDE/>
              <w:autoSpaceDN/>
              <w:adjustRightInd/>
              <w:jc w:val="right"/>
              <w:rPr>
                <w:rFonts w:cs="Segoe UI"/>
                <w:b/>
                <w:bCs/>
              </w:rPr>
            </w:pPr>
            <w:r w:rsidRPr="008A0812">
              <w:rPr>
                <w:rFonts w:cs="Segoe UI"/>
                <w:b/>
                <w:bCs/>
              </w:rPr>
              <w:t xml:space="preserve">$ 6,920,000 </w:t>
            </w:r>
          </w:p>
        </w:tc>
      </w:tr>
      <w:tr w:rsidR="004776AB" w:rsidRPr="008A0812" w14:paraId="092A7A7A"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2BA163DC" w14:textId="77777777" w:rsidR="004776AB" w:rsidRPr="008A0812" w:rsidRDefault="004776AB" w:rsidP="004776AB">
            <w:pPr>
              <w:keepNext/>
              <w:keepLines/>
              <w:overflowPunct/>
              <w:autoSpaceDE/>
              <w:autoSpaceDN/>
              <w:adjustRightInd/>
              <w:rPr>
                <w:rFonts w:asciiTheme="majorHAnsi" w:hAnsiTheme="majorHAnsi" w:cs="Segoe UI"/>
                <w:b/>
                <w:bCs/>
              </w:rPr>
            </w:pPr>
            <w:r w:rsidRPr="008A0812">
              <w:t>Design (12%)</w:t>
            </w:r>
          </w:p>
        </w:tc>
        <w:tc>
          <w:tcPr>
            <w:tcW w:w="4006" w:type="dxa"/>
            <w:tcBorders>
              <w:top w:val="single" w:sz="6" w:space="0" w:color="auto"/>
              <w:left w:val="nil"/>
              <w:bottom w:val="single" w:sz="6" w:space="0" w:color="auto"/>
              <w:right w:val="single" w:sz="6" w:space="0" w:color="auto"/>
            </w:tcBorders>
            <w:shd w:val="clear" w:color="auto" w:fill="auto"/>
            <w:tcMar>
              <w:right w:w="72" w:type="dxa"/>
            </w:tcMar>
          </w:tcPr>
          <w:p w14:paraId="6980B19B" w14:textId="77777777" w:rsidR="004776AB" w:rsidRPr="008A0812" w:rsidRDefault="004776AB" w:rsidP="004776AB">
            <w:pPr>
              <w:keepNext/>
              <w:keepLines/>
              <w:overflowPunct/>
              <w:autoSpaceDE/>
              <w:autoSpaceDN/>
              <w:adjustRightInd/>
              <w:jc w:val="right"/>
              <w:rPr>
                <w:rFonts w:cs="Segoe UI"/>
                <w:b/>
                <w:bCs/>
              </w:rPr>
            </w:pPr>
            <w:r w:rsidRPr="008A0812">
              <w:t xml:space="preserve"> $    830,400 </w:t>
            </w:r>
          </w:p>
        </w:tc>
      </w:tr>
      <w:tr w:rsidR="004776AB" w:rsidRPr="008A0812" w14:paraId="54FAB5E0"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3DA954C4" w14:textId="77777777" w:rsidR="004776AB" w:rsidRPr="008A0812" w:rsidRDefault="004776AB" w:rsidP="004776AB">
            <w:pPr>
              <w:keepNext/>
              <w:keepLines/>
              <w:overflowPunct/>
              <w:autoSpaceDE/>
              <w:autoSpaceDN/>
              <w:adjustRightInd/>
              <w:rPr>
                <w:rFonts w:asciiTheme="majorHAnsi" w:hAnsiTheme="majorHAnsi" w:cs="Segoe UI"/>
                <w:b/>
                <w:bCs/>
              </w:rPr>
            </w:pPr>
            <w:r w:rsidRPr="008A0812">
              <w:t>Construction Management (15%)</w:t>
            </w:r>
          </w:p>
        </w:tc>
        <w:tc>
          <w:tcPr>
            <w:tcW w:w="4006" w:type="dxa"/>
            <w:tcBorders>
              <w:top w:val="single" w:sz="6" w:space="0" w:color="auto"/>
              <w:left w:val="nil"/>
              <w:bottom w:val="single" w:sz="6" w:space="0" w:color="auto"/>
              <w:right w:val="single" w:sz="6" w:space="0" w:color="auto"/>
            </w:tcBorders>
            <w:shd w:val="clear" w:color="auto" w:fill="auto"/>
            <w:tcMar>
              <w:right w:w="72" w:type="dxa"/>
            </w:tcMar>
          </w:tcPr>
          <w:p w14:paraId="2425B0C2" w14:textId="77777777" w:rsidR="004776AB" w:rsidRPr="008A0812" w:rsidRDefault="004776AB" w:rsidP="004776AB">
            <w:pPr>
              <w:keepNext/>
              <w:keepLines/>
              <w:overflowPunct/>
              <w:autoSpaceDE/>
              <w:autoSpaceDN/>
              <w:adjustRightInd/>
              <w:jc w:val="right"/>
              <w:rPr>
                <w:rFonts w:cs="Segoe UI"/>
                <w:b/>
                <w:bCs/>
              </w:rPr>
            </w:pPr>
            <w:r w:rsidRPr="008A0812">
              <w:t xml:space="preserve"> $ 1,038,000 </w:t>
            </w:r>
          </w:p>
        </w:tc>
      </w:tr>
      <w:tr w:rsidR="004776AB" w:rsidRPr="008A0812" w14:paraId="4209192A"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31204371" w14:textId="77777777" w:rsidR="004776AB" w:rsidRPr="008A0812" w:rsidRDefault="004776AB" w:rsidP="004776AB">
            <w:pPr>
              <w:keepNext/>
              <w:keepLines/>
              <w:overflowPunct/>
              <w:autoSpaceDE/>
              <w:autoSpaceDN/>
              <w:adjustRightInd/>
              <w:rPr>
                <w:rFonts w:asciiTheme="majorHAnsi" w:hAnsiTheme="majorHAnsi" w:cs="Segoe UI"/>
                <w:b/>
                <w:bCs/>
              </w:rPr>
            </w:pPr>
            <w:bookmarkStart w:id="647" w:name="_Hlk24359797"/>
            <w:r w:rsidRPr="008A0812">
              <w:rPr>
                <w:rFonts w:asciiTheme="majorHAnsi" w:hAnsiTheme="majorHAnsi" w:cs="Segoe UI"/>
                <w:b/>
                <w:bCs/>
              </w:rPr>
              <w:t>Project Subtotal</w:t>
            </w:r>
          </w:p>
        </w:tc>
        <w:tc>
          <w:tcPr>
            <w:tcW w:w="4006" w:type="dxa"/>
            <w:tcBorders>
              <w:top w:val="single" w:sz="6" w:space="0" w:color="auto"/>
              <w:left w:val="nil"/>
              <w:bottom w:val="single" w:sz="6" w:space="0" w:color="auto"/>
              <w:right w:val="single" w:sz="6" w:space="0" w:color="auto"/>
            </w:tcBorders>
            <w:shd w:val="clear" w:color="auto" w:fill="auto"/>
            <w:tcMar>
              <w:right w:w="72" w:type="dxa"/>
            </w:tcMar>
          </w:tcPr>
          <w:p w14:paraId="3DC82390" w14:textId="77777777" w:rsidR="004776AB" w:rsidRPr="008A0812" w:rsidRDefault="004776AB" w:rsidP="004776AB">
            <w:pPr>
              <w:keepNext/>
              <w:keepLines/>
              <w:overflowPunct/>
              <w:autoSpaceDE/>
              <w:autoSpaceDN/>
              <w:adjustRightInd/>
              <w:jc w:val="right"/>
              <w:rPr>
                <w:rFonts w:cs="Segoe UI"/>
                <w:b/>
                <w:bCs/>
              </w:rPr>
            </w:pPr>
            <w:r w:rsidRPr="008A0812">
              <w:rPr>
                <w:b/>
                <w:bCs/>
              </w:rPr>
              <w:t xml:space="preserve"> $ 8,788,400 </w:t>
            </w:r>
          </w:p>
        </w:tc>
      </w:tr>
      <w:tr w:rsidR="004776AB" w:rsidRPr="008A0812" w14:paraId="28D44CFF"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72172F87" w14:textId="77777777" w:rsidR="004776AB" w:rsidRPr="008A0812" w:rsidRDefault="004776AB" w:rsidP="004776AB">
            <w:pPr>
              <w:keepNext/>
              <w:keepLines/>
              <w:overflowPunct/>
              <w:autoSpaceDE/>
              <w:autoSpaceDN/>
              <w:adjustRightInd/>
              <w:rPr>
                <w:rFonts w:asciiTheme="majorHAnsi" w:hAnsiTheme="majorHAnsi" w:cs="Segoe UI"/>
              </w:rPr>
            </w:pPr>
            <w:r w:rsidRPr="008A0812">
              <w:rPr>
                <w:rFonts w:asciiTheme="majorHAnsi" w:hAnsiTheme="majorHAnsi" w:cs="Segoe UI"/>
              </w:rPr>
              <w:t>Project Contingency (30%)</w:t>
            </w:r>
          </w:p>
        </w:tc>
        <w:tc>
          <w:tcPr>
            <w:tcW w:w="4006" w:type="dxa"/>
            <w:tcBorders>
              <w:top w:val="single" w:sz="6" w:space="0" w:color="auto"/>
              <w:left w:val="nil"/>
              <w:bottom w:val="single" w:sz="6" w:space="0" w:color="auto"/>
              <w:right w:val="single" w:sz="6" w:space="0" w:color="auto"/>
            </w:tcBorders>
            <w:shd w:val="clear" w:color="auto" w:fill="auto"/>
            <w:tcMar>
              <w:right w:w="72" w:type="dxa"/>
            </w:tcMar>
          </w:tcPr>
          <w:p w14:paraId="7E8754FC" w14:textId="77777777" w:rsidR="004776AB" w:rsidRPr="008A0812" w:rsidRDefault="004776AB" w:rsidP="004776AB">
            <w:pPr>
              <w:keepNext/>
              <w:keepLines/>
              <w:overflowPunct/>
              <w:autoSpaceDE/>
              <w:autoSpaceDN/>
              <w:adjustRightInd/>
              <w:jc w:val="right"/>
              <w:rPr>
                <w:rFonts w:cs="Segoe UI"/>
                <w:b/>
                <w:bCs/>
              </w:rPr>
            </w:pPr>
            <w:r w:rsidRPr="008A0812">
              <w:t xml:space="preserve"> $ 2,636,520 </w:t>
            </w:r>
          </w:p>
        </w:tc>
      </w:tr>
      <w:tr w:rsidR="004776AB" w:rsidRPr="008A0812" w14:paraId="72C4FA6F" w14:textId="77777777" w:rsidTr="004776AB">
        <w:tc>
          <w:tcPr>
            <w:tcW w:w="532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tcPr>
          <w:p w14:paraId="739A9971" w14:textId="77777777" w:rsidR="004776AB" w:rsidRPr="008A0812" w:rsidRDefault="004776AB" w:rsidP="004776AB">
            <w:pPr>
              <w:keepNext/>
              <w:keepLines/>
              <w:overflowPunct/>
              <w:autoSpaceDE/>
              <w:autoSpaceDN/>
              <w:adjustRightInd/>
              <w:rPr>
                <w:rFonts w:asciiTheme="majorHAnsi" w:hAnsiTheme="majorHAnsi" w:cs="Segoe UI"/>
                <w:b/>
                <w:bCs/>
              </w:rPr>
            </w:pPr>
            <w:r w:rsidRPr="008A0812">
              <w:rPr>
                <w:rFonts w:asciiTheme="majorHAnsi" w:hAnsiTheme="majorHAnsi" w:cs="Segoe UI"/>
                <w:b/>
                <w:bCs/>
              </w:rPr>
              <w:t>Total Estimated Cost (rounded)</w:t>
            </w:r>
          </w:p>
        </w:tc>
        <w:tc>
          <w:tcPr>
            <w:tcW w:w="4006" w:type="dxa"/>
            <w:tcBorders>
              <w:top w:val="single" w:sz="6" w:space="0" w:color="auto"/>
              <w:left w:val="nil"/>
              <w:bottom w:val="single" w:sz="6" w:space="0" w:color="auto"/>
              <w:right w:val="single" w:sz="6" w:space="0" w:color="auto"/>
            </w:tcBorders>
            <w:shd w:val="clear" w:color="auto" w:fill="BFBFBF" w:themeFill="background1" w:themeFillShade="BF"/>
            <w:tcMar>
              <w:right w:w="72" w:type="dxa"/>
            </w:tcMar>
          </w:tcPr>
          <w:p w14:paraId="0CFD76D8" w14:textId="77777777" w:rsidR="004776AB" w:rsidRPr="008A0812" w:rsidRDefault="004776AB" w:rsidP="004776AB">
            <w:pPr>
              <w:keepNext/>
              <w:keepLines/>
              <w:overflowPunct/>
              <w:autoSpaceDE/>
              <w:autoSpaceDN/>
              <w:adjustRightInd/>
              <w:jc w:val="right"/>
              <w:rPr>
                <w:rFonts w:cs="Segoe UI"/>
                <w:b/>
                <w:bCs/>
              </w:rPr>
            </w:pPr>
            <w:r w:rsidRPr="008A0812">
              <w:rPr>
                <w:rFonts w:cs="Segoe UI"/>
                <w:b/>
                <w:bCs/>
              </w:rPr>
              <w:t>$ 11,400,000</w:t>
            </w:r>
          </w:p>
        </w:tc>
      </w:tr>
    </w:tbl>
    <w:p w14:paraId="09C8567C" w14:textId="77777777" w:rsidR="004776AB" w:rsidRPr="008A0812" w:rsidRDefault="004776AB" w:rsidP="004776AB">
      <w:pPr>
        <w:pStyle w:val="Heading3"/>
        <w:numPr>
          <w:ilvl w:val="2"/>
          <w:numId w:val="1"/>
        </w:numPr>
        <w:tabs>
          <w:tab w:val="clear" w:pos="720"/>
          <w:tab w:val="num" w:pos="360"/>
          <w:tab w:val="num" w:pos="1260"/>
        </w:tabs>
        <w:ind w:left="986" w:hanging="446"/>
      </w:pPr>
      <w:bookmarkStart w:id="648" w:name="_Toc23931759"/>
      <w:bookmarkStart w:id="649" w:name="_Ref36401602"/>
      <w:bookmarkStart w:id="650" w:name="_Toc41680931"/>
      <w:bookmarkEnd w:id="647"/>
      <w:r w:rsidRPr="008A0812">
        <w:t>SCADA Master Plan</w:t>
      </w:r>
      <w:bookmarkEnd w:id="648"/>
      <w:bookmarkEnd w:id="649"/>
      <w:bookmarkEnd w:id="650"/>
    </w:p>
    <w:p w14:paraId="65AA84B9" w14:textId="77777777" w:rsidR="004776AB" w:rsidRPr="008A0812" w:rsidRDefault="004776AB" w:rsidP="004776AB">
      <w:pPr>
        <w:pStyle w:val="BodyText"/>
      </w:pPr>
      <w:r w:rsidRPr="008A0812">
        <w:t xml:space="preserve">The existing control system at the SBWRP consists of a mix of PLCs from manufacturers including Modicon (Schneider) and Allen Bradley. The following models are in use: </w:t>
      </w:r>
    </w:p>
    <w:p w14:paraId="59B29774" w14:textId="77777777" w:rsidR="004776AB" w:rsidRPr="008A0812" w:rsidRDefault="004776AB" w:rsidP="004776AB">
      <w:pPr>
        <w:pStyle w:val="Bullet"/>
        <w:overflowPunct/>
        <w:autoSpaceDE/>
        <w:autoSpaceDN/>
        <w:adjustRightInd/>
        <w:textAlignment w:val="auto"/>
      </w:pPr>
      <w:r w:rsidRPr="008A0812">
        <w:t>Quantum 113 02</w:t>
      </w:r>
    </w:p>
    <w:p w14:paraId="33692CB6" w14:textId="77777777" w:rsidR="004776AB" w:rsidRPr="008A0812" w:rsidRDefault="004776AB" w:rsidP="004776AB">
      <w:pPr>
        <w:pStyle w:val="Bullet"/>
        <w:overflowPunct/>
        <w:autoSpaceDE/>
        <w:autoSpaceDN/>
        <w:adjustRightInd/>
        <w:textAlignment w:val="auto"/>
      </w:pPr>
      <w:r w:rsidRPr="008A0812">
        <w:t>Compact A984-145</w:t>
      </w:r>
    </w:p>
    <w:p w14:paraId="64E50759" w14:textId="77777777" w:rsidR="004776AB" w:rsidRPr="008A0812" w:rsidRDefault="004776AB" w:rsidP="004776AB">
      <w:pPr>
        <w:pStyle w:val="Bullet"/>
        <w:overflowPunct/>
        <w:autoSpaceDE/>
        <w:autoSpaceDN/>
        <w:adjustRightInd/>
        <w:textAlignment w:val="auto"/>
      </w:pPr>
      <w:r w:rsidRPr="008A0812">
        <w:t>Compact E984-275</w:t>
      </w:r>
    </w:p>
    <w:p w14:paraId="4157DB3E" w14:textId="77777777" w:rsidR="004776AB" w:rsidRPr="008A0812" w:rsidRDefault="004776AB" w:rsidP="004776AB">
      <w:pPr>
        <w:pStyle w:val="Bullet"/>
        <w:overflowPunct/>
        <w:autoSpaceDE/>
        <w:autoSpaceDN/>
        <w:adjustRightInd/>
        <w:textAlignment w:val="auto"/>
      </w:pPr>
      <w:r w:rsidRPr="008A0812">
        <w:t>800 Series E685</w:t>
      </w:r>
    </w:p>
    <w:p w14:paraId="6282A14E" w14:textId="77777777" w:rsidR="004776AB" w:rsidRPr="008A0812" w:rsidRDefault="004776AB" w:rsidP="004776AB">
      <w:pPr>
        <w:pStyle w:val="Bullet"/>
        <w:overflowPunct/>
        <w:autoSpaceDE/>
        <w:autoSpaceDN/>
        <w:adjustRightInd/>
        <w:textAlignment w:val="auto"/>
      </w:pPr>
      <w:r w:rsidRPr="008A0812">
        <w:t>CompactLogix</w:t>
      </w:r>
    </w:p>
    <w:p w14:paraId="487307A0" w14:textId="1AC02872" w:rsidR="004776AB" w:rsidRPr="008A0812" w:rsidRDefault="004776AB" w:rsidP="004776AB">
      <w:pPr>
        <w:pStyle w:val="BodyText"/>
      </w:pPr>
      <w:r w:rsidRPr="008A0812">
        <w:t xml:space="preserve">The SCADA headend is built on Wonderware InTouch. Approximately fifty graphic screens, alarm screens, and pop-up windows have been developed on the system over the course of several years. The implementation is relatively consistent and incorporates isometric representation of the plant equipment. Color is used to indicate the status of the equipment; red indicates a run, open, or energized state, while green represents a stopped, closed, or deenergized state. </w:t>
      </w:r>
      <w:r w:rsidR="00D219F2">
        <w:t xml:space="preserve">Utilizing colors to indicate status without the additional aid of text may be difficult for a colorblind person to recognize the change in state.  The features and characteristics found on high-performance graphics have not been implemented.  While color is used to alert operators to deteriorating conditions, it is typically only a single color meant only to change the contrast and draw the </w:t>
      </w:r>
      <w:r w:rsidR="00EA77B5">
        <w:t xml:space="preserve">operator’s </w:t>
      </w:r>
      <w:r w:rsidR="00D219F2">
        <w:t>attention rather than indicate a specific status.</w:t>
      </w:r>
    </w:p>
    <w:p w14:paraId="7FF85A3D" w14:textId="77777777" w:rsidR="004776AB" w:rsidRPr="008A0812" w:rsidRDefault="004776AB" w:rsidP="004776AB">
      <w:pPr>
        <w:pStyle w:val="BodyText"/>
      </w:pPr>
      <w:r w:rsidRPr="008A0812">
        <w:t>Like the electrical system, Instrumentation and Controls (I&amp;C) assets were assessed for remaining useful life (RUL) and criticality to operations. The assessment revealed that 10% of I&amp;C assets inspected have no remaining useful life and more than 60% have a RUL of 10 years or less; however, RUL does not consider supportability or maintainability. Many manufacturers drop product support after 10 years and replacement parts become scarce in the years that follow.</w:t>
      </w:r>
    </w:p>
    <w:p w14:paraId="75AAE38C" w14:textId="77777777" w:rsidR="004776AB" w:rsidRPr="008A0812" w:rsidRDefault="004776AB" w:rsidP="004776AB">
      <w:pPr>
        <w:pStyle w:val="BodyText"/>
      </w:pPr>
      <w:r w:rsidRPr="008A0812">
        <w:t>A SCADA Master Plan is recommended to provide a framework to achieve a secure, flexible, reliable, and comprehensive SCADA environment. The SCADA Master Plan should evaluate all instrumentation 10 years old and older in order to develop a replacement plan. In addition to the replacement plan, standards should also be developed that identify minimum specifications and preferred manufacturers for each type of process measurement taking into consideration the properties of the process fluid, solid, or gas being measured. The Master Plan shall include specific recommendations with budgetary cost estimates and schedule for the next five to ten years generated from a gap analysis.</w:t>
      </w:r>
    </w:p>
    <w:p w14:paraId="37E868C5" w14:textId="77777777" w:rsidR="004776AB" w:rsidRPr="008A0812" w:rsidRDefault="004776AB" w:rsidP="004776AB">
      <w:pPr>
        <w:pStyle w:val="BodyText"/>
      </w:pPr>
      <w:r w:rsidRPr="008A0812">
        <w:t>The following major tasks should be included in a SCADA Master Plan:</w:t>
      </w:r>
    </w:p>
    <w:p w14:paraId="6A083198" w14:textId="77777777" w:rsidR="004776AB" w:rsidRPr="008A0812" w:rsidRDefault="004776AB" w:rsidP="004776AB">
      <w:pPr>
        <w:pStyle w:val="Bullet"/>
        <w:overflowPunct/>
        <w:autoSpaceDE/>
        <w:autoSpaceDN/>
        <w:adjustRightInd/>
        <w:textAlignment w:val="auto"/>
      </w:pPr>
      <w:r w:rsidRPr="008A0812">
        <w:t>Existing Documentation Review</w:t>
      </w:r>
    </w:p>
    <w:p w14:paraId="576380DD" w14:textId="77777777" w:rsidR="004776AB" w:rsidRPr="008A0812" w:rsidRDefault="004776AB" w:rsidP="004776AB">
      <w:pPr>
        <w:pStyle w:val="Bullet"/>
        <w:overflowPunct/>
        <w:autoSpaceDE/>
        <w:autoSpaceDN/>
        <w:adjustRightInd/>
        <w:textAlignment w:val="auto"/>
      </w:pPr>
      <w:r w:rsidRPr="008A0812">
        <w:t>Site Investigation and Staff Interviews</w:t>
      </w:r>
    </w:p>
    <w:p w14:paraId="1F5386AA" w14:textId="77777777" w:rsidR="004776AB" w:rsidRPr="008A0812" w:rsidRDefault="004776AB" w:rsidP="004776AB">
      <w:pPr>
        <w:pStyle w:val="Bullet"/>
        <w:overflowPunct/>
        <w:autoSpaceDE/>
        <w:autoSpaceDN/>
        <w:adjustRightInd/>
        <w:textAlignment w:val="auto"/>
      </w:pPr>
      <w:r w:rsidRPr="008A0812">
        <w:t>Current-state Technical Memorandum</w:t>
      </w:r>
    </w:p>
    <w:p w14:paraId="6261DC35" w14:textId="77777777" w:rsidR="004776AB" w:rsidRPr="008A0812" w:rsidRDefault="004776AB" w:rsidP="004776AB">
      <w:pPr>
        <w:pStyle w:val="Bullet"/>
        <w:overflowPunct/>
        <w:autoSpaceDE/>
        <w:autoSpaceDN/>
        <w:adjustRightInd/>
        <w:textAlignment w:val="auto"/>
      </w:pPr>
      <w:r w:rsidRPr="008A0812">
        <w:t>Strategic Visioning Session Workshop</w:t>
      </w:r>
    </w:p>
    <w:p w14:paraId="5F49BCC9" w14:textId="77777777" w:rsidR="004776AB" w:rsidRPr="008A0812" w:rsidRDefault="004776AB" w:rsidP="004776AB">
      <w:pPr>
        <w:pStyle w:val="Bullet"/>
        <w:overflowPunct/>
        <w:autoSpaceDE/>
        <w:autoSpaceDN/>
        <w:adjustRightInd/>
        <w:textAlignment w:val="auto"/>
      </w:pPr>
      <w:r w:rsidRPr="008A0812">
        <w:t>SCADA Requirements Workshop and Technical Memorandum</w:t>
      </w:r>
    </w:p>
    <w:p w14:paraId="2ADC5B90" w14:textId="77777777" w:rsidR="004776AB" w:rsidRPr="008A0812" w:rsidRDefault="004776AB" w:rsidP="004776AB">
      <w:pPr>
        <w:pStyle w:val="Bullet"/>
        <w:overflowPunct/>
        <w:autoSpaceDE/>
        <w:autoSpaceDN/>
        <w:adjustRightInd/>
        <w:textAlignment w:val="auto"/>
      </w:pPr>
      <w:r w:rsidRPr="008A0812">
        <w:t>Draft Master Plan Report – Future Projects Scope and Budget</w:t>
      </w:r>
    </w:p>
    <w:p w14:paraId="62B17668" w14:textId="77777777" w:rsidR="004776AB" w:rsidRPr="008A0812" w:rsidRDefault="004776AB" w:rsidP="004776AB">
      <w:pPr>
        <w:pStyle w:val="Bullet"/>
        <w:overflowPunct/>
        <w:autoSpaceDE/>
        <w:autoSpaceDN/>
        <w:adjustRightInd/>
        <w:textAlignment w:val="auto"/>
      </w:pPr>
      <w:r w:rsidRPr="008A0812">
        <w:t>Final Master Plan Report and Presentation</w:t>
      </w:r>
    </w:p>
    <w:p w14:paraId="4D185E7B" w14:textId="690CC6FE" w:rsidR="004776AB" w:rsidRPr="008A0812" w:rsidRDefault="004776AB" w:rsidP="004776AB">
      <w:pPr>
        <w:pStyle w:val="BodyText"/>
      </w:pPr>
      <w:r w:rsidRPr="008A0812">
        <w:t xml:space="preserve">The budget cost estimate for the SCADA Master Plan </w:t>
      </w:r>
      <w:r w:rsidR="00CF7573" w:rsidRPr="008A0812">
        <w:t xml:space="preserve">for the </w:t>
      </w:r>
      <w:r w:rsidR="00133907" w:rsidRPr="008A0812">
        <w:t>SB</w:t>
      </w:r>
      <w:r w:rsidR="00CF7573" w:rsidRPr="008A0812">
        <w:t xml:space="preserve">WRP </w:t>
      </w:r>
      <w:r w:rsidRPr="008A0812">
        <w:t xml:space="preserve">is approximately $260,000. </w:t>
      </w:r>
      <w:r w:rsidR="00CF7573" w:rsidRPr="008A0812">
        <w:t xml:space="preserve"> Additional facilities such as RIX and the collection system should also be evaluated and included in the SCADA Master Plan.  Ideally, a citywide SCADA Master Plan would be undertaken, which would also include the Water Utility Division.  However, the RIX, collection system, and water utilities were not part of this evaluation and have not been included in the cost estimate. </w:t>
      </w:r>
    </w:p>
    <w:p w14:paraId="3AED6156" w14:textId="6E3F68C5" w:rsidR="004776AB" w:rsidRPr="008A0812" w:rsidRDefault="004776AB" w:rsidP="004776AB">
      <w:pPr>
        <w:pStyle w:val="BodyText"/>
      </w:pPr>
      <w:r w:rsidRPr="008A0812">
        <w:t xml:space="preserve">SCADA systems of this vintage require common projects to upgrade, replace, and otherwise enhance the system’s operational effectiveness. It is expected that the projects listed in </w:t>
      </w:r>
      <w:r w:rsidR="00011F52" w:rsidRPr="008A0812">
        <w:fldChar w:fldCharType="begin"/>
      </w:r>
      <w:r w:rsidR="00011F52" w:rsidRPr="008A0812">
        <w:instrText xml:space="preserve"> REF _Ref36402815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15</w:t>
      </w:r>
      <w:r w:rsidR="00011F52" w:rsidRPr="008A0812">
        <w:fldChar w:fldCharType="end"/>
      </w:r>
      <w:r w:rsidRPr="008A0812">
        <w:t xml:space="preserve"> would be identified during the master planning process as required projects. The list of projects and estimated cost is intended to provide guidance for CIP planning.</w:t>
      </w:r>
    </w:p>
    <w:p w14:paraId="091C8104" w14:textId="1A5DDA1F" w:rsidR="00011F52" w:rsidRPr="008A0812" w:rsidRDefault="00011F52" w:rsidP="00011F52">
      <w:pPr>
        <w:pStyle w:val="TableHeading"/>
      </w:pPr>
      <w:bookmarkStart w:id="651" w:name="_Ref36402815"/>
      <w:bookmarkStart w:id="652" w:name="_Toc36414120"/>
      <w:bookmarkStart w:id="653" w:name="_Toc41684805"/>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15</w:t>
      </w:r>
      <w:r>
        <w:fldChar w:fldCharType="end"/>
      </w:r>
      <w:bookmarkEnd w:id="651"/>
      <w:r w:rsidRPr="008A0812">
        <w:t>: Potential SCADA CIP Projects</w:t>
      </w:r>
      <w:bookmarkEnd w:id="652"/>
      <w:r w:rsidR="00BE060B">
        <w:t xml:space="preserve"> at SBWRP</w:t>
      </w:r>
      <w:bookmarkEnd w:id="653"/>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30"/>
        <w:gridCol w:w="2701"/>
      </w:tblGrid>
      <w:tr w:rsidR="004776AB" w:rsidRPr="008A0812" w14:paraId="58CF6327" w14:textId="77777777" w:rsidTr="004776AB">
        <w:tc>
          <w:tcPr>
            <w:tcW w:w="663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286A7554" w14:textId="77777777" w:rsidR="004776AB" w:rsidRPr="008A0812" w:rsidRDefault="004776AB" w:rsidP="004776AB">
            <w:pPr>
              <w:keepNext/>
              <w:overflowPunct/>
              <w:autoSpaceDE/>
              <w:autoSpaceDN/>
              <w:adjustRightInd/>
              <w:jc w:val="center"/>
              <w:rPr>
                <w:rFonts w:asciiTheme="majorHAnsi" w:hAnsiTheme="majorHAnsi" w:cs="Segoe UI"/>
              </w:rPr>
            </w:pPr>
            <w:r w:rsidRPr="008A0812">
              <w:rPr>
                <w:rFonts w:asciiTheme="majorHAnsi" w:hAnsiTheme="majorHAnsi" w:cs="Segoe UI"/>
                <w:b/>
                <w:bCs/>
              </w:rPr>
              <w:t>Potential Projects</w:t>
            </w:r>
          </w:p>
        </w:tc>
        <w:tc>
          <w:tcPr>
            <w:tcW w:w="2701" w:type="dxa"/>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1723F089" w14:textId="77777777" w:rsidR="004776AB" w:rsidRPr="008A0812" w:rsidRDefault="004776AB" w:rsidP="004776AB">
            <w:pPr>
              <w:keepNext/>
              <w:overflowPunct/>
              <w:autoSpaceDE/>
              <w:autoSpaceDN/>
              <w:adjustRightInd/>
              <w:jc w:val="center"/>
              <w:rPr>
                <w:rFonts w:asciiTheme="majorHAnsi" w:hAnsiTheme="majorHAnsi" w:cs="Segoe UI"/>
              </w:rPr>
            </w:pPr>
            <w:r w:rsidRPr="008A0812">
              <w:rPr>
                <w:rFonts w:asciiTheme="majorHAnsi" w:hAnsiTheme="majorHAnsi" w:cs="Segoe UI"/>
                <w:b/>
                <w:bCs/>
              </w:rPr>
              <w:t>Estimated Project Cost</w:t>
            </w:r>
          </w:p>
        </w:tc>
      </w:tr>
      <w:tr w:rsidR="004776AB" w:rsidRPr="008A0812" w14:paraId="12BEB5EF"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271BAF87"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Control System Standards</w:t>
            </w:r>
          </w:p>
        </w:tc>
        <w:tc>
          <w:tcPr>
            <w:tcW w:w="2701" w:type="dxa"/>
            <w:tcBorders>
              <w:top w:val="nil"/>
              <w:left w:val="nil"/>
              <w:bottom w:val="single" w:sz="6" w:space="0" w:color="auto"/>
              <w:right w:val="single" w:sz="6" w:space="0" w:color="auto"/>
            </w:tcBorders>
            <w:shd w:val="clear" w:color="auto" w:fill="auto"/>
            <w:tcMar>
              <w:right w:w="72" w:type="dxa"/>
            </w:tcMar>
            <w:hideMark/>
          </w:tcPr>
          <w:p w14:paraId="6C299825"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$ 228,000 </w:t>
            </w:r>
          </w:p>
        </w:tc>
      </w:tr>
      <w:tr w:rsidR="004776AB" w:rsidRPr="008A0812" w14:paraId="5E31A0B7"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39565A48"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SCADA HMI Evaluation</w:t>
            </w:r>
          </w:p>
        </w:tc>
        <w:tc>
          <w:tcPr>
            <w:tcW w:w="2701" w:type="dxa"/>
            <w:tcBorders>
              <w:top w:val="nil"/>
              <w:left w:val="nil"/>
              <w:bottom w:val="single" w:sz="6" w:space="0" w:color="auto"/>
              <w:right w:val="single" w:sz="6" w:space="0" w:color="auto"/>
            </w:tcBorders>
            <w:shd w:val="clear" w:color="auto" w:fill="auto"/>
            <w:tcMar>
              <w:right w:w="72" w:type="dxa"/>
            </w:tcMar>
            <w:hideMark/>
          </w:tcPr>
          <w:p w14:paraId="40D2486F"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$ 91,000 </w:t>
            </w:r>
          </w:p>
        </w:tc>
      </w:tr>
      <w:tr w:rsidR="004776AB" w:rsidRPr="008A0812" w14:paraId="244DD718"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30EF76E1"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Standard HMI and PLC Templates</w:t>
            </w:r>
          </w:p>
        </w:tc>
        <w:tc>
          <w:tcPr>
            <w:tcW w:w="2701" w:type="dxa"/>
            <w:tcBorders>
              <w:top w:val="nil"/>
              <w:left w:val="nil"/>
              <w:bottom w:val="single" w:sz="6" w:space="0" w:color="auto"/>
              <w:right w:val="single" w:sz="6" w:space="0" w:color="auto"/>
            </w:tcBorders>
            <w:shd w:val="clear" w:color="auto" w:fill="auto"/>
            <w:tcMar>
              <w:right w:w="72" w:type="dxa"/>
            </w:tcMar>
            <w:hideMark/>
          </w:tcPr>
          <w:p w14:paraId="6DB06CE1"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$ 248,000 </w:t>
            </w:r>
          </w:p>
        </w:tc>
      </w:tr>
      <w:tr w:rsidR="004776AB" w:rsidRPr="008A0812" w14:paraId="34B27D06"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59418829"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SCADA Software Development Lab</w:t>
            </w:r>
          </w:p>
        </w:tc>
        <w:tc>
          <w:tcPr>
            <w:tcW w:w="2701" w:type="dxa"/>
            <w:tcBorders>
              <w:top w:val="nil"/>
              <w:left w:val="nil"/>
              <w:bottom w:val="single" w:sz="6" w:space="0" w:color="auto"/>
              <w:right w:val="single" w:sz="6" w:space="0" w:color="auto"/>
            </w:tcBorders>
            <w:shd w:val="clear" w:color="auto" w:fill="auto"/>
            <w:tcMar>
              <w:right w:w="72" w:type="dxa"/>
            </w:tcMar>
            <w:hideMark/>
          </w:tcPr>
          <w:p w14:paraId="421181EF"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$ 286,000 </w:t>
            </w:r>
          </w:p>
        </w:tc>
      </w:tr>
      <w:tr w:rsidR="004776AB" w:rsidRPr="008A0812" w14:paraId="4C703521"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3E7328CB"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HMI Upgrade Project</w:t>
            </w:r>
          </w:p>
        </w:tc>
        <w:tc>
          <w:tcPr>
            <w:tcW w:w="2701" w:type="dxa"/>
            <w:tcBorders>
              <w:top w:val="nil"/>
              <w:left w:val="nil"/>
              <w:bottom w:val="single" w:sz="6" w:space="0" w:color="auto"/>
              <w:right w:val="single" w:sz="6" w:space="0" w:color="auto"/>
            </w:tcBorders>
            <w:shd w:val="clear" w:color="auto" w:fill="auto"/>
            <w:tcMar>
              <w:right w:w="72" w:type="dxa"/>
            </w:tcMar>
            <w:hideMark/>
          </w:tcPr>
          <w:p w14:paraId="62F0D6E0"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$ 514,000 </w:t>
            </w:r>
          </w:p>
        </w:tc>
      </w:tr>
      <w:tr w:rsidR="004776AB" w:rsidRPr="008A0812" w14:paraId="0D4BD1EB"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07B30018"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Control System Upgrade Project</w:t>
            </w:r>
          </w:p>
        </w:tc>
        <w:tc>
          <w:tcPr>
            <w:tcW w:w="2701" w:type="dxa"/>
            <w:tcBorders>
              <w:top w:val="nil"/>
              <w:left w:val="nil"/>
              <w:bottom w:val="single" w:sz="6" w:space="0" w:color="auto"/>
              <w:right w:val="single" w:sz="6" w:space="0" w:color="auto"/>
            </w:tcBorders>
            <w:shd w:val="clear" w:color="auto" w:fill="auto"/>
            <w:tcMar>
              <w:right w:w="72" w:type="dxa"/>
            </w:tcMar>
            <w:hideMark/>
          </w:tcPr>
          <w:p w14:paraId="791748AB"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$ 2,820,000 </w:t>
            </w:r>
          </w:p>
        </w:tc>
      </w:tr>
      <w:tr w:rsidR="004776AB" w:rsidRPr="008A0812" w14:paraId="62008110"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30C0D959"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SCADA Cybersecurity Vulnerability Assessment</w:t>
            </w:r>
          </w:p>
        </w:tc>
        <w:tc>
          <w:tcPr>
            <w:tcW w:w="2701" w:type="dxa"/>
            <w:tcBorders>
              <w:top w:val="nil"/>
              <w:left w:val="nil"/>
              <w:bottom w:val="single" w:sz="6" w:space="0" w:color="auto"/>
              <w:right w:val="single" w:sz="6" w:space="0" w:color="auto"/>
            </w:tcBorders>
            <w:shd w:val="clear" w:color="auto" w:fill="auto"/>
            <w:tcMar>
              <w:right w:w="72" w:type="dxa"/>
            </w:tcMar>
            <w:hideMark/>
          </w:tcPr>
          <w:p w14:paraId="715EEEEA"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$ 174,000 </w:t>
            </w:r>
          </w:p>
        </w:tc>
      </w:tr>
      <w:tr w:rsidR="004776AB" w:rsidRPr="008A0812" w14:paraId="0328C8EC"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48643EF8"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Developing Process Control Narratives (PCN’s)</w:t>
            </w:r>
          </w:p>
        </w:tc>
        <w:tc>
          <w:tcPr>
            <w:tcW w:w="2701" w:type="dxa"/>
            <w:tcBorders>
              <w:top w:val="nil"/>
              <w:left w:val="nil"/>
              <w:bottom w:val="single" w:sz="6" w:space="0" w:color="auto"/>
              <w:right w:val="single" w:sz="6" w:space="0" w:color="auto"/>
            </w:tcBorders>
            <w:shd w:val="clear" w:color="auto" w:fill="auto"/>
            <w:tcMar>
              <w:right w:w="72" w:type="dxa"/>
            </w:tcMar>
            <w:hideMark/>
          </w:tcPr>
          <w:p w14:paraId="48D0891C"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$ 568,000 </w:t>
            </w:r>
          </w:p>
        </w:tc>
      </w:tr>
      <w:tr w:rsidR="004776AB" w:rsidRPr="008A0812" w14:paraId="4E8AE9C3"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4EB0BFBA"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Instrument Specifications and Calibration Procedures</w:t>
            </w:r>
          </w:p>
        </w:tc>
        <w:tc>
          <w:tcPr>
            <w:tcW w:w="2701" w:type="dxa"/>
            <w:tcBorders>
              <w:top w:val="nil"/>
              <w:left w:val="nil"/>
              <w:bottom w:val="single" w:sz="6" w:space="0" w:color="auto"/>
              <w:right w:val="single" w:sz="6" w:space="0" w:color="auto"/>
            </w:tcBorders>
            <w:shd w:val="clear" w:color="auto" w:fill="auto"/>
            <w:tcMar>
              <w:right w:w="72" w:type="dxa"/>
            </w:tcMar>
            <w:hideMark/>
          </w:tcPr>
          <w:p w14:paraId="6DB8330A"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$ 205,000 </w:t>
            </w:r>
          </w:p>
        </w:tc>
      </w:tr>
      <w:tr w:rsidR="004776AB" w:rsidRPr="008A0812" w14:paraId="153A6900"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4236C3AB"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SCADA Historian and Reporting</w:t>
            </w:r>
          </w:p>
        </w:tc>
        <w:tc>
          <w:tcPr>
            <w:tcW w:w="2701" w:type="dxa"/>
            <w:tcBorders>
              <w:top w:val="nil"/>
              <w:left w:val="nil"/>
              <w:bottom w:val="single" w:sz="6" w:space="0" w:color="auto"/>
              <w:right w:val="single" w:sz="6" w:space="0" w:color="auto"/>
            </w:tcBorders>
            <w:shd w:val="clear" w:color="auto" w:fill="auto"/>
            <w:tcMar>
              <w:right w:w="72" w:type="dxa"/>
            </w:tcMar>
            <w:hideMark/>
          </w:tcPr>
          <w:p w14:paraId="49FD4B31"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$ 242,000 </w:t>
            </w:r>
          </w:p>
        </w:tc>
      </w:tr>
      <w:tr w:rsidR="004776AB" w:rsidRPr="008A0812" w14:paraId="1F159A33"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7CDAE270"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Remote Data Collection</w:t>
            </w:r>
          </w:p>
        </w:tc>
        <w:tc>
          <w:tcPr>
            <w:tcW w:w="2701" w:type="dxa"/>
            <w:tcBorders>
              <w:top w:val="nil"/>
              <w:left w:val="nil"/>
              <w:bottom w:val="single" w:sz="6" w:space="0" w:color="auto"/>
              <w:right w:val="single" w:sz="6" w:space="0" w:color="auto"/>
            </w:tcBorders>
            <w:shd w:val="clear" w:color="auto" w:fill="auto"/>
            <w:tcMar>
              <w:right w:w="72" w:type="dxa"/>
            </w:tcMar>
            <w:hideMark/>
          </w:tcPr>
          <w:p w14:paraId="742DE0CA"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$ 150,000 </w:t>
            </w:r>
          </w:p>
        </w:tc>
      </w:tr>
      <w:tr w:rsidR="004776AB" w:rsidRPr="008A0812" w14:paraId="568F7299" w14:textId="77777777" w:rsidTr="004776AB">
        <w:trPr>
          <w:trHeight w:val="240"/>
        </w:trPr>
        <w:tc>
          <w:tcPr>
            <w:tcW w:w="6630" w:type="dxa"/>
            <w:tcBorders>
              <w:top w:val="nil"/>
              <w:left w:val="single" w:sz="6" w:space="0" w:color="auto"/>
              <w:bottom w:val="single" w:sz="6" w:space="0" w:color="auto"/>
              <w:right w:val="single" w:sz="6" w:space="0" w:color="auto"/>
            </w:tcBorders>
            <w:shd w:val="clear" w:color="auto" w:fill="auto"/>
            <w:tcMar>
              <w:left w:w="72" w:type="dxa"/>
            </w:tcMar>
            <w:hideMark/>
          </w:tcPr>
          <w:p w14:paraId="1AC950E6"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Instrumentation Study</w:t>
            </w:r>
          </w:p>
        </w:tc>
        <w:tc>
          <w:tcPr>
            <w:tcW w:w="2701" w:type="dxa"/>
            <w:tcBorders>
              <w:top w:val="nil"/>
              <w:left w:val="nil"/>
              <w:bottom w:val="single" w:sz="6" w:space="0" w:color="auto"/>
              <w:right w:val="single" w:sz="6" w:space="0" w:color="auto"/>
            </w:tcBorders>
            <w:shd w:val="clear" w:color="auto" w:fill="auto"/>
            <w:tcMar>
              <w:right w:w="72" w:type="dxa"/>
            </w:tcMar>
            <w:hideMark/>
          </w:tcPr>
          <w:p w14:paraId="38314E23"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$ 224,000 </w:t>
            </w:r>
          </w:p>
        </w:tc>
      </w:tr>
      <w:tr w:rsidR="004776AB" w:rsidRPr="008A0812" w14:paraId="0E7C3F54" w14:textId="77777777" w:rsidTr="004776AB">
        <w:trPr>
          <w:trHeight w:val="240"/>
        </w:trPr>
        <w:tc>
          <w:tcPr>
            <w:tcW w:w="6630" w:type="dxa"/>
            <w:tcBorders>
              <w:top w:val="nil"/>
              <w:left w:val="single" w:sz="6" w:space="0" w:color="auto"/>
              <w:bottom w:val="single" w:sz="4" w:space="0" w:color="auto"/>
              <w:right w:val="single" w:sz="6" w:space="0" w:color="auto"/>
            </w:tcBorders>
            <w:shd w:val="clear" w:color="auto" w:fill="auto"/>
            <w:tcMar>
              <w:left w:w="72" w:type="dxa"/>
            </w:tcMar>
            <w:hideMark/>
          </w:tcPr>
          <w:p w14:paraId="582C4846"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Arial"/>
              </w:rPr>
              <w:t>Operational Efficiency Evaluation (KPI's)</w:t>
            </w:r>
          </w:p>
        </w:tc>
        <w:tc>
          <w:tcPr>
            <w:tcW w:w="2701" w:type="dxa"/>
            <w:tcBorders>
              <w:top w:val="nil"/>
              <w:left w:val="nil"/>
              <w:bottom w:val="single" w:sz="4" w:space="0" w:color="auto"/>
              <w:right w:val="single" w:sz="6" w:space="0" w:color="auto"/>
            </w:tcBorders>
            <w:shd w:val="clear" w:color="auto" w:fill="auto"/>
            <w:tcMar>
              <w:right w:w="72" w:type="dxa"/>
            </w:tcMar>
            <w:hideMark/>
          </w:tcPr>
          <w:p w14:paraId="35DD8676" w14:textId="77777777" w:rsidR="004776AB" w:rsidRPr="008A0812" w:rsidRDefault="004776AB" w:rsidP="004776AB">
            <w:pPr>
              <w:keepNext/>
              <w:overflowPunct/>
              <w:autoSpaceDE/>
              <w:autoSpaceDN/>
              <w:adjustRightInd/>
              <w:jc w:val="right"/>
              <w:rPr>
                <w:rFonts w:asciiTheme="majorHAnsi" w:hAnsiTheme="majorHAnsi" w:cs="Segoe UI"/>
              </w:rPr>
            </w:pPr>
            <w:r w:rsidRPr="008A0812">
              <w:t xml:space="preserve"> $ 131,000 </w:t>
            </w:r>
          </w:p>
        </w:tc>
      </w:tr>
      <w:tr w:rsidR="004776AB" w:rsidRPr="008A0812" w14:paraId="37CEBC74" w14:textId="77777777" w:rsidTr="004776AB">
        <w:tc>
          <w:tcPr>
            <w:tcW w:w="6630"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4F96208D" w14:textId="77777777" w:rsidR="004776AB" w:rsidRPr="008A0812" w:rsidRDefault="004776AB" w:rsidP="004776AB">
            <w:pPr>
              <w:overflowPunct/>
              <w:autoSpaceDE/>
              <w:autoSpaceDN/>
              <w:adjustRightInd/>
              <w:rPr>
                <w:rFonts w:asciiTheme="majorHAnsi" w:hAnsiTheme="majorHAnsi" w:cs="Segoe UI"/>
                <w:b/>
                <w:bCs/>
              </w:rPr>
            </w:pPr>
            <w:r w:rsidRPr="008A0812">
              <w:rPr>
                <w:rFonts w:asciiTheme="majorHAnsi" w:hAnsiTheme="majorHAnsi" w:cs="Segoe UI"/>
                <w:b/>
                <w:bCs/>
              </w:rPr>
              <w:t>Project Subtotal</w:t>
            </w:r>
          </w:p>
        </w:tc>
        <w:tc>
          <w:tcPr>
            <w:tcW w:w="2701" w:type="dxa"/>
            <w:tcBorders>
              <w:top w:val="single" w:sz="6" w:space="0" w:color="auto"/>
              <w:left w:val="nil"/>
              <w:bottom w:val="single" w:sz="6" w:space="0" w:color="auto"/>
              <w:right w:val="single" w:sz="6" w:space="0" w:color="auto"/>
            </w:tcBorders>
            <w:shd w:val="clear" w:color="auto" w:fill="auto"/>
            <w:tcMar>
              <w:right w:w="72" w:type="dxa"/>
            </w:tcMar>
          </w:tcPr>
          <w:p w14:paraId="4D6BB36A" w14:textId="77777777" w:rsidR="004776AB" w:rsidRPr="008A0812" w:rsidRDefault="004776AB" w:rsidP="004776AB">
            <w:pPr>
              <w:overflowPunct/>
              <w:autoSpaceDE/>
              <w:autoSpaceDN/>
              <w:adjustRightInd/>
              <w:jc w:val="right"/>
              <w:rPr>
                <w:rFonts w:cs="Segoe UI"/>
                <w:b/>
                <w:bCs/>
              </w:rPr>
            </w:pPr>
            <w:r w:rsidRPr="008A0812">
              <w:rPr>
                <w:b/>
                <w:bCs/>
              </w:rPr>
              <w:t xml:space="preserve"> $ 4,523,000 </w:t>
            </w:r>
          </w:p>
        </w:tc>
      </w:tr>
      <w:tr w:rsidR="004776AB" w:rsidRPr="008A0812" w14:paraId="74C2C1AE" w14:textId="77777777" w:rsidTr="004776AB">
        <w:tc>
          <w:tcPr>
            <w:tcW w:w="6630" w:type="dxa"/>
            <w:tcBorders>
              <w:top w:val="single" w:sz="6" w:space="0" w:color="auto"/>
              <w:left w:val="single" w:sz="6" w:space="0" w:color="auto"/>
              <w:bottom w:val="single" w:sz="6" w:space="0" w:color="auto"/>
              <w:right w:val="single" w:sz="6" w:space="0" w:color="auto"/>
            </w:tcBorders>
            <w:shd w:val="clear" w:color="auto" w:fill="auto"/>
            <w:tcMar>
              <w:left w:w="72" w:type="dxa"/>
            </w:tcMar>
          </w:tcPr>
          <w:p w14:paraId="11208AE8"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Project Contingency (30%)</w:t>
            </w:r>
          </w:p>
        </w:tc>
        <w:tc>
          <w:tcPr>
            <w:tcW w:w="2701" w:type="dxa"/>
            <w:tcBorders>
              <w:top w:val="single" w:sz="6" w:space="0" w:color="auto"/>
              <w:left w:val="nil"/>
              <w:bottom w:val="single" w:sz="6" w:space="0" w:color="auto"/>
              <w:right w:val="single" w:sz="6" w:space="0" w:color="auto"/>
            </w:tcBorders>
            <w:shd w:val="clear" w:color="auto" w:fill="auto"/>
            <w:tcMar>
              <w:right w:w="72" w:type="dxa"/>
            </w:tcMar>
          </w:tcPr>
          <w:p w14:paraId="287D94D0" w14:textId="77777777" w:rsidR="004776AB" w:rsidRPr="008A0812" w:rsidRDefault="004776AB" w:rsidP="004776AB">
            <w:pPr>
              <w:overflowPunct/>
              <w:autoSpaceDE/>
              <w:autoSpaceDN/>
              <w:adjustRightInd/>
              <w:jc w:val="right"/>
              <w:rPr>
                <w:rFonts w:cs="Segoe UI"/>
                <w:b/>
                <w:bCs/>
              </w:rPr>
            </w:pPr>
            <w:r w:rsidRPr="008A0812">
              <w:t xml:space="preserve"> $ 1,357,000 </w:t>
            </w:r>
          </w:p>
        </w:tc>
      </w:tr>
      <w:tr w:rsidR="004776AB" w:rsidRPr="008A0812" w14:paraId="4B873DAC" w14:textId="77777777" w:rsidTr="004776AB">
        <w:trPr>
          <w:trHeight w:val="240"/>
        </w:trPr>
        <w:tc>
          <w:tcPr>
            <w:tcW w:w="663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tcPr>
          <w:p w14:paraId="6E8D3368" w14:textId="77777777" w:rsidR="004776AB" w:rsidRPr="008A0812" w:rsidRDefault="004776AB" w:rsidP="004776AB">
            <w:pPr>
              <w:keepNext/>
              <w:overflowPunct/>
              <w:autoSpaceDE/>
              <w:autoSpaceDN/>
              <w:adjustRightInd/>
              <w:rPr>
                <w:rFonts w:asciiTheme="majorHAnsi" w:hAnsiTheme="majorHAnsi" w:cs="Arial"/>
                <w:b/>
              </w:rPr>
            </w:pPr>
            <w:r w:rsidRPr="008A0812">
              <w:rPr>
                <w:rFonts w:asciiTheme="majorHAnsi" w:hAnsiTheme="majorHAnsi" w:cs="Arial"/>
                <w:b/>
              </w:rPr>
              <w:t>Total Estimated Cost (rounded)</w:t>
            </w:r>
          </w:p>
        </w:tc>
        <w:tc>
          <w:tcPr>
            <w:tcW w:w="2701" w:type="dxa"/>
            <w:tcBorders>
              <w:top w:val="single" w:sz="6" w:space="0" w:color="auto"/>
              <w:left w:val="nil"/>
              <w:bottom w:val="single" w:sz="6" w:space="0" w:color="auto"/>
              <w:right w:val="single" w:sz="6" w:space="0" w:color="auto"/>
            </w:tcBorders>
            <w:shd w:val="clear" w:color="auto" w:fill="BFBFBF" w:themeFill="background1" w:themeFillShade="BF"/>
            <w:tcMar>
              <w:right w:w="72" w:type="dxa"/>
            </w:tcMar>
          </w:tcPr>
          <w:p w14:paraId="39FA1F15" w14:textId="77777777" w:rsidR="004776AB" w:rsidRPr="008A0812" w:rsidRDefault="004776AB" w:rsidP="004776AB">
            <w:pPr>
              <w:keepNext/>
              <w:overflowPunct/>
              <w:autoSpaceDE/>
              <w:autoSpaceDN/>
              <w:adjustRightInd/>
              <w:jc w:val="right"/>
              <w:rPr>
                <w:rFonts w:asciiTheme="majorHAnsi" w:hAnsiTheme="majorHAnsi" w:cs="Arial"/>
                <w:b/>
              </w:rPr>
            </w:pPr>
            <w:r w:rsidRPr="008A0812">
              <w:rPr>
                <w:b/>
              </w:rPr>
              <w:t xml:space="preserve"> $ 5,900,000 </w:t>
            </w:r>
          </w:p>
        </w:tc>
      </w:tr>
    </w:tbl>
    <w:p w14:paraId="26BFF4B3" w14:textId="77777777" w:rsidR="00022D2D" w:rsidRDefault="00022D2D" w:rsidP="00022D2D">
      <w:bookmarkStart w:id="654" w:name="_Ref36401628"/>
    </w:p>
    <w:p w14:paraId="77A8CE42" w14:textId="7C0609BC" w:rsidR="00022D2D" w:rsidRDefault="00022D2D" w:rsidP="00022D2D">
      <w:r>
        <w:t xml:space="preserve">While the Evaluation and Upgrade projects in the above table are specific to the SBWRP, </w:t>
      </w:r>
      <w:r w:rsidR="0059293F">
        <w:t>additional benefit could be gained if the projects were applied throughout the Department</w:t>
      </w:r>
      <w:r w:rsidR="0098207A">
        <w:t>D</w:t>
      </w:r>
      <w:r>
        <w:t>epartment</w:t>
      </w:r>
      <w:r w:rsidR="0098207A">
        <w:t>-</w:t>
      </w:r>
      <w:r>
        <w:t>wide:</w:t>
      </w:r>
    </w:p>
    <w:p w14:paraId="21FDBD54" w14:textId="77777777" w:rsidR="00022D2D" w:rsidRDefault="00022D2D" w:rsidP="00022D2D">
      <w:pPr>
        <w:pStyle w:val="ListParagraph"/>
        <w:numPr>
          <w:ilvl w:val="0"/>
          <w:numId w:val="57"/>
        </w:numPr>
        <w:overflowPunct/>
        <w:autoSpaceDE/>
        <w:autoSpaceDN/>
        <w:adjustRightInd/>
        <w:textAlignment w:val="auto"/>
      </w:pPr>
      <w:r>
        <w:t>Control System Standards</w:t>
      </w:r>
    </w:p>
    <w:p w14:paraId="1E550307" w14:textId="77777777" w:rsidR="00022D2D" w:rsidRDefault="00022D2D" w:rsidP="00022D2D">
      <w:pPr>
        <w:pStyle w:val="ListParagraph"/>
        <w:numPr>
          <w:ilvl w:val="0"/>
          <w:numId w:val="57"/>
        </w:numPr>
        <w:overflowPunct/>
        <w:autoSpaceDE/>
        <w:autoSpaceDN/>
        <w:adjustRightInd/>
        <w:textAlignment w:val="auto"/>
      </w:pPr>
      <w:r>
        <w:t>Standard HMI and PLC Templates</w:t>
      </w:r>
    </w:p>
    <w:p w14:paraId="3E61F045" w14:textId="77777777" w:rsidR="00022D2D" w:rsidRDefault="00022D2D" w:rsidP="00022D2D">
      <w:pPr>
        <w:pStyle w:val="ListParagraph"/>
        <w:numPr>
          <w:ilvl w:val="0"/>
          <w:numId w:val="57"/>
        </w:numPr>
        <w:overflowPunct/>
        <w:autoSpaceDE/>
        <w:autoSpaceDN/>
        <w:adjustRightInd/>
        <w:textAlignment w:val="auto"/>
      </w:pPr>
      <w:r>
        <w:t>SCADA Software Development Lab</w:t>
      </w:r>
    </w:p>
    <w:p w14:paraId="4E4B60E8" w14:textId="77777777" w:rsidR="00022D2D" w:rsidRDefault="00022D2D" w:rsidP="00022D2D">
      <w:pPr>
        <w:pStyle w:val="ListParagraph"/>
        <w:numPr>
          <w:ilvl w:val="0"/>
          <w:numId w:val="57"/>
        </w:numPr>
        <w:overflowPunct/>
        <w:autoSpaceDE/>
        <w:autoSpaceDN/>
        <w:adjustRightInd/>
        <w:textAlignment w:val="auto"/>
      </w:pPr>
      <w:r>
        <w:t>Instrument Specifications and Calibration Procedures</w:t>
      </w:r>
    </w:p>
    <w:p w14:paraId="3CD175F4" w14:textId="77777777" w:rsidR="00022D2D" w:rsidRDefault="00022D2D" w:rsidP="00022D2D">
      <w:pPr>
        <w:pStyle w:val="ListParagraph"/>
        <w:numPr>
          <w:ilvl w:val="0"/>
          <w:numId w:val="57"/>
        </w:numPr>
        <w:overflowPunct/>
        <w:autoSpaceDE/>
        <w:autoSpaceDN/>
        <w:adjustRightInd/>
        <w:textAlignment w:val="auto"/>
      </w:pPr>
      <w:r>
        <w:t>Remote Data Collection</w:t>
      </w:r>
    </w:p>
    <w:p w14:paraId="4AA6EB08" w14:textId="77777777" w:rsidR="00022D2D" w:rsidRDefault="00022D2D" w:rsidP="00022D2D">
      <w:pPr>
        <w:pStyle w:val="ListParagraph"/>
        <w:numPr>
          <w:ilvl w:val="0"/>
          <w:numId w:val="57"/>
        </w:numPr>
        <w:overflowPunct/>
        <w:autoSpaceDE/>
        <w:autoSpaceDN/>
        <w:adjustRightInd/>
        <w:textAlignment w:val="auto"/>
      </w:pPr>
      <w:r>
        <w:t>The results and policy recommendations from the SCADA Cybersecurity Vulnerability Assessment could be applied across the Department.</w:t>
      </w:r>
    </w:p>
    <w:p w14:paraId="00936023" w14:textId="77777777" w:rsidR="00022D2D" w:rsidRDefault="00022D2D" w:rsidP="00022D2D">
      <w:pPr>
        <w:pStyle w:val="ListParagraph"/>
        <w:numPr>
          <w:ilvl w:val="0"/>
          <w:numId w:val="57"/>
        </w:numPr>
        <w:overflowPunct/>
        <w:autoSpaceDE/>
        <w:autoSpaceDN/>
        <w:adjustRightInd/>
        <w:textAlignment w:val="auto"/>
      </w:pPr>
      <w:r>
        <w:t>The template produced as part of the Developing Process Control Narratives could also be applied across the Department.</w:t>
      </w:r>
    </w:p>
    <w:p w14:paraId="1E55CF8B" w14:textId="1DEDCB60" w:rsidR="004776AB" w:rsidRPr="008A0812" w:rsidRDefault="004776AB" w:rsidP="004776AB">
      <w:pPr>
        <w:pStyle w:val="Heading3"/>
        <w:numPr>
          <w:ilvl w:val="2"/>
          <w:numId w:val="1"/>
        </w:numPr>
        <w:tabs>
          <w:tab w:val="clear" w:pos="720"/>
          <w:tab w:val="num" w:pos="360"/>
          <w:tab w:val="num" w:pos="1260"/>
        </w:tabs>
        <w:ind w:left="986" w:hanging="446"/>
      </w:pPr>
      <w:bookmarkStart w:id="655" w:name="_Toc41680932"/>
      <w:r w:rsidRPr="008A0812">
        <w:t>Biosolids Strategic Plan</w:t>
      </w:r>
      <w:bookmarkEnd w:id="654"/>
      <w:bookmarkEnd w:id="655"/>
    </w:p>
    <w:p w14:paraId="5D07DC17" w14:textId="77777777" w:rsidR="004776AB" w:rsidRPr="008A0812" w:rsidRDefault="004776AB" w:rsidP="004776AB">
      <w:pPr>
        <w:pStyle w:val="BodyText"/>
      </w:pPr>
      <w:r w:rsidRPr="008A0812">
        <w:t xml:space="preserve">Regulations have been enacted at the State level directed towards management of organic waste that can impact options for biosolids management in California. SB 1383 requires a reduction of landfill disposal of organics of 50-percent from the 2014 levels by 2020, and a reduction of 75-percent statewide disposal from the 2014 levels by 2025. The Southern California Association of Publicly Owned Treatment Works (SCAP) 2016 Biannual Biosolids Trends Survey Report concluded that 16% of biosolids generated in California are disposed of in landfills. The diversion of biosolids and other organics from landfills to the compost market may greatly strain the demand for compost in the already limited compost end-use market. This could impact both the cost and availability of outlets for biosolids. </w:t>
      </w:r>
    </w:p>
    <w:p w14:paraId="11933AF8" w14:textId="77777777" w:rsidR="004776AB" w:rsidRPr="008A0812" w:rsidRDefault="004776AB" w:rsidP="004776AB">
      <w:pPr>
        <w:pStyle w:val="BodyText"/>
      </w:pPr>
      <w:r w:rsidRPr="008A0812">
        <w:t>The goal of the Biosolids Strategic Plan is to develop a long term, reliable, cost effective and diversified approach for the management of SBMWD’s biosolids that is compliant with State, local, Federal and environmental regulations. A Biosolids Strategic Plan would identify multiple options for biosolids management and provide information needed to make informed decisions regarding potential improvements to the SBWRP.</w:t>
      </w:r>
    </w:p>
    <w:p w14:paraId="584A030D" w14:textId="77777777" w:rsidR="004776AB" w:rsidRPr="008A0812" w:rsidRDefault="004776AB" w:rsidP="004776AB">
      <w:pPr>
        <w:pStyle w:val="BodyText"/>
      </w:pPr>
      <w:r w:rsidRPr="008A0812">
        <w:t xml:space="preserve">The scope of work for a Biosolids Strategic Plan should include the following: </w:t>
      </w:r>
    </w:p>
    <w:p w14:paraId="2A63E416" w14:textId="77777777" w:rsidR="004776AB" w:rsidRPr="008A0812" w:rsidRDefault="004776AB" w:rsidP="004776AB">
      <w:pPr>
        <w:pStyle w:val="Bullet"/>
      </w:pPr>
      <w:r w:rsidRPr="008A0812">
        <w:t xml:space="preserve">Review the existing SBMWD biosolids management program. Review previous relevant studies. Meet with SBMWD staff to discuss its biosolids management views in order to refine the analysis to a reasonable number of alternatives. </w:t>
      </w:r>
    </w:p>
    <w:p w14:paraId="5531FC14" w14:textId="02777133" w:rsidR="004776AB" w:rsidRDefault="004776AB" w:rsidP="004776AB">
      <w:pPr>
        <w:pStyle w:val="Bullet"/>
      </w:pPr>
      <w:r w:rsidRPr="008A0812">
        <w:t xml:space="preserve">Provide a brief assessment of the current regulatory, political and public environment associated with biosolids reuse and disposal options in California. Survey other agencies and provide a brief status report on current activities, available options and future planning to resolve any identified biosolids issues. Obtain Biosolids information from neighboring agencies to assess the benefits of a regional biosolids management strategy. </w:t>
      </w:r>
    </w:p>
    <w:p w14:paraId="3B3E580B" w14:textId="28D84F37" w:rsidR="00334014" w:rsidRPr="008A0812" w:rsidRDefault="00334014" w:rsidP="00334014">
      <w:pPr>
        <w:pStyle w:val="Bullet"/>
      </w:pPr>
      <w:r w:rsidRPr="008A0812">
        <w:t>Identify potential alternative</w:t>
      </w:r>
      <w:r>
        <w:t xml:space="preserve"> disposal strategies and marketplace opportunities for disposal of </w:t>
      </w:r>
      <w:r w:rsidRPr="008A0812">
        <w:t xml:space="preserve">Class </w:t>
      </w:r>
      <w:r>
        <w:t>B</w:t>
      </w:r>
      <w:r w:rsidRPr="008A0812">
        <w:t xml:space="preserve"> biosolids for SBM</w:t>
      </w:r>
      <w:r>
        <w:t>W</w:t>
      </w:r>
      <w:r w:rsidRPr="008A0812">
        <w:t>D.</w:t>
      </w:r>
      <w:r>
        <w:t xml:space="preserve"> The goal of this element of the scope is to provide SBMWD with greater diversity and eliminate any risk associated with the long-range viability of their existing Class B disposal contract. </w:t>
      </w:r>
      <w:r w:rsidRPr="008A0812">
        <w:t xml:space="preserve"> Develop criteria for initial screening of identified alternatives. Criteria should include items such as reliability, maturity of the </w:t>
      </w:r>
      <w:r>
        <w:t>identified alternative</w:t>
      </w:r>
      <w:r w:rsidRPr="008A0812">
        <w:t xml:space="preserve">, </w:t>
      </w:r>
      <w:r>
        <w:t>facility requirements (if any)</w:t>
      </w:r>
      <w:r w:rsidRPr="008A0812">
        <w:t xml:space="preserve">, </w:t>
      </w:r>
      <w:r>
        <w:t>potential impacts to operations (if any)</w:t>
      </w:r>
      <w:r w:rsidRPr="008A0812">
        <w:t>, capital cost</w:t>
      </w:r>
      <w:r>
        <w:t xml:space="preserve"> (if any)</w:t>
      </w:r>
      <w:r w:rsidRPr="008A0812">
        <w:t xml:space="preserve"> and</w:t>
      </w:r>
      <w:r>
        <w:t xml:space="preserve"> related</w:t>
      </w:r>
      <w:r w:rsidRPr="008A0812">
        <w:t xml:space="preserve"> O&amp;M cost. Perform the analysis for both a regional and stand-alone approach. </w:t>
      </w:r>
    </w:p>
    <w:p w14:paraId="79A06E2B" w14:textId="2D88B34C" w:rsidR="004776AB" w:rsidRPr="008A0812" w:rsidRDefault="004776AB" w:rsidP="004776AB">
      <w:pPr>
        <w:pStyle w:val="Bullet"/>
      </w:pPr>
      <w:r w:rsidRPr="008A0812">
        <w:t>Identify potential alternative and emerging treatment technologies that could produce a Class A biosolids product to create more disposal options for SB</w:t>
      </w:r>
      <w:r w:rsidR="00334014">
        <w:t>MW</w:t>
      </w:r>
      <w:r w:rsidRPr="008A0812">
        <w:t xml:space="preserve">D. These technologies should include but not be limited to improved digestion (thermophilic, TPAD, etc.), thermal hydrolysis (Cambi, Lystek, etc.), heat drying, pyrolysis, and alkaline stabilization. Develop criteria for initial screening of identified alternatives. Criteria should include items such as reliability, maturity of the technology, siting constraints, compatibility with existing process, marketability of final end-product, capital cost and O&amp;M cost. Provide additional analysis of the alternatives that are preferred following the initial screening process. Perform the analysis for both a regional and stand-alone approach. </w:t>
      </w:r>
    </w:p>
    <w:p w14:paraId="1AAF5ED6" w14:textId="0548EA03" w:rsidR="004776AB" w:rsidRPr="008A0812" w:rsidRDefault="004776AB" w:rsidP="004776AB">
      <w:pPr>
        <w:pStyle w:val="Bullet"/>
      </w:pPr>
      <w:r w:rsidRPr="008A0812">
        <w:t xml:space="preserve">Develop a Biosolids Strategic Plan with primary focus on long term reliability, diversification and cost. Assess the feasibility of using land currently owned by the </w:t>
      </w:r>
      <w:r w:rsidR="00EB51EA" w:rsidRPr="008A0812">
        <w:t>Department</w:t>
      </w:r>
      <w:r w:rsidRPr="008A0812">
        <w:t xml:space="preserve"> for future biosolids facilities. </w:t>
      </w:r>
      <w:r w:rsidR="00334014">
        <w:t xml:space="preserve">Develop a short list of feasible alternatives for both Class B and Class A disposal/beneficial use. </w:t>
      </w:r>
      <w:r w:rsidRPr="008A0812">
        <w:t xml:space="preserve">Develop </w:t>
      </w:r>
      <w:r w:rsidR="00334014">
        <w:t xml:space="preserve">concept level design and </w:t>
      </w:r>
      <w:r w:rsidRPr="008A0812">
        <w:t xml:space="preserve">implementation </w:t>
      </w:r>
      <w:r w:rsidR="00334014">
        <w:t xml:space="preserve">plan </w:t>
      </w:r>
      <w:r w:rsidRPr="008A0812">
        <w:t>that will identify regulatory, institutional, technical, schedule and monetary requirements for implement</w:t>
      </w:r>
      <w:r w:rsidR="00334014">
        <w:t>ing</w:t>
      </w:r>
      <w:r w:rsidRPr="008A0812">
        <w:t xml:space="preserve"> </w:t>
      </w:r>
      <w:r w:rsidR="00334014">
        <w:t xml:space="preserve">top Class A and Class B alternatives in the </w:t>
      </w:r>
      <w:r w:rsidRPr="008A0812">
        <w:t>Strategic Plan. Include any pilot testing and/or full-scale demonstration studies required.</w:t>
      </w:r>
    </w:p>
    <w:p w14:paraId="54D5EAEB" w14:textId="77777777" w:rsidR="004776AB" w:rsidRPr="008A0812" w:rsidRDefault="004776AB" w:rsidP="004776AB">
      <w:pPr>
        <w:pStyle w:val="BodyText"/>
      </w:pPr>
      <w:r w:rsidRPr="008A0812">
        <w:t>The budget cost estimate for the Biosolids Strategic Plan is approximately $390,000.</w:t>
      </w:r>
    </w:p>
    <w:p w14:paraId="2DA21589" w14:textId="77777777" w:rsidR="004776AB" w:rsidRPr="008A0812" w:rsidRDefault="004776AB" w:rsidP="004776AB">
      <w:pPr>
        <w:pStyle w:val="Heading3"/>
        <w:numPr>
          <w:ilvl w:val="2"/>
          <w:numId w:val="1"/>
        </w:numPr>
        <w:tabs>
          <w:tab w:val="clear" w:pos="720"/>
          <w:tab w:val="num" w:pos="360"/>
          <w:tab w:val="num" w:pos="1260"/>
        </w:tabs>
        <w:ind w:left="986" w:hanging="446"/>
      </w:pPr>
      <w:bookmarkStart w:id="656" w:name="_Ref36401638"/>
      <w:bookmarkStart w:id="657" w:name="_Toc41680933"/>
      <w:r w:rsidRPr="008A0812">
        <w:t>RIX Facility Plan</w:t>
      </w:r>
      <w:bookmarkEnd w:id="656"/>
      <w:bookmarkEnd w:id="657"/>
    </w:p>
    <w:p w14:paraId="3E20EC48" w14:textId="4EE28AF1" w:rsidR="004776AB" w:rsidRPr="008A0812" w:rsidRDefault="004776AB" w:rsidP="004776AB">
      <w:pPr>
        <w:pStyle w:val="BodyText"/>
      </w:pPr>
      <w:r w:rsidRPr="008A0812">
        <w:t xml:space="preserve">RIX was constructed in the </w:t>
      </w:r>
      <w:r w:rsidR="0059293F" w:rsidRPr="008A0812">
        <w:t>mid-1990s</w:t>
      </w:r>
      <w:r w:rsidRPr="008A0812">
        <w:t xml:space="preserve"> to filter and disinfect 40 mgd of secondary effluent from SBWRP and the City of Colton using percolation basins </w:t>
      </w:r>
      <w:r w:rsidR="0059293F" w:rsidRPr="008A0812">
        <w:t>to</w:t>
      </w:r>
      <w:r w:rsidRPr="008A0812">
        <w:t xml:space="preserve"> meet discharge requirements to the Santa Ana River. </w:t>
      </w:r>
      <w:r w:rsidR="00EB51EA" w:rsidRPr="008A0812">
        <w:t>T</w:t>
      </w:r>
      <w:r w:rsidRPr="008A0812">
        <w:t>ertiary filter equipment was added to bridge the gap in treatment capacity</w:t>
      </w:r>
      <w:r w:rsidR="00EB51EA" w:rsidRPr="008A0812">
        <w:t xml:space="preserve"> when infiltration rate in the percolation basin was less than anticipated</w:t>
      </w:r>
      <w:r w:rsidRPr="008A0812">
        <w:t>. With flows currently at 26.5 mgd, the tertiary filtration equipment that was added on is used only during periods of high flow. With flow rates expected to be further reduced due to recycling projects</w:t>
      </w:r>
      <w:r w:rsidR="00EB51EA" w:rsidRPr="008A0812">
        <w:t xml:space="preserve"> (and within the confines of multiple agreements, </w:t>
      </w:r>
      <w:r w:rsidR="0059293F" w:rsidRPr="008A0812">
        <w:t>commitments,</w:t>
      </w:r>
      <w:r w:rsidR="00EB51EA" w:rsidRPr="008A0812">
        <w:t xml:space="preserve"> and obligations)</w:t>
      </w:r>
      <w:r w:rsidRPr="008A0812">
        <w:t xml:space="preserve">, the RIX facility is due for an evaluation of its treatment processes and facilities at the anticipated future flowrates. </w:t>
      </w:r>
    </w:p>
    <w:p w14:paraId="101552E3" w14:textId="77777777" w:rsidR="004776AB" w:rsidRPr="008A0812" w:rsidRDefault="004776AB" w:rsidP="004776AB">
      <w:pPr>
        <w:pStyle w:val="BodyText"/>
      </w:pPr>
      <w:r w:rsidRPr="008A0812">
        <w:t>The RIX Facilities Plan should include the following tasks:</w:t>
      </w:r>
    </w:p>
    <w:p w14:paraId="1D1981F1" w14:textId="77777777" w:rsidR="004776AB" w:rsidRPr="008A0812" w:rsidRDefault="004776AB" w:rsidP="004776AB">
      <w:pPr>
        <w:pStyle w:val="Bullet"/>
        <w:overflowPunct/>
        <w:autoSpaceDE/>
        <w:autoSpaceDN/>
        <w:adjustRightInd/>
        <w:textAlignment w:val="auto"/>
      </w:pPr>
      <w:r w:rsidRPr="008A0812">
        <w:t xml:space="preserve">Evaluate existing treatment technology to meet both flow capacity and quality objections for the projected discharge requirements to the Santa Ana River. </w:t>
      </w:r>
    </w:p>
    <w:p w14:paraId="769ACC38" w14:textId="77777777" w:rsidR="004776AB" w:rsidRPr="008A0812" w:rsidRDefault="004776AB" w:rsidP="004776AB">
      <w:pPr>
        <w:pStyle w:val="Bullet"/>
        <w:overflowPunct/>
        <w:autoSpaceDE/>
        <w:autoSpaceDN/>
        <w:adjustRightInd/>
        <w:textAlignment w:val="auto"/>
      </w:pPr>
      <w:r w:rsidRPr="008A0812">
        <w:t xml:space="preserve">Flow considerations include the environmental flows determined in the HCP and other discharge obligations, and the potential for the City of Colton to recycle a portion of its secondary effluent contribution to RIX.  </w:t>
      </w:r>
    </w:p>
    <w:p w14:paraId="2B998019" w14:textId="59462B56" w:rsidR="004776AB" w:rsidRDefault="004776AB" w:rsidP="004776AB">
      <w:pPr>
        <w:pStyle w:val="Bullet"/>
        <w:overflowPunct/>
        <w:autoSpaceDE/>
        <w:autoSpaceDN/>
        <w:adjustRightInd/>
        <w:textAlignment w:val="auto"/>
      </w:pPr>
      <w:r w:rsidRPr="008A0812">
        <w:t>Water quality considerations should include potential changes to TDS and TIN discharge limitations resulting from the SAWPA study to be finalized</w:t>
      </w:r>
      <w:r w:rsidR="00EB51EA" w:rsidRPr="008A0812">
        <w:t xml:space="preserve"> and impacts of emerging contaminants such as PFAS/PFOA.</w:t>
      </w:r>
    </w:p>
    <w:p w14:paraId="73F96F8F" w14:textId="5BC3FB1D" w:rsidR="000A69A2" w:rsidRPr="008A0812" w:rsidRDefault="000A69A2" w:rsidP="004776AB">
      <w:pPr>
        <w:pStyle w:val="Bullet"/>
        <w:overflowPunct/>
        <w:autoSpaceDE/>
        <w:autoSpaceDN/>
        <w:adjustRightInd/>
        <w:textAlignment w:val="auto"/>
      </w:pPr>
      <w:r>
        <w:t>Evaluation of Electrical Infrastructure</w:t>
      </w:r>
    </w:p>
    <w:p w14:paraId="3AD40D62" w14:textId="77777777" w:rsidR="004776AB" w:rsidRPr="008A0812" w:rsidRDefault="004776AB" w:rsidP="004776AB">
      <w:pPr>
        <w:pStyle w:val="BodyText"/>
      </w:pPr>
      <w:r w:rsidRPr="008A0812">
        <w:t>The budget cost estimate for the RIX Facility Plan is approximately $130,000.</w:t>
      </w:r>
    </w:p>
    <w:p w14:paraId="74123B52" w14:textId="56D5744E" w:rsidR="004776AB" w:rsidRPr="008A0812" w:rsidRDefault="004776AB" w:rsidP="004776AB">
      <w:pPr>
        <w:pStyle w:val="Heading2"/>
        <w:keepNext w:val="0"/>
        <w:numPr>
          <w:ilvl w:val="1"/>
          <w:numId w:val="1"/>
        </w:numPr>
        <w:tabs>
          <w:tab w:val="clear" w:pos="547"/>
          <w:tab w:val="num" w:pos="446"/>
        </w:tabs>
        <w:overflowPunct/>
        <w:autoSpaceDE/>
        <w:autoSpaceDN/>
        <w:adjustRightInd/>
        <w:ind w:left="446" w:hanging="446"/>
        <w:textAlignment w:val="auto"/>
      </w:pPr>
      <w:bookmarkStart w:id="658" w:name="_Ref36403786"/>
      <w:bookmarkStart w:id="659" w:name="_Toc41680934"/>
      <w:r w:rsidRPr="008A0812">
        <w:t>Project</w:t>
      </w:r>
      <w:r w:rsidR="00EB51EA" w:rsidRPr="008A0812">
        <w:t xml:space="preserve"> Ranking and </w:t>
      </w:r>
      <w:r w:rsidR="00324063" w:rsidRPr="008A0812">
        <w:t>Recommendations</w:t>
      </w:r>
      <w:bookmarkEnd w:id="658"/>
      <w:bookmarkEnd w:id="659"/>
    </w:p>
    <w:p w14:paraId="3A7FC370" w14:textId="08856593" w:rsidR="00E06C6E" w:rsidRPr="008A0812" w:rsidRDefault="00E06C6E" w:rsidP="00E06C6E">
      <w:pPr>
        <w:pStyle w:val="BodyText"/>
      </w:pPr>
      <w:bookmarkStart w:id="660" w:name="_Ref36402840"/>
      <w:bookmarkStart w:id="661" w:name="_Toc36414121"/>
      <w:r w:rsidRPr="008A0812">
        <w:t xml:space="preserve">This section presents scoring and ranking of capital projects based on how beneficial they would be to the </w:t>
      </w:r>
      <w:r w:rsidR="00033123">
        <w:t>SBMWD</w:t>
      </w:r>
      <w:r w:rsidRPr="008A0812">
        <w:t>. High scoring projects are most beneficial, while lower scoring projects offer limited benefits. This ranking approach is the same as the one used for the near-term R&amp;R projects. Based on the ranking and additional considerations, primarily capital cost and return on investment, certain projects are recommended to be carried forward into the Capital Improvement Plan presented in Section 11.</w:t>
      </w:r>
    </w:p>
    <w:p w14:paraId="5279605A" w14:textId="77777777" w:rsidR="00E06C6E" w:rsidRPr="008A0812" w:rsidRDefault="00E06C6E" w:rsidP="00E06C6E">
      <w:pPr>
        <w:pStyle w:val="BodyText"/>
      </w:pPr>
      <w:r w:rsidRPr="008A0812">
        <w:t>The scoring system relies on four evaluation categories, same as described in Section 9.1:</w:t>
      </w:r>
    </w:p>
    <w:p w14:paraId="15722D2C" w14:textId="77777777" w:rsidR="00E06C6E" w:rsidRPr="008A0812" w:rsidRDefault="00E06C6E" w:rsidP="0059293F">
      <w:pPr>
        <w:pStyle w:val="BodyText"/>
        <w:numPr>
          <w:ilvl w:val="0"/>
          <w:numId w:val="46"/>
        </w:numPr>
        <w:spacing w:before="0"/>
      </w:pPr>
      <w:r w:rsidRPr="008A0812">
        <w:t>Reducing consequence of failure,</w:t>
      </w:r>
    </w:p>
    <w:p w14:paraId="583BA79B" w14:textId="77777777" w:rsidR="00E06C6E" w:rsidRPr="008A0812" w:rsidRDefault="00E06C6E" w:rsidP="0059293F">
      <w:pPr>
        <w:pStyle w:val="BodyText"/>
        <w:numPr>
          <w:ilvl w:val="0"/>
          <w:numId w:val="46"/>
        </w:numPr>
        <w:spacing w:before="0"/>
      </w:pPr>
      <w:r w:rsidRPr="008A0812">
        <w:t>Improving energy efficiency,</w:t>
      </w:r>
    </w:p>
    <w:p w14:paraId="0399CF1D" w14:textId="77777777" w:rsidR="00E06C6E" w:rsidRPr="008A0812" w:rsidRDefault="00E06C6E" w:rsidP="0059293F">
      <w:pPr>
        <w:pStyle w:val="BodyText"/>
        <w:numPr>
          <w:ilvl w:val="0"/>
          <w:numId w:val="46"/>
        </w:numPr>
        <w:spacing w:before="0"/>
      </w:pPr>
      <w:r w:rsidRPr="008A0812">
        <w:t xml:space="preserve">Renewing or replacing aging assets and </w:t>
      </w:r>
    </w:p>
    <w:p w14:paraId="3EAB2AEE" w14:textId="77777777" w:rsidR="00E06C6E" w:rsidRPr="008A0812" w:rsidRDefault="00E06C6E" w:rsidP="0059293F">
      <w:pPr>
        <w:pStyle w:val="BodyText"/>
        <w:numPr>
          <w:ilvl w:val="0"/>
          <w:numId w:val="46"/>
        </w:numPr>
        <w:spacing w:before="0"/>
      </w:pPr>
      <w:r w:rsidRPr="008A0812">
        <w:t>Reducing operational cost and/or simplifying operations.</w:t>
      </w:r>
    </w:p>
    <w:p w14:paraId="18546289" w14:textId="44A94C9D" w:rsidR="00E06C6E" w:rsidRPr="008A0812" w:rsidRDefault="00E06C6E" w:rsidP="00E06C6E">
      <w:pPr>
        <w:pStyle w:val="BodyText"/>
      </w:pPr>
      <w:r w:rsidRPr="008A0812">
        <w:t xml:space="preserve">Each evaluation category was assigned a weight of 1 to 3, with three being the most significant and one being the least. Weights are shown in </w:t>
      </w:r>
      <w:r w:rsidRPr="008A0812">
        <w:fldChar w:fldCharType="begin"/>
      </w:r>
      <w:r w:rsidRPr="008A0812">
        <w:instrText xml:space="preserve"> REF _Ref36414875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16</w:t>
      </w:r>
      <w:r w:rsidRPr="008A0812">
        <w:fldChar w:fldCharType="end"/>
      </w:r>
      <w:r w:rsidRPr="008A0812">
        <w:t>. Each project was given a score of 0 to 3 in each evaluation category based</w:t>
      </w:r>
      <w:r w:rsidR="000A69A2">
        <w:t xml:space="preserve"> on</w:t>
      </w:r>
      <w:r w:rsidRPr="008A0812">
        <w:t xml:space="preserve"> its relevance to the project. A score of three indicates that the category is highly relevant to a project; zero indicates no relevance. A total score was then calculated for each project by multiplying the score for each category by its weight, then summing the weighted scores. </w:t>
      </w:r>
      <w:r w:rsidRPr="008A0812">
        <w:fldChar w:fldCharType="begin"/>
      </w:r>
      <w:r w:rsidRPr="008A0812">
        <w:instrText xml:space="preserve"> REF _Ref36414875 \h </w:instrText>
      </w:r>
      <w:r w:rsidR="008A0812">
        <w:instrText xml:space="preserve"> \* MERGEFORMAT </w:instrText>
      </w:r>
      <w:r w:rsidRPr="008A0812">
        <w:fldChar w:fldCharType="separate"/>
      </w:r>
      <w:r w:rsidR="00AA68F8" w:rsidRPr="008A0812">
        <w:t xml:space="preserve">Table </w:t>
      </w:r>
      <w:r w:rsidR="00AA68F8">
        <w:rPr>
          <w:noProof/>
        </w:rPr>
        <w:t>10</w:t>
      </w:r>
      <w:r w:rsidR="00AA68F8" w:rsidRPr="008A0812">
        <w:rPr>
          <w:noProof/>
        </w:rPr>
        <w:noBreakHyphen/>
      </w:r>
      <w:r w:rsidR="00AA68F8">
        <w:rPr>
          <w:noProof/>
        </w:rPr>
        <w:t>16</w:t>
      </w:r>
      <w:r w:rsidRPr="008A0812">
        <w:fldChar w:fldCharType="end"/>
      </w:r>
      <w:r w:rsidRPr="008A0812">
        <w:t xml:space="preserve"> presents scores for each project. The projects have been sorted based on their total score in descending order. Note that the SCADA and Electrical plans are included in the scoring table below because these will result in capital projects which are well defined enough to assign scores. The RIX and Biosolids Plans will be higher level and the scope of any resulting capital projects is undefined at this point. These two plans were not included in the table but are discussed later in this section.</w:t>
      </w:r>
    </w:p>
    <w:p w14:paraId="1A4DB07B" w14:textId="600CEF22" w:rsidR="00011F52" w:rsidRPr="008A0812" w:rsidRDefault="00011F52" w:rsidP="00011F52">
      <w:pPr>
        <w:pStyle w:val="TableHeading"/>
      </w:pPr>
      <w:bookmarkStart w:id="662" w:name="_Ref36414875"/>
      <w:bookmarkStart w:id="663" w:name="_Toc41684806"/>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16</w:t>
      </w:r>
      <w:r>
        <w:fldChar w:fldCharType="end"/>
      </w:r>
      <w:bookmarkEnd w:id="660"/>
      <w:bookmarkEnd w:id="662"/>
      <w:r w:rsidRPr="008A0812">
        <w:t>: Operational Efficiency and Optimization Project Scoring and Ranking</w:t>
      </w:r>
      <w:bookmarkEnd w:id="661"/>
      <w:bookmarkEnd w:id="663"/>
    </w:p>
    <w:tbl>
      <w:tblPr>
        <w:tblW w:w="7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5"/>
        <w:gridCol w:w="960"/>
        <w:gridCol w:w="1059"/>
        <w:gridCol w:w="960"/>
        <w:gridCol w:w="960"/>
        <w:gridCol w:w="960"/>
      </w:tblGrid>
      <w:tr w:rsidR="005C39D4" w:rsidRPr="008A0812" w14:paraId="20A521F3" w14:textId="77777777" w:rsidTr="009C0ED9">
        <w:trPr>
          <w:trHeight w:val="288"/>
          <w:jc w:val="center"/>
        </w:trPr>
        <w:tc>
          <w:tcPr>
            <w:tcW w:w="2985" w:type="dxa"/>
            <w:vMerge w:val="restart"/>
            <w:shd w:val="clear" w:color="auto" w:fill="BFBFBF" w:themeFill="background1" w:themeFillShade="BF"/>
            <w:noWrap/>
            <w:vAlign w:val="bottom"/>
          </w:tcPr>
          <w:p w14:paraId="00F78E3B" w14:textId="77777777" w:rsidR="005C39D4" w:rsidRPr="008A0812" w:rsidRDefault="005C39D4" w:rsidP="005C39D4">
            <w:pPr>
              <w:rPr>
                <w:rFonts w:asciiTheme="minorHAnsi" w:hAnsiTheme="minorHAnsi" w:cs="Calibri"/>
                <w:b/>
                <w:color w:val="000000"/>
              </w:rPr>
            </w:pPr>
            <w:r w:rsidRPr="008A0812">
              <w:rPr>
                <w:rFonts w:asciiTheme="minorHAnsi" w:hAnsiTheme="minorHAnsi" w:cs="Calibri"/>
                <w:b/>
                <w:color w:val="000000"/>
              </w:rPr>
              <w:t> </w:t>
            </w:r>
          </w:p>
          <w:p w14:paraId="1DE0FC02" w14:textId="34181CCA" w:rsidR="005C39D4" w:rsidRPr="008A0812" w:rsidRDefault="005C39D4" w:rsidP="005C39D4">
            <w:pPr>
              <w:rPr>
                <w:rFonts w:asciiTheme="minorHAnsi" w:hAnsiTheme="minorHAnsi" w:cs="Calibri"/>
                <w:b/>
                <w:color w:val="000000"/>
              </w:rPr>
            </w:pPr>
            <w:r w:rsidRPr="008A0812">
              <w:rPr>
                <w:rFonts w:asciiTheme="minorHAnsi" w:hAnsiTheme="minorHAnsi" w:cs="Calibri"/>
                <w:b/>
                <w:color w:val="000000"/>
              </w:rPr>
              <w:t>Project</w:t>
            </w:r>
          </w:p>
        </w:tc>
        <w:tc>
          <w:tcPr>
            <w:tcW w:w="960" w:type="dxa"/>
            <w:vMerge w:val="restart"/>
            <w:shd w:val="clear" w:color="auto" w:fill="BFBFBF" w:themeFill="background1" w:themeFillShade="BF"/>
            <w:noWrap/>
            <w:vAlign w:val="bottom"/>
          </w:tcPr>
          <w:p w14:paraId="73A25235" w14:textId="1AD0C742"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Total Score</w:t>
            </w:r>
          </w:p>
        </w:tc>
        <w:tc>
          <w:tcPr>
            <w:tcW w:w="3939" w:type="dxa"/>
            <w:gridSpan w:val="4"/>
            <w:shd w:val="clear" w:color="auto" w:fill="BFBFBF" w:themeFill="background1" w:themeFillShade="BF"/>
            <w:vAlign w:val="bottom"/>
          </w:tcPr>
          <w:p w14:paraId="743E99F4" w14:textId="5118D19B"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 xml:space="preserve">Evaluation </w:t>
            </w:r>
            <w:r w:rsidR="00324063" w:rsidRPr="008A0812">
              <w:rPr>
                <w:rFonts w:asciiTheme="minorHAnsi" w:hAnsiTheme="minorHAnsi" w:cs="Calibri"/>
                <w:b/>
                <w:color w:val="000000"/>
              </w:rPr>
              <w:t>Category</w:t>
            </w:r>
          </w:p>
        </w:tc>
      </w:tr>
      <w:tr w:rsidR="005C39D4" w:rsidRPr="008A0812" w14:paraId="42F0816F" w14:textId="77777777" w:rsidTr="009C0ED9">
        <w:trPr>
          <w:trHeight w:val="288"/>
          <w:jc w:val="center"/>
        </w:trPr>
        <w:tc>
          <w:tcPr>
            <w:tcW w:w="2985" w:type="dxa"/>
            <w:vMerge/>
            <w:shd w:val="clear" w:color="auto" w:fill="BFBFBF" w:themeFill="background1" w:themeFillShade="BF"/>
            <w:noWrap/>
            <w:vAlign w:val="bottom"/>
            <w:hideMark/>
          </w:tcPr>
          <w:p w14:paraId="36C67C68" w14:textId="3633EC28" w:rsidR="005C39D4" w:rsidRPr="008A0812" w:rsidRDefault="005C39D4" w:rsidP="005C39D4">
            <w:pPr>
              <w:rPr>
                <w:rFonts w:asciiTheme="minorHAnsi" w:hAnsiTheme="minorHAnsi" w:cs="Calibri"/>
                <w:b/>
                <w:color w:val="000000"/>
              </w:rPr>
            </w:pPr>
          </w:p>
        </w:tc>
        <w:tc>
          <w:tcPr>
            <w:tcW w:w="960" w:type="dxa"/>
            <w:vMerge/>
            <w:shd w:val="clear" w:color="auto" w:fill="BFBFBF" w:themeFill="background1" w:themeFillShade="BF"/>
            <w:noWrap/>
            <w:vAlign w:val="bottom"/>
            <w:hideMark/>
          </w:tcPr>
          <w:p w14:paraId="39E3B0A1" w14:textId="48525D44" w:rsidR="005C39D4" w:rsidRPr="008A0812" w:rsidRDefault="005C39D4" w:rsidP="005C39D4">
            <w:pPr>
              <w:jc w:val="center"/>
              <w:rPr>
                <w:rFonts w:asciiTheme="minorHAnsi" w:hAnsiTheme="minorHAnsi"/>
                <w:b/>
                <w:sz w:val="20"/>
                <w:szCs w:val="20"/>
              </w:rPr>
            </w:pPr>
          </w:p>
        </w:tc>
        <w:tc>
          <w:tcPr>
            <w:tcW w:w="1059" w:type="dxa"/>
            <w:shd w:val="clear" w:color="auto" w:fill="BFBFBF" w:themeFill="background1" w:themeFillShade="BF"/>
            <w:noWrap/>
            <w:vAlign w:val="bottom"/>
            <w:hideMark/>
          </w:tcPr>
          <w:p w14:paraId="4DEF9181" w14:textId="77777777"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COF</w:t>
            </w:r>
          </w:p>
        </w:tc>
        <w:tc>
          <w:tcPr>
            <w:tcW w:w="960" w:type="dxa"/>
            <w:shd w:val="clear" w:color="auto" w:fill="BFBFBF" w:themeFill="background1" w:themeFillShade="BF"/>
            <w:noWrap/>
            <w:vAlign w:val="bottom"/>
            <w:hideMark/>
          </w:tcPr>
          <w:p w14:paraId="7AADCE36" w14:textId="77777777"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Energy</w:t>
            </w:r>
          </w:p>
        </w:tc>
        <w:tc>
          <w:tcPr>
            <w:tcW w:w="960" w:type="dxa"/>
            <w:shd w:val="clear" w:color="auto" w:fill="BFBFBF" w:themeFill="background1" w:themeFillShade="BF"/>
            <w:noWrap/>
            <w:vAlign w:val="bottom"/>
            <w:hideMark/>
          </w:tcPr>
          <w:p w14:paraId="78CCF157" w14:textId="77777777"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Life</w:t>
            </w:r>
          </w:p>
        </w:tc>
        <w:tc>
          <w:tcPr>
            <w:tcW w:w="960" w:type="dxa"/>
            <w:shd w:val="clear" w:color="auto" w:fill="BFBFBF" w:themeFill="background1" w:themeFillShade="BF"/>
            <w:noWrap/>
            <w:vAlign w:val="bottom"/>
            <w:hideMark/>
          </w:tcPr>
          <w:p w14:paraId="69537D08" w14:textId="77777777" w:rsidR="005C39D4" w:rsidRPr="008A0812" w:rsidRDefault="005C39D4" w:rsidP="005C39D4">
            <w:pPr>
              <w:jc w:val="center"/>
              <w:rPr>
                <w:rFonts w:asciiTheme="minorHAnsi" w:hAnsiTheme="minorHAnsi" w:cs="Calibri"/>
                <w:b/>
                <w:color w:val="000000"/>
              </w:rPr>
            </w:pPr>
            <w:r w:rsidRPr="008A0812">
              <w:rPr>
                <w:rFonts w:asciiTheme="minorHAnsi" w:hAnsiTheme="minorHAnsi" w:cs="Calibri"/>
                <w:b/>
                <w:color w:val="000000"/>
              </w:rPr>
              <w:t>Ops</w:t>
            </w:r>
          </w:p>
        </w:tc>
      </w:tr>
      <w:tr w:rsidR="005C39D4" w:rsidRPr="008A0812" w14:paraId="1D8D19E9" w14:textId="77777777" w:rsidTr="009C0ED9">
        <w:trPr>
          <w:trHeight w:val="287"/>
          <w:jc w:val="center"/>
        </w:trPr>
        <w:tc>
          <w:tcPr>
            <w:tcW w:w="2985" w:type="dxa"/>
            <w:vMerge/>
            <w:shd w:val="clear" w:color="auto" w:fill="BFBFBF" w:themeFill="background1" w:themeFillShade="BF"/>
            <w:vAlign w:val="bottom"/>
          </w:tcPr>
          <w:p w14:paraId="42E549AB" w14:textId="5EDF434E" w:rsidR="005C39D4" w:rsidRPr="008A0812" w:rsidRDefault="005C39D4" w:rsidP="005C39D4">
            <w:pPr>
              <w:rPr>
                <w:rFonts w:asciiTheme="minorHAnsi" w:hAnsiTheme="minorHAnsi" w:cs="Calibri"/>
                <w:b/>
                <w:color w:val="000000"/>
              </w:rPr>
            </w:pPr>
          </w:p>
        </w:tc>
        <w:tc>
          <w:tcPr>
            <w:tcW w:w="960" w:type="dxa"/>
            <w:vMerge/>
            <w:shd w:val="clear" w:color="auto" w:fill="BFBFBF" w:themeFill="background1" w:themeFillShade="BF"/>
            <w:vAlign w:val="bottom"/>
          </w:tcPr>
          <w:p w14:paraId="7147FB10" w14:textId="06CCAD07" w:rsidR="005C39D4" w:rsidRPr="008A0812" w:rsidRDefault="005C39D4" w:rsidP="005C39D4">
            <w:pPr>
              <w:jc w:val="center"/>
              <w:rPr>
                <w:rFonts w:asciiTheme="minorHAnsi" w:hAnsiTheme="minorHAnsi" w:cs="Calibri"/>
                <w:b/>
                <w:color w:val="000000"/>
              </w:rPr>
            </w:pPr>
          </w:p>
        </w:tc>
        <w:tc>
          <w:tcPr>
            <w:tcW w:w="3939" w:type="dxa"/>
            <w:gridSpan w:val="4"/>
            <w:shd w:val="clear" w:color="auto" w:fill="BFBFBF" w:themeFill="background1" w:themeFillShade="BF"/>
            <w:vAlign w:val="bottom"/>
          </w:tcPr>
          <w:p w14:paraId="01546401" w14:textId="6442F8B6" w:rsidR="005C39D4" w:rsidRPr="008A0812" w:rsidRDefault="00324063" w:rsidP="005C39D4">
            <w:pPr>
              <w:jc w:val="center"/>
              <w:rPr>
                <w:rFonts w:asciiTheme="minorHAnsi" w:hAnsiTheme="minorHAnsi" w:cs="Calibri"/>
                <w:b/>
                <w:color w:val="000000"/>
              </w:rPr>
            </w:pPr>
            <w:r w:rsidRPr="008A0812">
              <w:rPr>
                <w:rFonts w:asciiTheme="minorHAnsi" w:hAnsiTheme="minorHAnsi" w:cs="Calibri"/>
                <w:b/>
                <w:color w:val="000000"/>
              </w:rPr>
              <w:t>Category</w:t>
            </w:r>
            <w:r w:rsidR="005C39D4" w:rsidRPr="008A0812">
              <w:rPr>
                <w:rFonts w:asciiTheme="minorHAnsi" w:hAnsiTheme="minorHAnsi" w:cs="Calibri"/>
                <w:b/>
                <w:color w:val="000000"/>
              </w:rPr>
              <w:t xml:space="preserve"> Weight</w:t>
            </w:r>
          </w:p>
        </w:tc>
      </w:tr>
      <w:tr w:rsidR="005C39D4" w:rsidRPr="008A0812" w14:paraId="62D6D51A" w14:textId="77777777" w:rsidTr="009C0ED9">
        <w:trPr>
          <w:trHeight w:val="170"/>
          <w:jc w:val="center"/>
        </w:trPr>
        <w:tc>
          <w:tcPr>
            <w:tcW w:w="2985" w:type="dxa"/>
            <w:vMerge/>
            <w:shd w:val="clear" w:color="auto" w:fill="BFBFBF" w:themeFill="background1" w:themeFillShade="BF"/>
            <w:vAlign w:val="bottom"/>
            <w:hideMark/>
          </w:tcPr>
          <w:p w14:paraId="1FA25DE3" w14:textId="6063BBB0" w:rsidR="005C39D4" w:rsidRPr="008A0812" w:rsidRDefault="005C39D4" w:rsidP="005C39D4">
            <w:pPr>
              <w:rPr>
                <w:rFonts w:asciiTheme="minorHAnsi" w:hAnsiTheme="minorHAnsi" w:cs="Calibri"/>
                <w:b/>
                <w:color w:val="000000"/>
              </w:rPr>
            </w:pPr>
          </w:p>
        </w:tc>
        <w:tc>
          <w:tcPr>
            <w:tcW w:w="960" w:type="dxa"/>
            <w:vMerge/>
            <w:shd w:val="clear" w:color="auto" w:fill="BFBFBF" w:themeFill="background1" w:themeFillShade="BF"/>
            <w:vAlign w:val="bottom"/>
            <w:hideMark/>
          </w:tcPr>
          <w:p w14:paraId="03CA9FF7" w14:textId="15713BD4" w:rsidR="005C39D4" w:rsidRPr="008A0812" w:rsidRDefault="005C39D4" w:rsidP="005C39D4">
            <w:pPr>
              <w:jc w:val="center"/>
              <w:rPr>
                <w:rFonts w:asciiTheme="minorHAnsi" w:hAnsiTheme="minorHAnsi" w:cs="Calibri"/>
                <w:b/>
                <w:color w:val="000000"/>
              </w:rPr>
            </w:pPr>
          </w:p>
        </w:tc>
        <w:tc>
          <w:tcPr>
            <w:tcW w:w="1059" w:type="dxa"/>
            <w:shd w:val="clear" w:color="auto" w:fill="BFBFBF" w:themeFill="background1" w:themeFillShade="BF"/>
            <w:vAlign w:val="bottom"/>
            <w:hideMark/>
          </w:tcPr>
          <w:p w14:paraId="1194003D" w14:textId="77777777" w:rsidR="005C39D4" w:rsidRPr="008A0812" w:rsidRDefault="005C39D4" w:rsidP="005C39D4">
            <w:pPr>
              <w:jc w:val="center"/>
              <w:rPr>
                <w:rFonts w:asciiTheme="minorHAnsi" w:hAnsiTheme="minorHAnsi" w:cs="Calibri"/>
                <w:color w:val="000000"/>
              </w:rPr>
            </w:pPr>
            <w:r w:rsidRPr="008A0812">
              <w:rPr>
                <w:rFonts w:asciiTheme="minorHAnsi" w:hAnsiTheme="minorHAnsi" w:cs="Calibri"/>
                <w:color w:val="000000"/>
              </w:rPr>
              <w:t>3</w:t>
            </w:r>
          </w:p>
        </w:tc>
        <w:tc>
          <w:tcPr>
            <w:tcW w:w="960" w:type="dxa"/>
            <w:shd w:val="clear" w:color="auto" w:fill="BFBFBF" w:themeFill="background1" w:themeFillShade="BF"/>
            <w:vAlign w:val="bottom"/>
            <w:hideMark/>
          </w:tcPr>
          <w:p w14:paraId="75D9CFFE" w14:textId="77777777" w:rsidR="005C39D4" w:rsidRPr="008A0812" w:rsidRDefault="005C39D4" w:rsidP="005C39D4">
            <w:pPr>
              <w:jc w:val="center"/>
              <w:rPr>
                <w:rFonts w:asciiTheme="minorHAnsi" w:hAnsiTheme="minorHAnsi" w:cs="Calibri"/>
                <w:color w:val="000000"/>
              </w:rPr>
            </w:pPr>
            <w:r w:rsidRPr="008A0812">
              <w:rPr>
                <w:rFonts w:asciiTheme="minorHAnsi" w:hAnsiTheme="minorHAnsi" w:cs="Calibri"/>
                <w:color w:val="000000"/>
              </w:rPr>
              <w:t>1</w:t>
            </w:r>
          </w:p>
        </w:tc>
        <w:tc>
          <w:tcPr>
            <w:tcW w:w="960" w:type="dxa"/>
            <w:shd w:val="clear" w:color="auto" w:fill="BFBFBF" w:themeFill="background1" w:themeFillShade="BF"/>
            <w:vAlign w:val="bottom"/>
            <w:hideMark/>
          </w:tcPr>
          <w:p w14:paraId="400D2714" w14:textId="77777777" w:rsidR="005C39D4" w:rsidRPr="008A0812" w:rsidRDefault="005C39D4" w:rsidP="005C39D4">
            <w:pPr>
              <w:jc w:val="center"/>
              <w:rPr>
                <w:rFonts w:asciiTheme="minorHAnsi" w:hAnsiTheme="minorHAnsi" w:cs="Calibri"/>
                <w:color w:val="000000"/>
              </w:rPr>
            </w:pPr>
            <w:r w:rsidRPr="008A0812">
              <w:rPr>
                <w:rFonts w:asciiTheme="minorHAnsi" w:hAnsiTheme="minorHAnsi" w:cs="Calibri"/>
                <w:color w:val="000000"/>
              </w:rPr>
              <w:t>2</w:t>
            </w:r>
          </w:p>
        </w:tc>
        <w:tc>
          <w:tcPr>
            <w:tcW w:w="960" w:type="dxa"/>
            <w:shd w:val="clear" w:color="auto" w:fill="BFBFBF" w:themeFill="background1" w:themeFillShade="BF"/>
            <w:vAlign w:val="bottom"/>
            <w:hideMark/>
          </w:tcPr>
          <w:p w14:paraId="53A10201" w14:textId="77777777" w:rsidR="005C39D4" w:rsidRPr="008A0812" w:rsidRDefault="005C39D4" w:rsidP="005C39D4">
            <w:pPr>
              <w:jc w:val="center"/>
              <w:rPr>
                <w:rFonts w:asciiTheme="minorHAnsi" w:hAnsiTheme="minorHAnsi" w:cs="Calibri"/>
                <w:color w:val="000000"/>
              </w:rPr>
            </w:pPr>
            <w:r w:rsidRPr="008A0812">
              <w:rPr>
                <w:rFonts w:asciiTheme="minorHAnsi" w:hAnsiTheme="minorHAnsi" w:cs="Calibri"/>
                <w:color w:val="000000"/>
              </w:rPr>
              <w:t>1</w:t>
            </w:r>
          </w:p>
        </w:tc>
      </w:tr>
      <w:tr w:rsidR="005C39D4" w:rsidRPr="008A0812" w14:paraId="79BB21B1" w14:textId="77777777" w:rsidTr="009C0ED9">
        <w:trPr>
          <w:trHeight w:val="288"/>
          <w:jc w:val="center"/>
        </w:trPr>
        <w:tc>
          <w:tcPr>
            <w:tcW w:w="2985" w:type="dxa"/>
            <w:vMerge/>
            <w:shd w:val="clear" w:color="auto" w:fill="auto"/>
            <w:noWrap/>
            <w:vAlign w:val="bottom"/>
          </w:tcPr>
          <w:p w14:paraId="480C59AE" w14:textId="6458D91C" w:rsidR="005C39D4" w:rsidRPr="008A0812" w:rsidRDefault="005C39D4" w:rsidP="005C39D4">
            <w:pPr>
              <w:rPr>
                <w:rFonts w:asciiTheme="minorHAnsi" w:hAnsiTheme="minorHAnsi" w:cs="Calibri"/>
                <w:color w:val="000000"/>
              </w:rPr>
            </w:pPr>
          </w:p>
        </w:tc>
        <w:tc>
          <w:tcPr>
            <w:tcW w:w="960" w:type="dxa"/>
            <w:vMerge/>
            <w:shd w:val="clear" w:color="auto" w:fill="auto"/>
            <w:noWrap/>
            <w:vAlign w:val="bottom"/>
          </w:tcPr>
          <w:p w14:paraId="1CD934B7" w14:textId="657DF6EE" w:rsidR="005C39D4" w:rsidRPr="008A0812" w:rsidRDefault="005C39D4" w:rsidP="005C39D4">
            <w:pPr>
              <w:jc w:val="center"/>
              <w:rPr>
                <w:rFonts w:asciiTheme="minorHAnsi" w:hAnsiTheme="minorHAnsi" w:cs="Calibri"/>
                <w:color w:val="000000"/>
              </w:rPr>
            </w:pPr>
          </w:p>
        </w:tc>
        <w:tc>
          <w:tcPr>
            <w:tcW w:w="3939" w:type="dxa"/>
            <w:gridSpan w:val="4"/>
            <w:shd w:val="clear" w:color="auto" w:fill="BFBFBF" w:themeFill="background1" w:themeFillShade="BF"/>
            <w:noWrap/>
            <w:vAlign w:val="bottom"/>
          </w:tcPr>
          <w:p w14:paraId="7B90B6A0" w14:textId="5E233AEE" w:rsidR="005C39D4" w:rsidRPr="008A0812" w:rsidRDefault="00324063" w:rsidP="005C39D4">
            <w:pPr>
              <w:jc w:val="center"/>
              <w:rPr>
                <w:rFonts w:asciiTheme="minorHAnsi" w:hAnsiTheme="minorHAnsi" w:cs="Calibri"/>
                <w:b/>
                <w:color w:val="000000"/>
              </w:rPr>
            </w:pPr>
            <w:r w:rsidRPr="008A0812">
              <w:rPr>
                <w:rFonts w:asciiTheme="minorHAnsi" w:hAnsiTheme="minorHAnsi" w:cs="Calibri"/>
                <w:b/>
                <w:color w:val="000000"/>
              </w:rPr>
              <w:t>Category</w:t>
            </w:r>
            <w:r w:rsidR="005C39D4" w:rsidRPr="008A0812">
              <w:rPr>
                <w:rFonts w:asciiTheme="minorHAnsi" w:hAnsiTheme="minorHAnsi" w:cs="Calibri"/>
                <w:b/>
                <w:color w:val="000000"/>
              </w:rPr>
              <w:t xml:space="preserve"> Score</w:t>
            </w:r>
          </w:p>
        </w:tc>
      </w:tr>
      <w:tr w:rsidR="005C39D4" w:rsidRPr="008A0812" w14:paraId="3045300A" w14:textId="77777777" w:rsidTr="009C0ED9">
        <w:trPr>
          <w:trHeight w:val="288"/>
          <w:jc w:val="center"/>
        </w:trPr>
        <w:tc>
          <w:tcPr>
            <w:tcW w:w="7884" w:type="dxa"/>
            <w:gridSpan w:val="6"/>
            <w:shd w:val="clear" w:color="auto" w:fill="auto"/>
            <w:noWrap/>
            <w:vAlign w:val="bottom"/>
          </w:tcPr>
          <w:p w14:paraId="33C1E399" w14:textId="59A91466" w:rsidR="005C39D4" w:rsidRPr="008A0812" w:rsidRDefault="005C39D4" w:rsidP="005C39D4">
            <w:pPr>
              <w:rPr>
                <w:rFonts w:asciiTheme="minorHAnsi" w:hAnsiTheme="minorHAnsi" w:cs="Calibri"/>
                <w:b/>
              </w:rPr>
            </w:pPr>
            <w:r w:rsidRPr="008A0812">
              <w:rPr>
                <w:rFonts w:asciiTheme="minorHAnsi" w:hAnsiTheme="minorHAnsi" w:cs="Calibri"/>
                <w:b/>
              </w:rPr>
              <w:t>Recommended Projects</w:t>
            </w:r>
          </w:p>
        </w:tc>
      </w:tr>
      <w:tr w:rsidR="005C39D4" w:rsidRPr="008A0812" w14:paraId="73FDDEBC" w14:textId="77777777" w:rsidTr="009C0ED9">
        <w:trPr>
          <w:trHeight w:val="288"/>
          <w:jc w:val="center"/>
        </w:trPr>
        <w:tc>
          <w:tcPr>
            <w:tcW w:w="2985" w:type="dxa"/>
            <w:shd w:val="clear" w:color="auto" w:fill="auto"/>
            <w:noWrap/>
            <w:vAlign w:val="bottom"/>
            <w:hideMark/>
          </w:tcPr>
          <w:p w14:paraId="66BA2022" w14:textId="45BDA92E" w:rsidR="005C39D4" w:rsidRPr="008A0812" w:rsidRDefault="009C0ED9" w:rsidP="005C39D4">
            <w:pPr>
              <w:rPr>
                <w:rFonts w:asciiTheme="minorHAnsi" w:hAnsiTheme="minorHAnsi" w:cs="Calibri"/>
              </w:rPr>
            </w:pPr>
            <w:r w:rsidRPr="008A0812">
              <w:rPr>
                <w:rFonts w:asciiTheme="minorHAnsi" w:hAnsiTheme="minorHAnsi" w:cs="Calibri"/>
              </w:rPr>
              <w:t>Unit 3 Expansion and Completion</w:t>
            </w:r>
          </w:p>
        </w:tc>
        <w:tc>
          <w:tcPr>
            <w:tcW w:w="960" w:type="dxa"/>
            <w:shd w:val="clear" w:color="auto" w:fill="auto"/>
            <w:noWrap/>
            <w:vAlign w:val="bottom"/>
            <w:hideMark/>
          </w:tcPr>
          <w:p w14:paraId="0EB7F76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18</w:t>
            </w:r>
          </w:p>
        </w:tc>
        <w:tc>
          <w:tcPr>
            <w:tcW w:w="1059" w:type="dxa"/>
            <w:shd w:val="clear" w:color="auto" w:fill="auto"/>
            <w:noWrap/>
            <w:vAlign w:val="bottom"/>
            <w:hideMark/>
          </w:tcPr>
          <w:p w14:paraId="59A45A8E"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1132EEC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69FEFF10"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768C008B"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r>
      <w:tr w:rsidR="005C39D4" w:rsidRPr="008A0812" w14:paraId="2FD8D2A9" w14:textId="77777777" w:rsidTr="009C0ED9">
        <w:trPr>
          <w:trHeight w:val="288"/>
          <w:jc w:val="center"/>
        </w:trPr>
        <w:tc>
          <w:tcPr>
            <w:tcW w:w="2985" w:type="dxa"/>
            <w:shd w:val="clear" w:color="auto" w:fill="auto"/>
            <w:noWrap/>
            <w:vAlign w:val="bottom"/>
            <w:hideMark/>
          </w:tcPr>
          <w:p w14:paraId="6D56D771" w14:textId="77777777" w:rsidR="005C39D4" w:rsidRPr="008A0812" w:rsidRDefault="005C39D4" w:rsidP="005C39D4">
            <w:pPr>
              <w:rPr>
                <w:rFonts w:asciiTheme="minorHAnsi" w:hAnsiTheme="minorHAnsi" w:cs="Calibri"/>
              </w:rPr>
            </w:pPr>
            <w:r w:rsidRPr="008A0812">
              <w:rPr>
                <w:rFonts w:asciiTheme="minorHAnsi" w:hAnsiTheme="minorHAnsi" w:cs="Calibri"/>
              </w:rPr>
              <w:t>Electrical Master Plan</w:t>
            </w:r>
          </w:p>
        </w:tc>
        <w:tc>
          <w:tcPr>
            <w:tcW w:w="960" w:type="dxa"/>
            <w:shd w:val="clear" w:color="auto" w:fill="auto"/>
            <w:noWrap/>
            <w:vAlign w:val="bottom"/>
            <w:hideMark/>
          </w:tcPr>
          <w:p w14:paraId="4412801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16</w:t>
            </w:r>
          </w:p>
        </w:tc>
        <w:tc>
          <w:tcPr>
            <w:tcW w:w="1059" w:type="dxa"/>
            <w:shd w:val="clear" w:color="auto" w:fill="auto"/>
            <w:noWrap/>
            <w:vAlign w:val="bottom"/>
            <w:hideMark/>
          </w:tcPr>
          <w:p w14:paraId="09F1E9A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209D3CE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4B363B3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7A8A89E3"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r>
      <w:tr w:rsidR="005C39D4" w:rsidRPr="008A0812" w14:paraId="702016AA" w14:textId="77777777" w:rsidTr="009C0ED9">
        <w:trPr>
          <w:trHeight w:val="288"/>
          <w:jc w:val="center"/>
        </w:trPr>
        <w:tc>
          <w:tcPr>
            <w:tcW w:w="2985" w:type="dxa"/>
            <w:shd w:val="clear" w:color="auto" w:fill="auto"/>
            <w:noWrap/>
            <w:vAlign w:val="bottom"/>
            <w:hideMark/>
          </w:tcPr>
          <w:p w14:paraId="2C16675A" w14:textId="77777777" w:rsidR="005C39D4" w:rsidRPr="008A0812" w:rsidRDefault="005C39D4" w:rsidP="005C39D4">
            <w:pPr>
              <w:rPr>
                <w:rFonts w:asciiTheme="minorHAnsi" w:hAnsiTheme="minorHAnsi" w:cs="Calibri"/>
              </w:rPr>
            </w:pPr>
            <w:r w:rsidRPr="008A0812">
              <w:rPr>
                <w:rFonts w:asciiTheme="minorHAnsi" w:hAnsiTheme="minorHAnsi" w:cs="Calibri"/>
              </w:rPr>
              <w:t>SCADA Plan &amp; Upgrades</w:t>
            </w:r>
          </w:p>
        </w:tc>
        <w:tc>
          <w:tcPr>
            <w:tcW w:w="960" w:type="dxa"/>
            <w:shd w:val="clear" w:color="auto" w:fill="auto"/>
            <w:noWrap/>
            <w:vAlign w:val="bottom"/>
            <w:hideMark/>
          </w:tcPr>
          <w:p w14:paraId="58F3C629"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15</w:t>
            </w:r>
          </w:p>
        </w:tc>
        <w:tc>
          <w:tcPr>
            <w:tcW w:w="1059" w:type="dxa"/>
            <w:shd w:val="clear" w:color="auto" w:fill="auto"/>
            <w:noWrap/>
            <w:vAlign w:val="bottom"/>
            <w:hideMark/>
          </w:tcPr>
          <w:p w14:paraId="50F55053"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6E17694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132E9C91"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7E391D25"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r>
      <w:tr w:rsidR="005C39D4" w:rsidRPr="008A0812" w14:paraId="59DF2A56" w14:textId="77777777" w:rsidTr="009C0ED9">
        <w:trPr>
          <w:trHeight w:val="288"/>
          <w:jc w:val="center"/>
        </w:trPr>
        <w:tc>
          <w:tcPr>
            <w:tcW w:w="2985" w:type="dxa"/>
            <w:shd w:val="clear" w:color="auto" w:fill="auto"/>
            <w:noWrap/>
            <w:vAlign w:val="bottom"/>
            <w:hideMark/>
          </w:tcPr>
          <w:p w14:paraId="1A126C46" w14:textId="77777777" w:rsidR="005C39D4" w:rsidRPr="008A0812" w:rsidRDefault="005C39D4" w:rsidP="005C39D4">
            <w:pPr>
              <w:rPr>
                <w:rFonts w:asciiTheme="minorHAnsi" w:hAnsiTheme="minorHAnsi" w:cs="Calibri"/>
              </w:rPr>
            </w:pPr>
            <w:r w:rsidRPr="008A0812">
              <w:rPr>
                <w:rFonts w:asciiTheme="minorHAnsi" w:hAnsiTheme="minorHAnsi" w:cs="Calibri"/>
              </w:rPr>
              <w:t>Digester B Replacement</w:t>
            </w:r>
          </w:p>
        </w:tc>
        <w:tc>
          <w:tcPr>
            <w:tcW w:w="960" w:type="dxa"/>
            <w:shd w:val="clear" w:color="auto" w:fill="auto"/>
            <w:noWrap/>
            <w:vAlign w:val="bottom"/>
            <w:hideMark/>
          </w:tcPr>
          <w:p w14:paraId="0C89B3F4"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14</w:t>
            </w:r>
          </w:p>
        </w:tc>
        <w:tc>
          <w:tcPr>
            <w:tcW w:w="1059" w:type="dxa"/>
            <w:shd w:val="clear" w:color="auto" w:fill="auto"/>
            <w:noWrap/>
            <w:vAlign w:val="bottom"/>
            <w:hideMark/>
          </w:tcPr>
          <w:p w14:paraId="5AB54B2C"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7811BDB5"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5BA7CA14"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4F004EE3"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r>
      <w:tr w:rsidR="005C39D4" w:rsidRPr="008A0812" w14:paraId="16383671" w14:textId="77777777" w:rsidTr="009C0ED9">
        <w:trPr>
          <w:trHeight w:val="288"/>
          <w:jc w:val="center"/>
        </w:trPr>
        <w:tc>
          <w:tcPr>
            <w:tcW w:w="2985" w:type="dxa"/>
            <w:shd w:val="clear" w:color="auto" w:fill="auto"/>
            <w:noWrap/>
            <w:vAlign w:val="bottom"/>
            <w:hideMark/>
          </w:tcPr>
          <w:p w14:paraId="61681735" w14:textId="77777777" w:rsidR="005C39D4" w:rsidRPr="008A0812" w:rsidRDefault="005C39D4" w:rsidP="005C39D4">
            <w:pPr>
              <w:rPr>
                <w:rFonts w:asciiTheme="minorHAnsi" w:hAnsiTheme="minorHAnsi" w:cs="Calibri"/>
              </w:rPr>
            </w:pPr>
            <w:r w:rsidRPr="008A0812">
              <w:rPr>
                <w:rFonts w:asciiTheme="minorHAnsi" w:hAnsiTheme="minorHAnsi" w:cs="Calibri"/>
              </w:rPr>
              <w:t>Digester Cleaning</w:t>
            </w:r>
          </w:p>
        </w:tc>
        <w:tc>
          <w:tcPr>
            <w:tcW w:w="960" w:type="dxa"/>
            <w:shd w:val="clear" w:color="auto" w:fill="auto"/>
            <w:noWrap/>
            <w:vAlign w:val="bottom"/>
            <w:hideMark/>
          </w:tcPr>
          <w:p w14:paraId="060A8629"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14</w:t>
            </w:r>
          </w:p>
        </w:tc>
        <w:tc>
          <w:tcPr>
            <w:tcW w:w="1059" w:type="dxa"/>
            <w:shd w:val="clear" w:color="auto" w:fill="auto"/>
            <w:noWrap/>
            <w:vAlign w:val="bottom"/>
            <w:hideMark/>
          </w:tcPr>
          <w:p w14:paraId="394EC688"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1E23193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438B033C"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4707EDB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r>
      <w:tr w:rsidR="005C39D4" w:rsidRPr="008A0812" w14:paraId="730A675A" w14:textId="77777777" w:rsidTr="009C0ED9">
        <w:trPr>
          <w:trHeight w:val="288"/>
          <w:jc w:val="center"/>
        </w:trPr>
        <w:tc>
          <w:tcPr>
            <w:tcW w:w="2985" w:type="dxa"/>
            <w:shd w:val="clear" w:color="auto" w:fill="auto"/>
            <w:noWrap/>
            <w:vAlign w:val="bottom"/>
            <w:hideMark/>
          </w:tcPr>
          <w:p w14:paraId="058D4B2C" w14:textId="714FE3A6" w:rsidR="005C39D4" w:rsidRPr="008A0812" w:rsidRDefault="005C39D4" w:rsidP="005C39D4">
            <w:pPr>
              <w:rPr>
                <w:rFonts w:asciiTheme="minorHAnsi" w:hAnsiTheme="minorHAnsi" w:cs="Calibri"/>
              </w:rPr>
            </w:pPr>
            <w:r w:rsidRPr="008A0812">
              <w:rPr>
                <w:rFonts w:asciiTheme="minorHAnsi" w:hAnsiTheme="minorHAnsi" w:cs="Calibri"/>
              </w:rPr>
              <w:t>Liquid Process Opt</w:t>
            </w:r>
            <w:r w:rsidR="009C0ED9" w:rsidRPr="008A0812">
              <w:rPr>
                <w:rFonts w:asciiTheme="minorHAnsi" w:hAnsiTheme="minorHAnsi" w:cs="Calibri"/>
              </w:rPr>
              <w:t>imization</w:t>
            </w:r>
          </w:p>
        </w:tc>
        <w:tc>
          <w:tcPr>
            <w:tcW w:w="960" w:type="dxa"/>
            <w:shd w:val="clear" w:color="auto" w:fill="auto"/>
            <w:noWrap/>
            <w:vAlign w:val="bottom"/>
            <w:hideMark/>
          </w:tcPr>
          <w:p w14:paraId="6D279E5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8</w:t>
            </w:r>
          </w:p>
        </w:tc>
        <w:tc>
          <w:tcPr>
            <w:tcW w:w="1059" w:type="dxa"/>
            <w:shd w:val="clear" w:color="auto" w:fill="auto"/>
            <w:noWrap/>
            <w:vAlign w:val="bottom"/>
            <w:hideMark/>
          </w:tcPr>
          <w:p w14:paraId="2733C47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0804B272"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373E6F25"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713AACF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r>
      <w:tr w:rsidR="005C39D4" w:rsidRPr="008A0812" w14:paraId="2C9FEB30" w14:textId="77777777" w:rsidTr="009C0ED9">
        <w:trPr>
          <w:trHeight w:val="288"/>
          <w:jc w:val="center"/>
        </w:trPr>
        <w:tc>
          <w:tcPr>
            <w:tcW w:w="2985" w:type="dxa"/>
            <w:shd w:val="clear" w:color="auto" w:fill="auto"/>
            <w:noWrap/>
            <w:vAlign w:val="bottom"/>
            <w:hideMark/>
          </w:tcPr>
          <w:p w14:paraId="712BEFFD" w14:textId="77777777" w:rsidR="005C39D4" w:rsidRPr="008A0812" w:rsidRDefault="005C39D4" w:rsidP="005C39D4">
            <w:pPr>
              <w:rPr>
                <w:rFonts w:asciiTheme="minorHAnsi" w:hAnsiTheme="minorHAnsi" w:cs="Calibri"/>
              </w:rPr>
            </w:pPr>
            <w:r w:rsidRPr="008A0812">
              <w:rPr>
                <w:rFonts w:asciiTheme="minorHAnsi" w:hAnsiTheme="minorHAnsi" w:cs="Calibri"/>
              </w:rPr>
              <w:t>CEPT</w:t>
            </w:r>
          </w:p>
        </w:tc>
        <w:tc>
          <w:tcPr>
            <w:tcW w:w="960" w:type="dxa"/>
            <w:shd w:val="clear" w:color="auto" w:fill="auto"/>
            <w:noWrap/>
            <w:vAlign w:val="bottom"/>
            <w:hideMark/>
          </w:tcPr>
          <w:p w14:paraId="23D3FA99"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8</w:t>
            </w:r>
          </w:p>
        </w:tc>
        <w:tc>
          <w:tcPr>
            <w:tcW w:w="1059" w:type="dxa"/>
            <w:shd w:val="clear" w:color="auto" w:fill="auto"/>
            <w:noWrap/>
            <w:vAlign w:val="bottom"/>
            <w:hideMark/>
          </w:tcPr>
          <w:p w14:paraId="6CA7C16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7AB3EE6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960" w:type="dxa"/>
            <w:shd w:val="clear" w:color="auto" w:fill="auto"/>
            <w:noWrap/>
            <w:vAlign w:val="bottom"/>
            <w:hideMark/>
          </w:tcPr>
          <w:p w14:paraId="63CDB8A9"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6632241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r>
      <w:tr w:rsidR="005C39D4" w:rsidRPr="008A0812" w14:paraId="5862A2FA" w14:textId="77777777" w:rsidTr="009C0ED9">
        <w:trPr>
          <w:trHeight w:val="288"/>
          <w:jc w:val="center"/>
        </w:trPr>
        <w:tc>
          <w:tcPr>
            <w:tcW w:w="2985" w:type="dxa"/>
            <w:shd w:val="clear" w:color="auto" w:fill="auto"/>
            <w:noWrap/>
            <w:vAlign w:val="bottom"/>
            <w:hideMark/>
          </w:tcPr>
          <w:p w14:paraId="0E0E5FF1" w14:textId="77777777" w:rsidR="005C39D4" w:rsidRPr="008A0812" w:rsidRDefault="005C39D4" w:rsidP="005C39D4">
            <w:pPr>
              <w:rPr>
                <w:rFonts w:asciiTheme="minorHAnsi" w:hAnsiTheme="minorHAnsi" w:cs="Calibri"/>
              </w:rPr>
            </w:pPr>
            <w:r w:rsidRPr="008A0812">
              <w:rPr>
                <w:rFonts w:asciiTheme="minorHAnsi" w:hAnsiTheme="minorHAnsi" w:cs="Calibri"/>
              </w:rPr>
              <w:t>Brine Line MH</w:t>
            </w:r>
          </w:p>
        </w:tc>
        <w:tc>
          <w:tcPr>
            <w:tcW w:w="960" w:type="dxa"/>
            <w:shd w:val="clear" w:color="auto" w:fill="auto"/>
            <w:noWrap/>
            <w:vAlign w:val="bottom"/>
            <w:hideMark/>
          </w:tcPr>
          <w:p w14:paraId="3FA054B5"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6</w:t>
            </w:r>
          </w:p>
        </w:tc>
        <w:tc>
          <w:tcPr>
            <w:tcW w:w="1059" w:type="dxa"/>
            <w:shd w:val="clear" w:color="auto" w:fill="auto"/>
            <w:noWrap/>
            <w:vAlign w:val="bottom"/>
            <w:hideMark/>
          </w:tcPr>
          <w:p w14:paraId="68878AB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32E26BA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334883D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7FF796D7"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r>
      <w:tr w:rsidR="005C39D4" w:rsidRPr="008A0812" w14:paraId="69823943" w14:textId="77777777" w:rsidTr="009C0ED9">
        <w:trPr>
          <w:trHeight w:val="288"/>
          <w:jc w:val="center"/>
        </w:trPr>
        <w:tc>
          <w:tcPr>
            <w:tcW w:w="7884" w:type="dxa"/>
            <w:gridSpan w:val="6"/>
            <w:shd w:val="clear" w:color="auto" w:fill="auto"/>
            <w:noWrap/>
            <w:vAlign w:val="bottom"/>
          </w:tcPr>
          <w:p w14:paraId="7DCAD60A" w14:textId="366E56F1" w:rsidR="005C39D4" w:rsidRPr="008A0812" w:rsidRDefault="005C39D4" w:rsidP="005C39D4">
            <w:pPr>
              <w:rPr>
                <w:rFonts w:asciiTheme="minorHAnsi" w:hAnsiTheme="minorHAnsi" w:cs="Calibri"/>
              </w:rPr>
            </w:pPr>
            <w:r w:rsidRPr="008A0812">
              <w:rPr>
                <w:rFonts w:asciiTheme="minorHAnsi" w:hAnsiTheme="minorHAnsi" w:cs="Calibri"/>
                <w:b/>
              </w:rPr>
              <w:t>Not-Recommended Projects</w:t>
            </w:r>
          </w:p>
        </w:tc>
      </w:tr>
      <w:tr w:rsidR="005C39D4" w:rsidRPr="008A0812" w14:paraId="0F0E1465" w14:textId="77777777" w:rsidTr="009C0ED9">
        <w:trPr>
          <w:trHeight w:val="288"/>
          <w:jc w:val="center"/>
        </w:trPr>
        <w:tc>
          <w:tcPr>
            <w:tcW w:w="2985" w:type="dxa"/>
            <w:shd w:val="clear" w:color="auto" w:fill="auto"/>
            <w:noWrap/>
            <w:vAlign w:val="bottom"/>
            <w:hideMark/>
          </w:tcPr>
          <w:p w14:paraId="5B1327D0" w14:textId="77777777" w:rsidR="005C39D4" w:rsidRPr="008A0812" w:rsidRDefault="005C39D4" w:rsidP="005C39D4">
            <w:pPr>
              <w:rPr>
                <w:rFonts w:asciiTheme="minorHAnsi" w:hAnsiTheme="minorHAnsi" w:cs="Calibri"/>
              </w:rPr>
            </w:pPr>
            <w:r w:rsidRPr="008A0812">
              <w:rPr>
                <w:rFonts w:asciiTheme="minorHAnsi" w:hAnsiTheme="minorHAnsi" w:cs="Calibri"/>
              </w:rPr>
              <w:t>NRC Diffused Air</w:t>
            </w:r>
          </w:p>
        </w:tc>
        <w:tc>
          <w:tcPr>
            <w:tcW w:w="960" w:type="dxa"/>
            <w:shd w:val="clear" w:color="auto" w:fill="auto"/>
            <w:noWrap/>
            <w:vAlign w:val="bottom"/>
            <w:hideMark/>
          </w:tcPr>
          <w:p w14:paraId="410318B8"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5</w:t>
            </w:r>
          </w:p>
        </w:tc>
        <w:tc>
          <w:tcPr>
            <w:tcW w:w="1059" w:type="dxa"/>
            <w:shd w:val="clear" w:color="auto" w:fill="auto"/>
            <w:noWrap/>
            <w:vAlign w:val="bottom"/>
            <w:hideMark/>
          </w:tcPr>
          <w:p w14:paraId="36E429A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6A1EA104"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3413FCE2"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7DD92930"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r>
      <w:tr w:rsidR="005C39D4" w:rsidRPr="008A0812" w14:paraId="4217B24A" w14:textId="77777777" w:rsidTr="009C0ED9">
        <w:trPr>
          <w:trHeight w:val="288"/>
          <w:jc w:val="center"/>
        </w:trPr>
        <w:tc>
          <w:tcPr>
            <w:tcW w:w="2985" w:type="dxa"/>
            <w:shd w:val="clear" w:color="auto" w:fill="auto"/>
            <w:noWrap/>
            <w:vAlign w:val="bottom"/>
            <w:hideMark/>
          </w:tcPr>
          <w:p w14:paraId="2A312735" w14:textId="2C293036" w:rsidR="005C39D4" w:rsidRPr="008A0812" w:rsidRDefault="005C39D4" w:rsidP="005C39D4">
            <w:pPr>
              <w:rPr>
                <w:rFonts w:asciiTheme="minorHAnsi" w:hAnsiTheme="minorHAnsi" w:cs="Calibri"/>
              </w:rPr>
            </w:pPr>
            <w:r w:rsidRPr="008A0812">
              <w:rPr>
                <w:rFonts w:asciiTheme="minorHAnsi" w:hAnsiTheme="minorHAnsi" w:cs="Calibri"/>
              </w:rPr>
              <w:t>Secondary Capacity Red</w:t>
            </w:r>
            <w:r w:rsidR="009C0ED9" w:rsidRPr="008A0812">
              <w:rPr>
                <w:rFonts w:asciiTheme="minorHAnsi" w:hAnsiTheme="minorHAnsi" w:cs="Calibri"/>
              </w:rPr>
              <w:t>uction</w:t>
            </w:r>
          </w:p>
        </w:tc>
        <w:tc>
          <w:tcPr>
            <w:tcW w:w="960" w:type="dxa"/>
            <w:shd w:val="clear" w:color="auto" w:fill="auto"/>
            <w:noWrap/>
            <w:vAlign w:val="bottom"/>
            <w:hideMark/>
          </w:tcPr>
          <w:p w14:paraId="07A4D09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5</w:t>
            </w:r>
          </w:p>
        </w:tc>
        <w:tc>
          <w:tcPr>
            <w:tcW w:w="1059" w:type="dxa"/>
            <w:shd w:val="clear" w:color="auto" w:fill="auto"/>
            <w:noWrap/>
            <w:vAlign w:val="bottom"/>
            <w:hideMark/>
          </w:tcPr>
          <w:p w14:paraId="38245B02"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65C43C88"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34532152"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c>
          <w:tcPr>
            <w:tcW w:w="960" w:type="dxa"/>
            <w:shd w:val="clear" w:color="auto" w:fill="auto"/>
            <w:noWrap/>
            <w:vAlign w:val="bottom"/>
            <w:hideMark/>
          </w:tcPr>
          <w:p w14:paraId="7432208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2</w:t>
            </w:r>
          </w:p>
        </w:tc>
      </w:tr>
      <w:tr w:rsidR="005C39D4" w:rsidRPr="008A0812" w14:paraId="01EFEC8A" w14:textId="77777777" w:rsidTr="009C0ED9">
        <w:trPr>
          <w:trHeight w:val="288"/>
          <w:jc w:val="center"/>
        </w:trPr>
        <w:tc>
          <w:tcPr>
            <w:tcW w:w="2985" w:type="dxa"/>
            <w:shd w:val="clear" w:color="auto" w:fill="auto"/>
            <w:noWrap/>
            <w:vAlign w:val="bottom"/>
            <w:hideMark/>
          </w:tcPr>
          <w:p w14:paraId="221F9E78" w14:textId="77777777" w:rsidR="005C39D4" w:rsidRPr="008A0812" w:rsidRDefault="005C39D4" w:rsidP="005C39D4">
            <w:pPr>
              <w:rPr>
                <w:rFonts w:asciiTheme="minorHAnsi" w:hAnsiTheme="minorHAnsi" w:cs="Calibri"/>
              </w:rPr>
            </w:pPr>
            <w:r w:rsidRPr="008A0812">
              <w:rPr>
                <w:rFonts w:asciiTheme="minorHAnsi" w:hAnsiTheme="minorHAnsi" w:cs="Calibri"/>
              </w:rPr>
              <w:t>Primary Flow EQ</w:t>
            </w:r>
          </w:p>
        </w:tc>
        <w:tc>
          <w:tcPr>
            <w:tcW w:w="960" w:type="dxa"/>
            <w:shd w:val="clear" w:color="auto" w:fill="auto"/>
            <w:noWrap/>
            <w:vAlign w:val="bottom"/>
            <w:hideMark/>
          </w:tcPr>
          <w:p w14:paraId="0CA74BA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4</w:t>
            </w:r>
          </w:p>
        </w:tc>
        <w:tc>
          <w:tcPr>
            <w:tcW w:w="1059" w:type="dxa"/>
            <w:shd w:val="clear" w:color="auto" w:fill="auto"/>
            <w:noWrap/>
            <w:vAlign w:val="bottom"/>
            <w:hideMark/>
          </w:tcPr>
          <w:p w14:paraId="0A6C1F30"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70F51F98"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06C9FC0A"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0DD6BBD1"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r>
      <w:tr w:rsidR="005C39D4" w:rsidRPr="008A0812" w14:paraId="392F74E7" w14:textId="77777777" w:rsidTr="009C0ED9">
        <w:trPr>
          <w:trHeight w:val="288"/>
          <w:jc w:val="center"/>
        </w:trPr>
        <w:tc>
          <w:tcPr>
            <w:tcW w:w="2985" w:type="dxa"/>
            <w:shd w:val="clear" w:color="auto" w:fill="auto"/>
            <w:noWrap/>
            <w:vAlign w:val="bottom"/>
            <w:hideMark/>
          </w:tcPr>
          <w:p w14:paraId="6C5212AB" w14:textId="7AA8E8B0" w:rsidR="005C39D4" w:rsidRPr="008A0812" w:rsidRDefault="005C39D4" w:rsidP="005C39D4">
            <w:pPr>
              <w:rPr>
                <w:rFonts w:asciiTheme="minorHAnsi" w:hAnsiTheme="minorHAnsi" w:cs="Calibri"/>
              </w:rPr>
            </w:pPr>
            <w:r w:rsidRPr="008A0812">
              <w:rPr>
                <w:rFonts w:asciiTheme="minorHAnsi" w:hAnsiTheme="minorHAnsi" w:cs="Calibri"/>
              </w:rPr>
              <w:t>Digester Mixing Opt</w:t>
            </w:r>
            <w:r w:rsidR="009C0ED9" w:rsidRPr="008A0812">
              <w:rPr>
                <w:rFonts w:asciiTheme="minorHAnsi" w:hAnsiTheme="minorHAnsi" w:cs="Calibri"/>
              </w:rPr>
              <w:t>imization</w:t>
            </w:r>
          </w:p>
        </w:tc>
        <w:tc>
          <w:tcPr>
            <w:tcW w:w="960" w:type="dxa"/>
            <w:shd w:val="clear" w:color="auto" w:fill="auto"/>
            <w:noWrap/>
            <w:vAlign w:val="bottom"/>
            <w:hideMark/>
          </w:tcPr>
          <w:p w14:paraId="4165AB66"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3</w:t>
            </w:r>
          </w:p>
        </w:tc>
        <w:tc>
          <w:tcPr>
            <w:tcW w:w="1059" w:type="dxa"/>
            <w:shd w:val="clear" w:color="auto" w:fill="auto"/>
            <w:noWrap/>
            <w:vAlign w:val="bottom"/>
            <w:hideMark/>
          </w:tcPr>
          <w:p w14:paraId="1FC4D183"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c>
          <w:tcPr>
            <w:tcW w:w="960" w:type="dxa"/>
            <w:shd w:val="clear" w:color="auto" w:fill="auto"/>
            <w:noWrap/>
            <w:vAlign w:val="bottom"/>
            <w:hideMark/>
          </w:tcPr>
          <w:p w14:paraId="5CA6449D"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71A31373"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1</w:t>
            </w:r>
          </w:p>
        </w:tc>
        <w:tc>
          <w:tcPr>
            <w:tcW w:w="960" w:type="dxa"/>
            <w:shd w:val="clear" w:color="auto" w:fill="auto"/>
            <w:noWrap/>
            <w:vAlign w:val="bottom"/>
            <w:hideMark/>
          </w:tcPr>
          <w:p w14:paraId="182E0982" w14:textId="77777777" w:rsidR="005C39D4" w:rsidRPr="008A0812" w:rsidRDefault="005C39D4" w:rsidP="005C39D4">
            <w:pPr>
              <w:jc w:val="center"/>
              <w:rPr>
                <w:rFonts w:asciiTheme="minorHAnsi" w:hAnsiTheme="minorHAnsi" w:cs="Calibri"/>
              </w:rPr>
            </w:pPr>
            <w:r w:rsidRPr="008A0812">
              <w:rPr>
                <w:rFonts w:asciiTheme="minorHAnsi" w:hAnsiTheme="minorHAnsi" w:cs="Calibri"/>
              </w:rPr>
              <w:t>0</w:t>
            </w:r>
          </w:p>
        </w:tc>
      </w:tr>
    </w:tbl>
    <w:p w14:paraId="3CB113B9" w14:textId="4347121F" w:rsidR="007B4A37" w:rsidRPr="008A0812" w:rsidRDefault="007B4A37" w:rsidP="007B4A37">
      <w:pPr>
        <w:pStyle w:val="BodyText"/>
      </w:pPr>
      <w:r w:rsidRPr="008A0812">
        <w:t>The highest scoring project is the Unit 3 Expansion and Completion. SCADA and electrical plans and digester improvements were also high scoring. These projects all score high because they upgrade aging processes and assets with significant consequences of failure. They also offer energy savings and/or operational benefits. These projects are all recommended.</w:t>
      </w:r>
    </w:p>
    <w:p w14:paraId="704E6A75" w14:textId="77777777" w:rsidR="007B4A37" w:rsidRPr="008A0812" w:rsidRDefault="007B4A37" w:rsidP="007B4A37">
      <w:pPr>
        <w:pStyle w:val="BodyText"/>
      </w:pPr>
      <w:r w:rsidRPr="008A0812">
        <w:t>The first three of the lower scoring projects are also recommended. CEPT is recommended because its low cost and reasonable payback (6 years) make it worth pursuing. Liquid process optimization is recommended because it is a low-cost way to improve reliability of the existing secondary process. Adding brine-line manholes is considered a priory project from a maintenance perspective.</w:t>
      </w:r>
    </w:p>
    <w:p w14:paraId="0B570AEF" w14:textId="05796BBC" w:rsidR="007B4A37" w:rsidRPr="008A0812" w:rsidRDefault="007B4A37" w:rsidP="007B4A37">
      <w:pPr>
        <w:overflowPunct/>
        <w:autoSpaceDE/>
        <w:autoSpaceDN/>
        <w:adjustRightInd/>
        <w:jc w:val="both"/>
        <w:textAlignment w:val="auto"/>
      </w:pPr>
      <w:r w:rsidRPr="008A0812">
        <w:t xml:space="preserve">The remaining low-scoring projects are not recommended. While NRC Diffused Air offers some benefit, the high capital cost and long payback (18 years) do not justify the project.  Secondary Capacity Reduction would offer considerable operations savings, as discussed above, but it reduces secondary capacity too much. For this </w:t>
      </w:r>
      <w:r w:rsidR="0059293F" w:rsidRPr="008A0812">
        <w:t>reason,</w:t>
      </w:r>
      <w:r w:rsidRPr="008A0812">
        <w:t xml:space="preserve"> it is assigned a negative score in the COF category. It would also be superseded by the Unit 3 Expansion and Completion. Primary Flow Equalization and Digester Mixing Optimization have limited benefits and high capital costs. </w:t>
      </w:r>
    </w:p>
    <w:p w14:paraId="4E65D90F" w14:textId="1D458613" w:rsidR="004776AB" w:rsidRPr="008A0812" w:rsidRDefault="007B4A37" w:rsidP="007B4A37">
      <w:pPr>
        <w:pStyle w:val="BodyText"/>
      </w:pPr>
      <w:r w:rsidRPr="008A0812">
        <w:t xml:space="preserve">The most significant recommended project is the expansion and completion of Unit 3. As discussed in Section 10.2.4, $127 million in R&amp;R costs on Unit 1, Unit 2N, Unit 2S, and NRC would be avoided by building Unit 3. In addition, approximately $10 million in optimization project costs would also be avoided. Since the Unit 3 expansion would be sized to treat flows projected through 2040, including wet weather flow, there would not be a need to implement primary flow equalization or reduce the capacity of Unit 2. The estimated savings from avoided capital improvement project is approximately $35 million as shown in </w:t>
      </w:r>
      <w:r w:rsidR="00011F52" w:rsidRPr="008A0812">
        <w:fldChar w:fldCharType="begin"/>
      </w:r>
      <w:r w:rsidR="00011F52" w:rsidRPr="008A0812">
        <w:instrText xml:space="preserve"> REF _Ref36402878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17</w:t>
      </w:r>
      <w:r w:rsidR="00011F52" w:rsidRPr="008A0812">
        <w:fldChar w:fldCharType="end"/>
      </w:r>
      <w:r w:rsidR="004776AB" w:rsidRPr="008A0812">
        <w:t xml:space="preserve">. </w:t>
      </w:r>
    </w:p>
    <w:p w14:paraId="72690205" w14:textId="68963DF8" w:rsidR="00011F52" w:rsidRPr="008A0812" w:rsidRDefault="00011F52" w:rsidP="00011F52">
      <w:pPr>
        <w:pStyle w:val="TableHeading"/>
      </w:pPr>
      <w:bookmarkStart w:id="664" w:name="_Ref36402878"/>
      <w:bookmarkStart w:id="665" w:name="_Toc36414122"/>
      <w:bookmarkStart w:id="666" w:name="_Toc41684807"/>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17</w:t>
      </w:r>
      <w:r>
        <w:fldChar w:fldCharType="end"/>
      </w:r>
      <w:bookmarkEnd w:id="664"/>
      <w:r w:rsidRPr="008A0812">
        <w:t>: Avoided Costs with Unit 3 Expansion and Completion</w:t>
      </w:r>
      <w:bookmarkEnd w:id="665"/>
      <w:bookmarkEnd w:id="666"/>
    </w:p>
    <w:tbl>
      <w:tblPr>
        <w:tblW w:w="854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92"/>
        <w:gridCol w:w="22"/>
        <w:gridCol w:w="2230"/>
      </w:tblGrid>
      <w:tr w:rsidR="004776AB" w:rsidRPr="008A0812" w14:paraId="45862E2E"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shd w:val="clear" w:color="auto" w:fill="BFBFBF"/>
          </w:tcPr>
          <w:p w14:paraId="3444EC7E" w14:textId="77777777"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b/>
                <w:bCs/>
              </w:rPr>
              <w:t>Project</w:t>
            </w:r>
          </w:p>
        </w:tc>
        <w:tc>
          <w:tcPr>
            <w:tcW w:w="22" w:type="dxa"/>
            <w:tcBorders>
              <w:top w:val="single" w:sz="6" w:space="0" w:color="auto"/>
              <w:left w:val="nil"/>
              <w:bottom w:val="single" w:sz="6" w:space="0" w:color="auto"/>
              <w:right w:val="nil"/>
            </w:tcBorders>
            <w:shd w:val="clear" w:color="auto" w:fill="BFBFBF"/>
          </w:tcPr>
          <w:p w14:paraId="533161A8" w14:textId="77777777" w:rsidR="004776AB" w:rsidRPr="008A0812" w:rsidRDefault="004776AB" w:rsidP="004776AB">
            <w:pPr>
              <w:keepNext/>
              <w:overflowPunct/>
              <w:autoSpaceDE/>
              <w:autoSpaceDN/>
              <w:adjustRightInd/>
              <w:jc w:val="center"/>
              <w:rPr>
                <w:rFonts w:cs="Segoe UI"/>
                <w:b/>
                <w:bCs/>
                <w:color w:val="000000"/>
              </w:rPr>
            </w:pPr>
          </w:p>
        </w:tc>
        <w:tc>
          <w:tcPr>
            <w:tcW w:w="2230" w:type="dxa"/>
            <w:tcBorders>
              <w:top w:val="single" w:sz="6" w:space="0" w:color="auto"/>
              <w:left w:val="nil"/>
              <w:bottom w:val="single" w:sz="6" w:space="0" w:color="auto"/>
              <w:right w:val="single" w:sz="6" w:space="0" w:color="auto"/>
            </w:tcBorders>
            <w:shd w:val="clear" w:color="auto" w:fill="BFBFBF"/>
            <w:vAlign w:val="bottom"/>
            <w:hideMark/>
          </w:tcPr>
          <w:p w14:paraId="287C599A" w14:textId="231FE7EB" w:rsidR="004776AB" w:rsidRPr="008A0812" w:rsidRDefault="004776AB" w:rsidP="004776AB">
            <w:pPr>
              <w:keepNext/>
              <w:overflowPunct/>
              <w:autoSpaceDE/>
              <w:autoSpaceDN/>
              <w:adjustRightInd/>
              <w:jc w:val="center"/>
              <w:rPr>
                <w:rFonts w:ascii="Segoe UI" w:hAnsi="Segoe UI" w:cs="Segoe UI"/>
                <w:sz w:val="18"/>
                <w:szCs w:val="18"/>
              </w:rPr>
            </w:pPr>
            <w:r w:rsidRPr="008A0812">
              <w:rPr>
                <w:rFonts w:cs="Segoe UI"/>
                <w:b/>
                <w:bCs/>
                <w:color w:val="000000"/>
              </w:rPr>
              <w:t xml:space="preserve">Estimated </w:t>
            </w:r>
            <w:r w:rsidR="00AF5814" w:rsidRPr="008A0812">
              <w:rPr>
                <w:rFonts w:cs="Segoe UI"/>
                <w:b/>
                <w:bCs/>
                <w:color w:val="000000"/>
              </w:rPr>
              <w:t>Savings</w:t>
            </w:r>
          </w:p>
        </w:tc>
      </w:tr>
      <w:tr w:rsidR="004776AB" w:rsidRPr="008A0812" w14:paraId="56E0A1C2" w14:textId="77777777" w:rsidTr="004776AB">
        <w:trPr>
          <w:jc w:val="center"/>
        </w:trPr>
        <w:tc>
          <w:tcPr>
            <w:tcW w:w="8544" w:type="dxa"/>
            <w:gridSpan w:val="3"/>
            <w:tcBorders>
              <w:top w:val="single" w:sz="6" w:space="0" w:color="auto"/>
              <w:left w:val="single" w:sz="6" w:space="0" w:color="auto"/>
              <w:bottom w:val="single" w:sz="6" w:space="0" w:color="auto"/>
              <w:right w:val="single" w:sz="6" w:space="0" w:color="auto"/>
            </w:tcBorders>
            <w:shd w:val="clear" w:color="auto" w:fill="BFBFBF"/>
          </w:tcPr>
          <w:p w14:paraId="47A66E41" w14:textId="77777777" w:rsidR="004776AB" w:rsidRPr="008A0812" w:rsidRDefault="004776AB" w:rsidP="00DB4BB5">
            <w:pPr>
              <w:keepNext/>
              <w:overflowPunct/>
              <w:autoSpaceDE/>
              <w:autoSpaceDN/>
              <w:adjustRightInd/>
              <w:ind w:left="75"/>
              <w:rPr>
                <w:rFonts w:cs="Segoe UI"/>
                <w:b/>
                <w:bCs/>
                <w:color w:val="000000"/>
              </w:rPr>
            </w:pPr>
            <w:r w:rsidRPr="008A0812">
              <w:rPr>
                <w:rFonts w:cs="Segoe UI"/>
                <w:b/>
                <w:bCs/>
                <w:color w:val="000000"/>
              </w:rPr>
              <w:t>R&amp;R Projects Avoided</w:t>
            </w:r>
          </w:p>
        </w:tc>
      </w:tr>
      <w:tr w:rsidR="004776AB" w:rsidRPr="008A0812" w14:paraId="33558A67"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02AA69C5"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R&amp;R Avoided on Unit 1, Unit 2N, Unit 2S, and NRC</w:t>
            </w:r>
          </w:p>
        </w:tc>
        <w:tc>
          <w:tcPr>
            <w:tcW w:w="22" w:type="dxa"/>
            <w:tcBorders>
              <w:top w:val="single" w:sz="6" w:space="0" w:color="auto"/>
              <w:left w:val="nil"/>
              <w:bottom w:val="single" w:sz="6" w:space="0" w:color="auto"/>
              <w:right w:val="nil"/>
            </w:tcBorders>
          </w:tcPr>
          <w:p w14:paraId="5EA85952" w14:textId="77777777" w:rsidR="004776AB" w:rsidRPr="008A0812" w:rsidRDefault="004776AB" w:rsidP="004776AB">
            <w:pPr>
              <w:keepNext/>
              <w:overflowPunct/>
              <w:autoSpaceDE/>
              <w:autoSpaceDN/>
              <w:adjustRightInd/>
              <w:jc w:val="right"/>
              <w:rPr>
                <w:rFonts w:asciiTheme="majorHAnsi" w:hAnsiTheme="majorHAnsi" w:cs="Segoe UI"/>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7B7785D1" w14:textId="77777777" w:rsidR="004776AB" w:rsidRPr="008A0812" w:rsidRDefault="004776AB" w:rsidP="004776AB">
            <w:pPr>
              <w:keepNext/>
              <w:overflowPunct/>
              <w:autoSpaceDE/>
              <w:autoSpaceDN/>
              <w:adjustRightInd/>
              <w:jc w:val="right"/>
              <w:rPr>
                <w:rFonts w:asciiTheme="majorHAnsi" w:hAnsiTheme="majorHAnsi" w:cs="Segoe UI"/>
              </w:rPr>
            </w:pPr>
            <w:r w:rsidRPr="008A0812">
              <w:t>$ 127,000,000</w:t>
            </w:r>
          </w:p>
        </w:tc>
      </w:tr>
      <w:tr w:rsidR="004776AB" w:rsidRPr="008A0812" w14:paraId="115E5EBD" w14:textId="77777777" w:rsidTr="004776AB">
        <w:trPr>
          <w:jc w:val="center"/>
        </w:trPr>
        <w:tc>
          <w:tcPr>
            <w:tcW w:w="8544"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tcPr>
          <w:p w14:paraId="73AB6569" w14:textId="77777777" w:rsidR="004776AB" w:rsidRPr="008A0812" w:rsidRDefault="004776AB" w:rsidP="004776AB">
            <w:pPr>
              <w:keepNext/>
              <w:overflowPunct/>
              <w:autoSpaceDE/>
              <w:autoSpaceDN/>
              <w:adjustRightInd/>
              <w:rPr>
                <w:rFonts w:asciiTheme="majorHAnsi" w:hAnsiTheme="majorHAnsi" w:cs="Segoe UI"/>
                <w:b/>
                <w:bCs/>
              </w:rPr>
            </w:pPr>
            <w:r w:rsidRPr="008A0812">
              <w:rPr>
                <w:rFonts w:asciiTheme="majorHAnsi" w:hAnsiTheme="majorHAnsi" w:cs="Segoe UI"/>
                <w:b/>
                <w:bCs/>
              </w:rPr>
              <w:t>Capital Improvement Projects Avoided</w:t>
            </w:r>
          </w:p>
        </w:tc>
      </w:tr>
      <w:tr w:rsidR="004776AB" w:rsidRPr="008A0812" w14:paraId="6F8C1625"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6C653A38"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Primary Flow Equalization</w:t>
            </w:r>
          </w:p>
        </w:tc>
        <w:tc>
          <w:tcPr>
            <w:tcW w:w="22" w:type="dxa"/>
            <w:tcBorders>
              <w:top w:val="single" w:sz="6" w:space="0" w:color="auto"/>
              <w:left w:val="nil"/>
              <w:bottom w:val="single" w:sz="6" w:space="0" w:color="auto"/>
              <w:right w:val="nil"/>
            </w:tcBorders>
          </w:tcPr>
          <w:p w14:paraId="02777414" w14:textId="77777777" w:rsidR="004776AB" w:rsidRPr="008A0812" w:rsidRDefault="004776AB" w:rsidP="004776AB">
            <w:pPr>
              <w:keepNext/>
              <w:overflowPunct/>
              <w:autoSpaceDE/>
              <w:autoSpaceDN/>
              <w:adjustRightInd/>
              <w:jc w:val="right"/>
              <w:rPr>
                <w:rFonts w:asciiTheme="majorHAnsi" w:hAnsiTheme="majorHAnsi" w:cs="Segoe UI"/>
                <w:b/>
                <w:bCs/>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3BACCEF3" w14:textId="77777777" w:rsidR="004776AB" w:rsidRPr="008A0812" w:rsidRDefault="004776AB" w:rsidP="004776AB">
            <w:pPr>
              <w:keepNext/>
              <w:overflowPunct/>
              <w:autoSpaceDE/>
              <w:autoSpaceDN/>
              <w:adjustRightInd/>
              <w:jc w:val="right"/>
              <w:rPr>
                <w:rFonts w:asciiTheme="majorHAnsi" w:hAnsiTheme="majorHAnsi" w:cs="Segoe UI"/>
              </w:rPr>
            </w:pPr>
            <w:r w:rsidRPr="008A0812">
              <w:rPr>
                <w:rFonts w:asciiTheme="majorHAnsi" w:hAnsiTheme="majorHAnsi" w:cs="Segoe UI"/>
              </w:rPr>
              <w:t>$ 9,000,000</w:t>
            </w:r>
          </w:p>
        </w:tc>
      </w:tr>
      <w:tr w:rsidR="004776AB" w:rsidRPr="008A0812" w14:paraId="48322AC1"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6C3A806D" w14:textId="77777777" w:rsidR="004776AB" w:rsidRPr="008A0812" w:rsidRDefault="004776AB" w:rsidP="004776AB">
            <w:pPr>
              <w:keepNext/>
              <w:overflowPunct/>
              <w:autoSpaceDE/>
              <w:autoSpaceDN/>
              <w:adjustRightInd/>
              <w:rPr>
                <w:rFonts w:asciiTheme="majorHAnsi" w:hAnsiTheme="majorHAnsi" w:cs="Segoe UI"/>
              </w:rPr>
            </w:pPr>
            <w:r w:rsidRPr="008A0812">
              <w:rPr>
                <w:rFonts w:asciiTheme="majorHAnsi" w:hAnsiTheme="majorHAnsi" w:cs="Segoe UI"/>
              </w:rPr>
              <w:t>Secondary Capacity Reduction</w:t>
            </w:r>
          </w:p>
        </w:tc>
        <w:tc>
          <w:tcPr>
            <w:tcW w:w="22" w:type="dxa"/>
            <w:tcBorders>
              <w:top w:val="single" w:sz="6" w:space="0" w:color="auto"/>
              <w:left w:val="nil"/>
              <w:bottom w:val="single" w:sz="6" w:space="0" w:color="auto"/>
              <w:right w:val="nil"/>
            </w:tcBorders>
          </w:tcPr>
          <w:p w14:paraId="1B5DC086" w14:textId="77777777" w:rsidR="004776AB" w:rsidRPr="008A0812" w:rsidRDefault="004776AB" w:rsidP="004776AB">
            <w:pPr>
              <w:keepNext/>
              <w:overflowPunct/>
              <w:autoSpaceDE/>
              <w:autoSpaceDN/>
              <w:adjustRightInd/>
              <w:jc w:val="right"/>
              <w:rPr>
                <w:rFonts w:asciiTheme="majorHAnsi" w:hAnsiTheme="majorHAnsi" w:cs="Segoe UI"/>
                <w:b/>
                <w:bCs/>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76AF8FF2" w14:textId="77777777" w:rsidR="004776AB" w:rsidRPr="008A0812" w:rsidRDefault="004776AB" w:rsidP="004776AB">
            <w:pPr>
              <w:keepNext/>
              <w:overflowPunct/>
              <w:autoSpaceDE/>
              <w:autoSpaceDN/>
              <w:adjustRightInd/>
              <w:jc w:val="right"/>
              <w:rPr>
                <w:rFonts w:asciiTheme="majorHAnsi" w:hAnsiTheme="majorHAnsi" w:cs="Segoe UI"/>
              </w:rPr>
            </w:pPr>
            <w:r w:rsidRPr="008A0812">
              <w:rPr>
                <w:rFonts w:asciiTheme="majorHAnsi" w:hAnsiTheme="majorHAnsi" w:cs="Segoe UI"/>
              </w:rPr>
              <w:t>$ 500,000</w:t>
            </w:r>
          </w:p>
        </w:tc>
      </w:tr>
      <w:tr w:rsidR="004776AB" w:rsidRPr="008A0812" w14:paraId="492E30B6"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479F010F" w14:textId="1BFA6E04" w:rsidR="004776AB" w:rsidRPr="008A0812" w:rsidRDefault="004776AB" w:rsidP="004776AB">
            <w:pPr>
              <w:keepNext/>
              <w:overflowPunct/>
              <w:autoSpaceDE/>
              <w:autoSpaceDN/>
              <w:adjustRightInd/>
              <w:rPr>
                <w:rFonts w:asciiTheme="majorHAnsi" w:hAnsiTheme="majorHAnsi" w:cs="Segoe UI"/>
                <w:b/>
                <w:bCs/>
              </w:rPr>
            </w:pPr>
            <w:r w:rsidRPr="008A0812">
              <w:rPr>
                <w:rFonts w:asciiTheme="majorHAnsi" w:hAnsiTheme="majorHAnsi" w:cs="Segoe UI"/>
                <w:b/>
                <w:bCs/>
              </w:rPr>
              <w:t>Total Cost Savings</w:t>
            </w:r>
          </w:p>
        </w:tc>
        <w:tc>
          <w:tcPr>
            <w:tcW w:w="22" w:type="dxa"/>
            <w:tcBorders>
              <w:top w:val="single" w:sz="6" w:space="0" w:color="auto"/>
              <w:left w:val="nil"/>
              <w:bottom w:val="single" w:sz="6" w:space="0" w:color="auto"/>
              <w:right w:val="nil"/>
            </w:tcBorders>
          </w:tcPr>
          <w:p w14:paraId="39F87936" w14:textId="77777777" w:rsidR="004776AB" w:rsidRPr="008A0812" w:rsidRDefault="004776AB" w:rsidP="004776AB">
            <w:pPr>
              <w:keepNext/>
              <w:overflowPunct/>
              <w:autoSpaceDE/>
              <w:autoSpaceDN/>
              <w:adjustRightInd/>
              <w:jc w:val="right"/>
              <w:rPr>
                <w:rFonts w:cs="Segoe UI"/>
                <w:b/>
                <w:bCs/>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0C4EE184" w14:textId="77777777" w:rsidR="004776AB" w:rsidRPr="008A0812" w:rsidRDefault="004776AB" w:rsidP="004776AB">
            <w:pPr>
              <w:keepNext/>
              <w:overflowPunct/>
              <w:autoSpaceDE/>
              <w:autoSpaceDN/>
              <w:adjustRightInd/>
              <w:jc w:val="right"/>
              <w:rPr>
                <w:rFonts w:cs="Segoe UI"/>
                <w:b/>
                <w:bCs/>
              </w:rPr>
            </w:pPr>
            <w:r w:rsidRPr="008A0812">
              <w:rPr>
                <w:rFonts w:cs="Segoe UI"/>
                <w:b/>
                <w:bCs/>
              </w:rPr>
              <w:t>$ 136,500,000</w:t>
            </w:r>
          </w:p>
        </w:tc>
      </w:tr>
      <w:tr w:rsidR="004776AB" w:rsidRPr="008A0812" w14:paraId="4C857681" w14:textId="77777777" w:rsidTr="004776AB">
        <w:trPr>
          <w:jc w:val="center"/>
        </w:trPr>
        <w:tc>
          <w:tcPr>
            <w:tcW w:w="8544"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tcPr>
          <w:p w14:paraId="0C0F92F5" w14:textId="77777777" w:rsidR="004776AB" w:rsidRPr="008A0812" w:rsidRDefault="004776AB" w:rsidP="004776AB">
            <w:pPr>
              <w:keepNext/>
              <w:overflowPunct/>
              <w:autoSpaceDE/>
              <w:autoSpaceDN/>
              <w:adjustRightInd/>
              <w:rPr>
                <w:rFonts w:cs="Segoe UI"/>
                <w:b/>
                <w:bCs/>
              </w:rPr>
            </w:pPr>
            <w:r w:rsidRPr="008A0812">
              <w:rPr>
                <w:rFonts w:asciiTheme="majorHAnsi" w:hAnsiTheme="majorHAnsi" w:cs="Segoe UI"/>
                <w:b/>
                <w:bCs/>
              </w:rPr>
              <w:t>Capital Improvement Projects Implemented</w:t>
            </w:r>
          </w:p>
        </w:tc>
      </w:tr>
      <w:tr w:rsidR="004776AB" w:rsidRPr="008A0812" w14:paraId="52FC9B14"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372000DD" w14:textId="15445C59" w:rsidR="004776AB" w:rsidRPr="008A0812" w:rsidRDefault="00AF5814" w:rsidP="004776AB">
            <w:pPr>
              <w:keepNext/>
              <w:overflowPunct/>
              <w:autoSpaceDE/>
              <w:autoSpaceDN/>
              <w:adjustRightInd/>
              <w:rPr>
                <w:rFonts w:asciiTheme="majorHAnsi" w:hAnsiTheme="majorHAnsi" w:cs="Segoe UI"/>
              </w:rPr>
            </w:pPr>
            <w:r w:rsidRPr="008A0812">
              <w:rPr>
                <w:rFonts w:asciiTheme="majorHAnsi" w:hAnsiTheme="majorHAnsi" w:cs="Segoe UI"/>
              </w:rPr>
              <w:t>Unit 3 Expansion and Completion</w:t>
            </w:r>
          </w:p>
        </w:tc>
        <w:tc>
          <w:tcPr>
            <w:tcW w:w="22" w:type="dxa"/>
            <w:tcBorders>
              <w:top w:val="single" w:sz="6" w:space="0" w:color="auto"/>
              <w:left w:val="nil"/>
              <w:bottom w:val="single" w:sz="6" w:space="0" w:color="auto"/>
              <w:right w:val="nil"/>
            </w:tcBorders>
          </w:tcPr>
          <w:p w14:paraId="61CDFB7F" w14:textId="77777777" w:rsidR="004776AB" w:rsidRPr="008A0812" w:rsidRDefault="004776AB" w:rsidP="004776AB">
            <w:pPr>
              <w:keepNext/>
              <w:overflowPunct/>
              <w:autoSpaceDE/>
              <w:autoSpaceDN/>
              <w:adjustRightInd/>
              <w:jc w:val="right"/>
              <w:rPr>
                <w:rFonts w:cs="Segoe UI"/>
                <w:b/>
                <w:bCs/>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36360F7A" w14:textId="7A97864A" w:rsidR="004776AB" w:rsidRPr="008A0812" w:rsidRDefault="00AF5814" w:rsidP="004776AB">
            <w:pPr>
              <w:keepNext/>
              <w:overflowPunct/>
              <w:autoSpaceDE/>
              <w:autoSpaceDN/>
              <w:adjustRightInd/>
              <w:jc w:val="right"/>
              <w:rPr>
                <w:rFonts w:cs="Segoe UI"/>
              </w:rPr>
            </w:pPr>
            <w:r w:rsidRPr="008A0812">
              <w:rPr>
                <w:rFonts w:cs="Segoe UI"/>
              </w:rPr>
              <w:t>Cost of</w:t>
            </w:r>
            <w:r w:rsidR="004776AB" w:rsidRPr="008A0812">
              <w:rPr>
                <w:rFonts w:cs="Segoe UI"/>
              </w:rPr>
              <w:t xml:space="preserve"> $ 101,500,000</w:t>
            </w:r>
          </w:p>
        </w:tc>
      </w:tr>
      <w:tr w:rsidR="004776AB" w:rsidRPr="008A0812" w14:paraId="1DD00A53" w14:textId="77777777" w:rsidTr="004776AB">
        <w:trPr>
          <w:jc w:val="center"/>
        </w:trPr>
        <w:tc>
          <w:tcPr>
            <w:tcW w:w="6292" w:type="dxa"/>
            <w:tcBorders>
              <w:top w:val="single" w:sz="6" w:space="0" w:color="auto"/>
              <w:left w:val="single" w:sz="6" w:space="0" w:color="auto"/>
              <w:bottom w:val="single" w:sz="6" w:space="0" w:color="auto"/>
              <w:right w:val="single" w:sz="6" w:space="0" w:color="auto"/>
            </w:tcBorders>
            <w:tcMar>
              <w:left w:w="72" w:type="dxa"/>
            </w:tcMar>
          </w:tcPr>
          <w:p w14:paraId="3FD62D5A" w14:textId="77777777" w:rsidR="004776AB" w:rsidRPr="008A0812" w:rsidRDefault="004776AB" w:rsidP="004776AB">
            <w:pPr>
              <w:keepNext/>
              <w:overflowPunct/>
              <w:autoSpaceDE/>
              <w:autoSpaceDN/>
              <w:adjustRightInd/>
              <w:rPr>
                <w:rFonts w:asciiTheme="majorHAnsi" w:hAnsiTheme="majorHAnsi" w:cs="Segoe UI"/>
                <w:b/>
                <w:bCs/>
              </w:rPr>
            </w:pPr>
            <w:r w:rsidRPr="008A0812">
              <w:rPr>
                <w:rFonts w:asciiTheme="majorHAnsi" w:hAnsiTheme="majorHAnsi" w:cs="Segoe UI"/>
                <w:b/>
                <w:bCs/>
              </w:rPr>
              <w:t>Net Cost Savings</w:t>
            </w:r>
          </w:p>
        </w:tc>
        <w:tc>
          <w:tcPr>
            <w:tcW w:w="22" w:type="dxa"/>
            <w:tcBorders>
              <w:top w:val="single" w:sz="6" w:space="0" w:color="auto"/>
              <w:left w:val="nil"/>
              <w:bottom w:val="single" w:sz="6" w:space="0" w:color="auto"/>
              <w:right w:val="nil"/>
            </w:tcBorders>
          </w:tcPr>
          <w:p w14:paraId="16969C6E" w14:textId="77777777" w:rsidR="004776AB" w:rsidRPr="008A0812" w:rsidRDefault="004776AB" w:rsidP="004776AB">
            <w:pPr>
              <w:keepNext/>
              <w:overflowPunct/>
              <w:autoSpaceDE/>
              <w:autoSpaceDN/>
              <w:adjustRightInd/>
              <w:jc w:val="right"/>
              <w:rPr>
                <w:rFonts w:cs="Segoe UI"/>
                <w:b/>
                <w:bCs/>
              </w:rPr>
            </w:pPr>
          </w:p>
        </w:tc>
        <w:tc>
          <w:tcPr>
            <w:tcW w:w="2230" w:type="dxa"/>
            <w:tcBorders>
              <w:top w:val="single" w:sz="6" w:space="0" w:color="auto"/>
              <w:left w:val="nil"/>
              <w:bottom w:val="single" w:sz="6" w:space="0" w:color="auto"/>
              <w:right w:val="single" w:sz="6" w:space="0" w:color="auto"/>
            </w:tcBorders>
            <w:shd w:val="clear" w:color="auto" w:fill="auto"/>
            <w:tcMar>
              <w:right w:w="72" w:type="dxa"/>
            </w:tcMar>
          </w:tcPr>
          <w:p w14:paraId="2AFBED6C" w14:textId="77777777" w:rsidR="004776AB" w:rsidRPr="008A0812" w:rsidRDefault="004776AB" w:rsidP="004776AB">
            <w:pPr>
              <w:keepNext/>
              <w:overflowPunct/>
              <w:autoSpaceDE/>
              <w:autoSpaceDN/>
              <w:adjustRightInd/>
              <w:jc w:val="right"/>
              <w:rPr>
                <w:rFonts w:cs="Segoe UI"/>
                <w:b/>
                <w:bCs/>
              </w:rPr>
            </w:pPr>
            <w:r w:rsidRPr="008A0812">
              <w:rPr>
                <w:rFonts w:cs="Segoe UI"/>
                <w:b/>
                <w:bCs/>
              </w:rPr>
              <w:t>$ 35,000,000</w:t>
            </w:r>
          </w:p>
        </w:tc>
      </w:tr>
    </w:tbl>
    <w:p w14:paraId="5128CD92" w14:textId="3263ECFF" w:rsidR="004776AB" w:rsidRPr="008A0812" w:rsidRDefault="004776AB" w:rsidP="004776AB">
      <w:pPr>
        <w:pStyle w:val="BodyText"/>
      </w:pPr>
      <w:r w:rsidRPr="008A0812">
        <w:t>In addition to being competitive on a capital cost-basis with maintain</w:t>
      </w:r>
      <w:r w:rsidR="008F22E7" w:rsidRPr="008A0812">
        <w:t>ing</w:t>
      </w:r>
      <w:r w:rsidRPr="008A0812">
        <w:t xml:space="preserve"> the existing </w:t>
      </w:r>
      <w:r w:rsidR="00AF5814" w:rsidRPr="008A0812">
        <w:t>treatment units</w:t>
      </w:r>
      <w:r w:rsidRPr="008A0812">
        <w:t xml:space="preserve">, </w:t>
      </w:r>
      <w:r w:rsidR="00AF5814" w:rsidRPr="008A0812">
        <w:t>expanding Unit 3</w:t>
      </w:r>
      <w:r w:rsidRPr="008A0812">
        <w:t xml:space="preserve"> would provide significant operational and maintenance advantages including:</w:t>
      </w:r>
    </w:p>
    <w:p w14:paraId="25633574" w14:textId="77777777" w:rsidR="004776AB" w:rsidRPr="008A0812" w:rsidRDefault="004776AB" w:rsidP="004776AB">
      <w:pPr>
        <w:pStyle w:val="BodyText"/>
        <w:numPr>
          <w:ilvl w:val="0"/>
          <w:numId w:val="42"/>
        </w:numPr>
      </w:pPr>
      <w:r w:rsidRPr="008A0812">
        <w:t>Operators would only need to manage one biological system, rather than the current four</w:t>
      </w:r>
    </w:p>
    <w:p w14:paraId="6A066DB1" w14:textId="77777777" w:rsidR="004776AB" w:rsidRPr="008A0812" w:rsidRDefault="004776AB" w:rsidP="004776AB">
      <w:pPr>
        <w:pStyle w:val="BodyText"/>
        <w:numPr>
          <w:ilvl w:val="0"/>
          <w:numId w:val="42"/>
        </w:numPr>
      </w:pPr>
      <w:r w:rsidRPr="008A0812">
        <w:t>Flow split and hydraulic issues with existing plant would be corrected</w:t>
      </w:r>
    </w:p>
    <w:p w14:paraId="13AB153E" w14:textId="77777777" w:rsidR="004776AB" w:rsidRPr="008A0812" w:rsidRDefault="004776AB" w:rsidP="004776AB">
      <w:pPr>
        <w:pStyle w:val="BodyText"/>
        <w:numPr>
          <w:ilvl w:val="0"/>
          <w:numId w:val="42"/>
        </w:numPr>
      </w:pPr>
      <w:r w:rsidRPr="008A0812">
        <w:t xml:space="preserve">The new plant would be designed to reliably meet effluent TIN requirements </w:t>
      </w:r>
    </w:p>
    <w:p w14:paraId="255A9B41" w14:textId="77777777" w:rsidR="004776AB" w:rsidRPr="008A0812" w:rsidRDefault="004776AB" w:rsidP="004776AB">
      <w:pPr>
        <w:pStyle w:val="BodyText"/>
        <w:numPr>
          <w:ilvl w:val="0"/>
          <w:numId w:val="42"/>
        </w:numPr>
      </w:pPr>
      <w:r w:rsidRPr="008A0812">
        <w:t>The physical size and complexity of the plant would be reduced.</w:t>
      </w:r>
    </w:p>
    <w:p w14:paraId="4542AC76" w14:textId="78595BC8" w:rsidR="004776AB" w:rsidRPr="008A0812" w:rsidRDefault="004776AB" w:rsidP="00011F52">
      <w:pPr>
        <w:pStyle w:val="BodyText"/>
      </w:pPr>
      <w:r w:rsidRPr="008A0812">
        <w:t xml:space="preserve">Other recommended projects relate to maximizing performance of the liquid system in the near term and maintaining long-term reliability of the solids handling system. </w:t>
      </w:r>
      <w:r w:rsidR="00BB5C68" w:rsidRPr="008A0812">
        <w:t>SCADA and electrical</w:t>
      </w:r>
      <w:r w:rsidRPr="008A0812">
        <w:t xml:space="preserve"> studies are also recommended to develop strategies for upgrading and modernizing </w:t>
      </w:r>
      <w:r w:rsidR="00BB5C68" w:rsidRPr="008A0812">
        <w:t>these aging systems</w:t>
      </w:r>
      <w:r w:rsidRPr="008A0812">
        <w:t xml:space="preserve">. Evaluating current treatment facilities at RIX and developing biosolids reuse/disposal options are also recommended. </w:t>
      </w:r>
      <w:r w:rsidR="00011F52" w:rsidRPr="008A0812">
        <w:fldChar w:fldCharType="begin"/>
      </w:r>
      <w:r w:rsidR="00011F52" w:rsidRPr="008A0812">
        <w:instrText xml:space="preserve"> REF _Ref36402914 \h </w:instrText>
      </w:r>
      <w:r w:rsidR="008A0812">
        <w:instrText xml:space="preserve"> \* MERGEFORMAT </w:instrText>
      </w:r>
      <w:r w:rsidR="00011F52" w:rsidRPr="008A0812">
        <w:fldChar w:fldCharType="separate"/>
      </w:r>
      <w:r w:rsidR="00AA68F8" w:rsidRPr="008A0812">
        <w:t xml:space="preserve">Table </w:t>
      </w:r>
      <w:r w:rsidR="00AA68F8">
        <w:rPr>
          <w:noProof/>
        </w:rPr>
        <w:t>10</w:t>
      </w:r>
      <w:r w:rsidR="00AA68F8" w:rsidRPr="008A0812">
        <w:rPr>
          <w:noProof/>
        </w:rPr>
        <w:noBreakHyphen/>
      </w:r>
      <w:r w:rsidR="00AA68F8">
        <w:rPr>
          <w:noProof/>
        </w:rPr>
        <w:t>18</w:t>
      </w:r>
      <w:r w:rsidR="00011F52" w:rsidRPr="008A0812">
        <w:fldChar w:fldCharType="end"/>
      </w:r>
      <w:r w:rsidRPr="008A0812">
        <w:t xml:space="preserve"> summarizes all project alternatives considered and identifies the projects and studies recommended to address the needs of the </w:t>
      </w:r>
      <w:r w:rsidR="001E2B8C" w:rsidRPr="008A0812">
        <w:t xml:space="preserve">SBWRP </w:t>
      </w:r>
      <w:r w:rsidRPr="008A0812">
        <w:t xml:space="preserve">for the next 20 years. </w:t>
      </w:r>
    </w:p>
    <w:p w14:paraId="2DA3FE9B" w14:textId="5CA47F76" w:rsidR="00011F52" w:rsidRPr="008A0812" w:rsidRDefault="00011F52" w:rsidP="00011F52">
      <w:pPr>
        <w:pStyle w:val="TableHeading"/>
      </w:pPr>
      <w:bookmarkStart w:id="667" w:name="_Ref36402914"/>
      <w:bookmarkStart w:id="668" w:name="_Toc36414123"/>
      <w:bookmarkStart w:id="669" w:name="_Toc41684808"/>
      <w:r w:rsidRPr="008A0812">
        <w:t xml:space="preserve">Table </w:t>
      </w:r>
      <w:r>
        <w:fldChar w:fldCharType="begin"/>
      </w:r>
      <w:r>
        <w:instrText>STYLEREF 1 \s</w:instrText>
      </w:r>
      <w:r>
        <w:fldChar w:fldCharType="separate"/>
      </w:r>
      <w:r w:rsidR="00AA68F8">
        <w:rPr>
          <w:noProof/>
        </w:rPr>
        <w:t>10</w:t>
      </w:r>
      <w:r>
        <w:fldChar w:fldCharType="end"/>
      </w:r>
      <w:r w:rsidR="00524B10" w:rsidRPr="008A0812">
        <w:noBreakHyphen/>
      </w:r>
      <w:r>
        <w:fldChar w:fldCharType="begin"/>
      </w:r>
      <w:r>
        <w:instrText>SEQ Table \* ARABIC \s 1</w:instrText>
      </w:r>
      <w:r>
        <w:fldChar w:fldCharType="separate"/>
      </w:r>
      <w:r w:rsidR="00AA68F8">
        <w:rPr>
          <w:noProof/>
        </w:rPr>
        <w:t>18</w:t>
      </w:r>
      <w:r>
        <w:fldChar w:fldCharType="end"/>
      </w:r>
      <w:bookmarkEnd w:id="667"/>
      <w:r w:rsidRPr="008A0812">
        <w:t>: Recommended Capital Improvement Projects and Studies</w:t>
      </w:r>
      <w:bookmarkEnd w:id="668"/>
      <w:bookmarkEnd w:id="669"/>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78"/>
        <w:gridCol w:w="4583"/>
        <w:gridCol w:w="1356"/>
        <w:gridCol w:w="1514"/>
      </w:tblGrid>
      <w:tr w:rsidR="004776AB" w:rsidRPr="008A0812" w14:paraId="670EC167" w14:textId="77777777" w:rsidTr="004776AB">
        <w:trPr>
          <w:trHeight w:val="331"/>
          <w:tblHeader/>
        </w:trPr>
        <w:tc>
          <w:tcPr>
            <w:tcW w:w="1878"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center"/>
            <w:hideMark/>
          </w:tcPr>
          <w:p w14:paraId="29DF0D40"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Summary</w:t>
            </w:r>
          </w:p>
        </w:tc>
        <w:tc>
          <w:tcPr>
            <w:tcW w:w="4583" w:type="dxa"/>
            <w:tcBorders>
              <w:top w:val="single" w:sz="6" w:space="0" w:color="auto"/>
              <w:left w:val="nil"/>
              <w:bottom w:val="single" w:sz="6" w:space="0" w:color="auto"/>
              <w:right w:val="single" w:sz="6" w:space="0" w:color="auto"/>
            </w:tcBorders>
            <w:shd w:val="clear" w:color="auto" w:fill="BFBFBF"/>
            <w:vAlign w:val="center"/>
            <w:hideMark/>
          </w:tcPr>
          <w:p w14:paraId="6D0C16AE"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Description</w:t>
            </w:r>
          </w:p>
        </w:tc>
        <w:tc>
          <w:tcPr>
            <w:tcW w:w="1356" w:type="dxa"/>
            <w:tcBorders>
              <w:top w:val="single" w:sz="6" w:space="0" w:color="auto"/>
              <w:left w:val="nil"/>
              <w:bottom w:val="single" w:sz="6" w:space="0" w:color="auto"/>
              <w:right w:val="single" w:sz="6" w:space="0" w:color="auto"/>
            </w:tcBorders>
            <w:shd w:val="clear" w:color="auto" w:fill="BFBFBF"/>
            <w:vAlign w:val="center"/>
          </w:tcPr>
          <w:p w14:paraId="03CF0787"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Cost</w:t>
            </w:r>
          </w:p>
        </w:tc>
        <w:tc>
          <w:tcPr>
            <w:tcW w:w="1514" w:type="dxa"/>
            <w:tcBorders>
              <w:top w:val="single" w:sz="6" w:space="0" w:color="auto"/>
              <w:left w:val="nil"/>
              <w:bottom w:val="single" w:sz="6" w:space="0" w:color="auto"/>
              <w:right w:val="single" w:sz="6" w:space="0" w:color="auto"/>
            </w:tcBorders>
            <w:shd w:val="clear" w:color="auto" w:fill="BFBFBF"/>
            <w:vAlign w:val="center"/>
          </w:tcPr>
          <w:p w14:paraId="38607254"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Recommended?</w:t>
            </w:r>
          </w:p>
        </w:tc>
      </w:tr>
      <w:tr w:rsidR="004776AB" w:rsidRPr="008A0812" w14:paraId="77006FBB" w14:textId="77777777" w:rsidTr="004776AB">
        <w:trPr>
          <w:trHeight w:hRule="exact" w:val="331"/>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3C1E71CC" w14:textId="77777777" w:rsidR="004776AB" w:rsidRPr="008A0812" w:rsidRDefault="004776AB" w:rsidP="00DB4BB5">
            <w:pPr>
              <w:overflowPunct/>
              <w:autoSpaceDE/>
              <w:autoSpaceDN/>
              <w:adjustRightInd/>
              <w:spacing w:before="60" w:after="60"/>
              <w:rPr>
                <w:rFonts w:asciiTheme="majorHAnsi" w:hAnsiTheme="majorHAnsi" w:cs="Segoe UI"/>
                <w:b/>
                <w:bCs/>
              </w:rPr>
            </w:pPr>
            <w:r w:rsidRPr="008A0812">
              <w:rPr>
                <w:rFonts w:asciiTheme="majorHAnsi" w:hAnsiTheme="majorHAnsi" w:cs="Segoe UI"/>
                <w:b/>
                <w:bCs/>
              </w:rPr>
              <w:t>Primary Treatment Projects</w:t>
            </w:r>
          </w:p>
        </w:tc>
      </w:tr>
      <w:tr w:rsidR="004776AB" w:rsidRPr="008A0812" w14:paraId="03F28CAF"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66CB43DB"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Primary Flow Equalization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1EF70A31"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Construct a primary equalization basin to capture wet-weather peak flows and reduce impacts on downstream processes.</w:t>
            </w:r>
          </w:p>
        </w:tc>
        <w:tc>
          <w:tcPr>
            <w:tcW w:w="1356" w:type="dxa"/>
            <w:tcBorders>
              <w:top w:val="nil"/>
              <w:left w:val="nil"/>
              <w:bottom w:val="single" w:sz="6" w:space="0" w:color="auto"/>
              <w:right w:val="single" w:sz="6" w:space="0" w:color="auto"/>
            </w:tcBorders>
            <w:vAlign w:val="center"/>
          </w:tcPr>
          <w:p w14:paraId="064EC748"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$9,320,000</w:t>
            </w:r>
          </w:p>
        </w:tc>
        <w:tc>
          <w:tcPr>
            <w:tcW w:w="1514" w:type="dxa"/>
            <w:tcBorders>
              <w:top w:val="nil"/>
              <w:left w:val="nil"/>
              <w:bottom w:val="single" w:sz="6" w:space="0" w:color="auto"/>
              <w:right w:val="single" w:sz="6" w:space="0" w:color="auto"/>
            </w:tcBorders>
            <w:vAlign w:val="center"/>
          </w:tcPr>
          <w:p w14:paraId="173FC197"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No</w:t>
            </w:r>
          </w:p>
        </w:tc>
      </w:tr>
      <w:tr w:rsidR="004776AB" w:rsidRPr="008A0812" w14:paraId="669CB18B"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0B0BCC5A"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Chemically Enhanced Primary Treatment</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5EAB43B4"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Equipment to add chemical coagulants downstream of ferric chloride addition and upstream of primary clarifiers.</w:t>
            </w:r>
          </w:p>
        </w:tc>
        <w:tc>
          <w:tcPr>
            <w:tcW w:w="1356" w:type="dxa"/>
            <w:tcBorders>
              <w:top w:val="nil"/>
              <w:left w:val="nil"/>
              <w:bottom w:val="single" w:sz="6" w:space="0" w:color="auto"/>
              <w:right w:val="single" w:sz="6" w:space="0" w:color="auto"/>
            </w:tcBorders>
            <w:vAlign w:val="center"/>
          </w:tcPr>
          <w:p w14:paraId="6B513445"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$390,000</w:t>
            </w:r>
          </w:p>
        </w:tc>
        <w:tc>
          <w:tcPr>
            <w:tcW w:w="1514" w:type="dxa"/>
            <w:tcBorders>
              <w:top w:val="nil"/>
              <w:left w:val="nil"/>
              <w:bottom w:val="single" w:sz="6" w:space="0" w:color="auto"/>
              <w:right w:val="single" w:sz="6" w:space="0" w:color="auto"/>
            </w:tcBorders>
            <w:vAlign w:val="center"/>
          </w:tcPr>
          <w:p w14:paraId="254F19C7"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4AA64150" w14:textId="77777777" w:rsidTr="004776AB">
        <w:trPr>
          <w:trHeight w:hRule="exact" w:val="331"/>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right w:w="72" w:type="dxa"/>
            </w:tcMar>
            <w:vAlign w:val="center"/>
          </w:tcPr>
          <w:p w14:paraId="245421ED" w14:textId="77777777" w:rsidR="004776AB" w:rsidRPr="008A0812" w:rsidRDefault="004776AB" w:rsidP="00DB4BB5">
            <w:pPr>
              <w:keepNext/>
              <w:overflowPunct/>
              <w:autoSpaceDE/>
              <w:autoSpaceDN/>
              <w:adjustRightInd/>
              <w:spacing w:before="60" w:after="60"/>
              <w:rPr>
                <w:rFonts w:asciiTheme="majorHAnsi" w:hAnsiTheme="majorHAnsi" w:cs="Segoe UI"/>
                <w:b/>
                <w:bCs/>
              </w:rPr>
            </w:pPr>
            <w:r w:rsidRPr="008A0812">
              <w:rPr>
                <w:rFonts w:asciiTheme="majorHAnsi" w:hAnsiTheme="majorHAnsi" w:cs="Segoe UI"/>
                <w:b/>
                <w:bCs/>
              </w:rPr>
              <w:t>Secondary Treatment Projects</w:t>
            </w:r>
          </w:p>
        </w:tc>
      </w:tr>
      <w:tr w:rsidR="004776AB" w:rsidRPr="008A0812" w14:paraId="2AAEC2EF"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67246716"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Liquid Process Optimization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7A93ACB4" w14:textId="77777777" w:rsidR="004776AB" w:rsidRPr="008A0812" w:rsidRDefault="004776AB" w:rsidP="00DB4BB5">
            <w:pPr>
              <w:keepNext/>
              <w:overflowPunct/>
              <w:autoSpaceDE/>
              <w:autoSpaceDN/>
              <w:adjustRightInd/>
              <w:spacing w:before="60" w:after="60"/>
              <w:rPr>
                <w:rFonts w:asciiTheme="majorHAnsi" w:hAnsiTheme="majorHAnsi" w:cs="Segoe UI"/>
              </w:rPr>
            </w:pPr>
            <w:r w:rsidRPr="008A0812">
              <w:rPr>
                <w:rFonts w:asciiTheme="majorHAnsi" w:hAnsiTheme="majorHAnsi" w:cs="Segoe UI"/>
              </w:rPr>
              <w:t>Study and pilot testing of alternate operating modes to reduce SVI and improve process performance. Addition of MLR pumps to Unit 2.</w:t>
            </w:r>
          </w:p>
        </w:tc>
        <w:tc>
          <w:tcPr>
            <w:tcW w:w="1356" w:type="dxa"/>
            <w:tcBorders>
              <w:top w:val="nil"/>
              <w:left w:val="nil"/>
              <w:bottom w:val="single" w:sz="6" w:space="0" w:color="auto"/>
              <w:right w:val="single" w:sz="6" w:space="0" w:color="auto"/>
            </w:tcBorders>
            <w:vAlign w:val="center"/>
          </w:tcPr>
          <w:p w14:paraId="0E555CF2" w14:textId="77777777" w:rsidR="004776AB" w:rsidRPr="008A0812" w:rsidRDefault="004776AB" w:rsidP="00DB4BB5">
            <w:pPr>
              <w:keepNext/>
              <w:overflowPunct/>
              <w:autoSpaceDE/>
              <w:autoSpaceDN/>
              <w:adjustRightInd/>
              <w:spacing w:before="60" w:after="60"/>
              <w:jc w:val="center"/>
              <w:rPr>
                <w:rFonts w:asciiTheme="majorHAnsi" w:hAnsiTheme="majorHAnsi" w:cs="Segoe UI"/>
              </w:rPr>
            </w:pPr>
            <w:r w:rsidRPr="008A0812">
              <w:rPr>
                <w:rFonts w:asciiTheme="majorHAnsi" w:hAnsiTheme="majorHAnsi" w:cs="Segoe UI"/>
              </w:rPr>
              <w:t>$1,520,000</w:t>
            </w:r>
          </w:p>
        </w:tc>
        <w:tc>
          <w:tcPr>
            <w:tcW w:w="1514" w:type="dxa"/>
            <w:tcBorders>
              <w:top w:val="nil"/>
              <w:left w:val="nil"/>
              <w:bottom w:val="single" w:sz="6" w:space="0" w:color="auto"/>
              <w:right w:val="single" w:sz="6" w:space="0" w:color="auto"/>
            </w:tcBorders>
            <w:vAlign w:val="center"/>
          </w:tcPr>
          <w:p w14:paraId="7BDB6496" w14:textId="77777777" w:rsidR="004776AB" w:rsidRPr="008A0812" w:rsidRDefault="004776AB" w:rsidP="00DB4BB5">
            <w:pPr>
              <w:keepNext/>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16858E18"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0D7908CB"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Secondary Capacity Reduction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77530F89"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Modifications necessary to take one train of Unit 2 offline.</w:t>
            </w:r>
          </w:p>
        </w:tc>
        <w:tc>
          <w:tcPr>
            <w:tcW w:w="1356" w:type="dxa"/>
            <w:tcBorders>
              <w:top w:val="nil"/>
              <w:left w:val="nil"/>
              <w:bottom w:val="single" w:sz="6" w:space="0" w:color="auto"/>
              <w:right w:val="single" w:sz="6" w:space="0" w:color="auto"/>
            </w:tcBorders>
            <w:vAlign w:val="center"/>
          </w:tcPr>
          <w:p w14:paraId="4887F906"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$500,000</w:t>
            </w:r>
          </w:p>
        </w:tc>
        <w:tc>
          <w:tcPr>
            <w:tcW w:w="1514" w:type="dxa"/>
            <w:tcBorders>
              <w:top w:val="nil"/>
              <w:left w:val="nil"/>
              <w:bottom w:val="single" w:sz="6" w:space="0" w:color="auto"/>
              <w:right w:val="single" w:sz="6" w:space="0" w:color="auto"/>
            </w:tcBorders>
            <w:vAlign w:val="center"/>
          </w:tcPr>
          <w:p w14:paraId="23693791"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No</w:t>
            </w:r>
          </w:p>
        </w:tc>
      </w:tr>
      <w:tr w:rsidR="004776AB" w:rsidRPr="008A0812" w14:paraId="7C87CAFB"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1CA8EF16"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NRC Conversion to Diffused Air</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17E8D398"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Replacing the mechanical aerators with fine bubble diffuser system including blower and automatic dissolved oxygen control.</w:t>
            </w:r>
          </w:p>
        </w:tc>
        <w:tc>
          <w:tcPr>
            <w:tcW w:w="1356" w:type="dxa"/>
            <w:tcBorders>
              <w:top w:val="nil"/>
              <w:left w:val="nil"/>
              <w:bottom w:val="single" w:sz="6" w:space="0" w:color="auto"/>
              <w:right w:val="single" w:sz="6" w:space="0" w:color="auto"/>
            </w:tcBorders>
            <w:vAlign w:val="center"/>
          </w:tcPr>
          <w:p w14:paraId="5A0A3553"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$1,800,000</w:t>
            </w:r>
          </w:p>
        </w:tc>
        <w:tc>
          <w:tcPr>
            <w:tcW w:w="1514" w:type="dxa"/>
            <w:tcBorders>
              <w:top w:val="nil"/>
              <w:left w:val="nil"/>
              <w:bottom w:val="single" w:sz="6" w:space="0" w:color="auto"/>
              <w:right w:val="single" w:sz="6" w:space="0" w:color="auto"/>
            </w:tcBorders>
            <w:vAlign w:val="center"/>
          </w:tcPr>
          <w:p w14:paraId="54AC9974"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No</w:t>
            </w:r>
          </w:p>
        </w:tc>
      </w:tr>
      <w:tr w:rsidR="004776AB" w:rsidRPr="008A0812" w14:paraId="1286457B"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00830935" w14:textId="715B61B9" w:rsidR="004776AB" w:rsidRPr="008A0812" w:rsidRDefault="00BB5C68" w:rsidP="004776AB">
            <w:pPr>
              <w:overflowPunct/>
              <w:autoSpaceDE/>
              <w:autoSpaceDN/>
              <w:adjustRightInd/>
              <w:rPr>
                <w:rFonts w:asciiTheme="majorHAnsi" w:hAnsiTheme="majorHAnsi" w:cs="Segoe UI"/>
              </w:rPr>
            </w:pPr>
            <w:r w:rsidRPr="008A0812">
              <w:rPr>
                <w:rFonts w:asciiTheme="majorHAnsi" w:hAnsiTheme="majorHAnsi" w:cs="Segoe UI"/>
              </w:rPr>
              <w:t>Unit 3 Expansion and Completion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3E04D9D8"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Expansion of Unit 3 primary clarifiers and addition of reactor tanks configured for biological nitrogen removal, new secondary clarifiers, a RAS gallery and electrical and control building, and associated work. This new facility would allow for decommissioning Unit 1, Unit 2 North, Unit 2 South, and NRC.</w:t>
            </w:r>
          </w:p>
        </w:tc>
        <w:tc>
          <w:tcPr>
            <w:tcW w:w="1356" w:type="dxa"/>
            <w:tcBorders>
              <w:top w:val="nil"/>
              <w:left w:val="nil"/>
              <w:bottom w:val="single" w:sz="6" w:space="0" w:color="auto"/>
              <w:right w:val="single" w:sz="6" w:space="0" w:color="auto"/>
            </w:tcBorders>
            <w:vAlign w:val="center"/>
          </w:tcPr>
          <w:p w14:paraId="5B261806"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$101,500,000</w:t>
            </w:r>
          </w:p>
        </w:tc>
        <w:tc>
          <w:tcPr>
            <w:tcW w:w="1514" w:type="dxa"/>
            <w:tcBorders>
              <w:top w:val="nil"/>
              <w:left w:val="nil"/>
              <w:bottom w:val="single" w:sz="6" w:space="0" w:color="auto"/>
              <w:right w:val="single" w:sz="6" w:space="0" w:color="auto"/>
            </w:tcBorders>
            <w:vAlign w:val="center"/>
          </w:tcPr>
          <w:p w14:paraId="5F747A57"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3F9431FC" w14:textId="77777777" w:rsidTr="004776AB">
        <w:trPr>
          <w:trHeight w:hRule="exact" w:val="331"/>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right w:w="72" w:type="dxa"/>
            </w:tcMar>
            <w:vAlign w:val="center"/>
          </w:tcPr>
          <w:p w14:paraId="44244C69"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b/>
                <w:bCs/>
              </w:rPr>
              <w:t>Solids Handling Projects</w:t>
            </w:r>
          </w:p>
        </w:tc>
      </w:tr>
      <w:tr w:rsidR="004776AB" w:rsidRPr="008A0812" w14:paraId="038B4B4E"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34E6238"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B Replacement</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611AD7BB"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 xml:space="preserve">Replace Digester B to provide digester redundancy. Digester B is currently offline due to leakage. </w:t>
            </w:r>
          </w:p>
        </w:tc>
        <w:tc>
          <w:tcPr>
            <w:tcW w:w="1356" w:type="dxa"/>
            <w:tcBorders>
              <w:top w:val="nil"/>
              <w:left w:val="nil"/>
              <w:bottom w:val="single" w:sz="6" w:space="0" w:color="auto"/>
              <w:right w:val="single" w:sz="6" w:space="0" w:color="auto"/>
            </w:tcBorders>
            <w:vAlign w:val="center"/>
          </w:tcPr>
          <w:p w14:paraId="5DD31585"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$8,000,000</w:t>
            </w:r>
          </w:p>
        </w:tc>
        <w:tc>
          <w:tcPr>
            <w:tcW w:w="1514" w:type="dxa"/>
            <w:tcBorders>
              <w:top w:val="nil"/>
              <w:left w:val="nil"/>
              <w:bottom w:val="single" w:sz="6" w:space="0" w:color="auto"/>
              <w:right w:val="single" w:sz="6" w:space="0" w:color="auto"/>
            </w:tcBorders>
            <w:vAlign w:val="center"/>
          </w:tcPr>
          <w:p w14:paraId="05ED8170"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6D7DFF32"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1D4A9D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Cleaning</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26850B14"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Clean out and repair Digesters C &amp; D. Digesters C &amp; D are concrete tanks w/concrete lids built in late 1980s.</w:t>
            </w:r>
          </w:p>
        </w:tc>
        <w:tc>
          <w:tcPr>
            <w:tcW w:w="1356" w:type="dxa"/>
            <w:tcBorders>
              <w:top w:val="nil"/>
              <w:left w:val="nil"/>
              <w:bottom w:val="single" w:sz="6" w:space="0" w:color="auto"/>
              <w:right w:val="single" w:sz="6" w:space="0" w:color="auto"/>
            </w:tcBorders>
            <w:vAlign w:val="center"/>
          </w:tcPr>
          <w:p w14:paraId="5906D3E8"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$3,200,000</w:t>
            </w:r>
          </w:p>
        </w:tc>
        <w:tc>
          <w:tcPr>
            <w:tcW w:w="1514" w:type="dxa"/>
            <w:tcBorders>
              <w:top w:val="nil"/>
              <w:left w:val="nil"/>
              <w:bottom w:val="single" w:sz="6" w:space="0" w:color="auto"/>
              <w:right w:val="single" w:sz="6" w:space="0" w:color="auto"/>
            </w:tcBorders>
            <w:vAlign w:val="center"/>
          </w:tcPr>
          <w:p w14:paraId="75FC5CB8"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432F9080"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15B400DA"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Mixing Optimization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35915D06" w14:textId="0E95963E"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Replace existing digester pump mixers with high efficiency linear motion mixers; Cost is per digester.</w:t>
            </w:r>
          </w:p>
        </w:tc>
        <w:tc>
          <w:tcPr>
            <w:tcW w:w="1356" w:type="dxa"/>
            <w:tcBorders>
              <w:top w:val="nil"/>
              <w:left w:val="nil"/>
              <w:bottom w:val="single" w:sz="6" w:space="0" w:color="auto"/>
              <w:right w:val="single" w:sz="6" w:space="0" w:color="auto"/>
            </w:tcBorders>
            <w:vAlign w:val="center"/>
          </w:tcPr>
          <w:p w14:paraId="24AA8101"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$1,200,000</w:t>
            </w:r>
          </w:p>
        </w:tc>
        <w:tc>
          <w:tcPr>
            <w:tcW w:w="1514" w:type="dxa"/>
            <w:tcBorders>
              <w:top w:val="nil"/>
              <w:left w:val="nil"/>
              <w:bottom w:val="single" w:sz="6" w:space="0" w:color="auto"/>
              <w:right w:val="single" w:sz="6" w:space="0" w:color="auto"/>
            </w:tcBorders>
            <w:vAlign w:val="center"/>
          </w:tcPr>
          <w:p w14:paraId="3C23C454"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No</w:t>
            </w:r>
          </w:p>
        </w:tc>
      </w:tr>
      <w:tr w:rsidR="004776AB" w:rsidRPr="008A0812" w14:paraId="02952A4D" w14:textId="77777777" w:rsidTr="004776AB">
        <w:trPr>
          <w:trHeight w:hRule="exact" w:val="331"/>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right w:w="72" w:type="dxa"/>
            </w:tcMar>
            <w:vAlign w:val="center"/>
          </w:tcPr>
          <w:p w14:paraId="12C74B01" w14:textId="77777777" w:rsidR="004776AB" w:rsidRPr="008A0812" w:rsidRDefault="004776AB" w:rsidP="00DB4BB5">
            <w:pPr>
              <w:overflowPunct/>
              <w:autoSpaceDE/>
              <w:autoSpaceDN/>
              <w:adjustRightInd/>
              <w:spacing w:before="60" w:after="60"/>
              <w:rPr>
                <w:rFonts w:asciiTheme="majorHAnsi" w:hAnsiTheme="majorHAnsi" w:cs="Segoe UI"/>
                <w:b/>
                <w:bCs/>
              </w:rPr>
            </w:pPr>
            <w:r w:rsidRPr="008A0812">
              <w:rPr>
                <w:rFonts w:asciiTheme="majorHAnsi" w:hAnsiTheme="majorHAnsi" w:cs="Segoe UI"/>
                <w:b/>
                <w:bCs/>
              </w:rPr>
              <w:t>Brine Line Improvements</w:t>
            </w:r>
          </w:p>
        </w:tc>
      </w:tr>
      <w:tr w:rsidR="004776AB" w:rsidRPr="008A0812" w14:paraId="5C47B9C1"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F8483A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Brine Line Improvements</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09BB2937"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Install seven manholes in the pipe connecting the septage/brine receiving station to the IEBL to allow for proper cleaning of the line. Existing cleanouts are inadequate, and cleaning is difficult and costly.</w:t>
            </w:r>
          </w:p>
        </w:tc>
        <w:tc>
          <w:tcPr>
            <w:tcW w:w="1356" w:type="dxa"/>
            <w:tcBorders>
              <w:top w:val="nil"/>
              <w:left w:val="nil"/>
              <w:bottom w:val="single" w:sz="6" w:space="0" w:color="auto"/>
              <w:right w:val="single" w:sz="6" w:space="0" w:color="auto"/>
            </w:tcBorders>
            <w:vAlign w:val="center"/>
          </w:tcPr>
          <w:p w14:paraId="6C28C60B"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$200,000</w:t>
            </w:r>
          </w:p>
        </w:tc>
        <w:tc>
          <w:tcPr>
            <w:tcW w:w="1514" w:type="dxa"/>
            <w:tcBorders>
              <w:top w:val="nil"/>
              <w:left w:val="nil"/>
              <w:bottom w:val="single" w:sz="6" w:space="0" w:color="auto"/>
              <w:right w:val="single" w:sz="6" w:space="0" w:color="auto"/>
            </w:tcBorders>
            <w:vAlign w:val="center"/>
          </w:tcPr>
          <w:p w14:paraId="7342947F"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022D2D" w:rsidRPr="008A0812" w14:paraId="6A4FC348" w14:textId="77777777" w:rsidTr="00022D2D">
        <w:trPr>
          <w:trHeight w:val="237"/>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tcMar>
            <w:vAlign w:val="center"/>
          </w:tcPr>
          <w:p w14:paraId="47462D97" w14:textId="25CB6DEF" w:rsidR="00022D2D" w:rsidRPr="00022D2D" w:rsidRDefault="00022D2D" w:rsidP="00022D2D">
            <w:pPr>
              <w:overflowPunct/>
              <w:autoSpaceDE/>
              <w:autoSpaceDN/>
              <w:adjustRightInd/>
              <w:spacing w:before="60"/>
              <w:rPr>
                <w:rFonts w:asciiTheme="majorHAnsi" w:hAnsiTheme="majorHAnsi" w:cs="Segoe UI"/>
                <w:b/>
                <w:bCs/>
              </w:rPr>
            </w:pPr>
            <w:r w:rsidRPr="00022D2D">
              <w:rPr>
                <w:rFonts w:asciiTheme="majorHAnsi" w:hAnsiTheme="majorHAnsi" w:cs="Segoe UI"/>
                <w:b/>
                <w:bCs/>
              </w:rPr>
              <w:t>Influent Lift Stations</w:t>
            </w:r>
          </w:p>
        </w:tc>
      </w:tr>
      <w:tr w:rsidR="00022D2D" w:rsidRPr="008A0812" w14:paraId="3383C46D" w14:textId="77777777" w:rsidTr="00022D2D">
        <w:trPr>
          <w:trHeight w:val="993"/>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0E7E5205" w14:textId="6F38A735" w:rsidR="00022D2D" w:rsidRPr="008A0812" w:rsidRDefault="00022D2D" w:rsidP="004776AB">
            <w:pPr>
              <w:overflowPunct/>
              <w:autoSpaceDE/>
              <w:autoSpaceDN/>
              <w:adjustRightInd/>
              <w:rPr>
                <w:rFonts w:asciiTheme="majorHAnsi" w:hAnsiTheme="majorHAnsi" w:cs="Segoe UI"/>
              </w:rPr>
            </w:pPr>
            <w:r>
              <w:rPr>
                <w:rFonts w:asciiTheme="majorHAnsi" w:hAnsiTheme="majorHAnsi" w:cs="Segoe UI"/>
              </w:rPr>
              <w:t>Downsizing of East Influent Lift Station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1F1D36C7" w14:textId="141F140B" w:rsidR="00022D2D" w:rsidRPr="008A0812" w:rsidRDefault="00022D2D" w:rsidP="00DB4BB5">
            <w:pPr>
              <w:overflowPunct/>
              <w:autoSpaceDE/>
              <w:autoSpaceDN/>
              <w:adjustRightInd/>
              <w:spacing w:before="60" w:after="60"/>
              <w:rPr>
                <w:rFonts w:asciiTheme="majorHAnsi" w:hAnsiTheme="majorHAnsi" w:cs="Segoe UI"/>
              </w:rPr>
            </w:pPr>
            <w:r>
              <w:rPr>
                <w:rFonts w:asciiTheme="majorHAnsi" w:hAnsiTheme="majorHAnsi" w:cs="Segoe UI"/>
              </w:rPr>
              <w:t>Replace the existing screw pumps with ones requiring lower energy demand to account for the reduced influent flow without EVWD flow.</w:t>
            </w:r>
          </w:p>
        </w:tc>
        <w:tc>
          <w:tcPr>
            <w:tcW w:w="1356" w:type="dxa"/>
            <w:tcBorders>
              <w:top w:val="nil"/>
              <w:left w:val="nil"/>
              <w:bottom w:val="single" w:sz="6" w:space="0" w:color="auto"/>
              <w:right w:val="single" w:sz="6" w:space="0" w:color="auto"/>
            </w:tcBorders>
            <w:vAlign w:val="center"/>
          </w:tcPr>
          <w:p w14:paraId="3ECB232B" w14:textId="6E8B8804" w:rsidR="00022D2D" w:rsidRPr="008A0812" w:rsidRDefault="00022D2D" w:rsidP="00DB4BB5">
            <w:pPr>
              <w:overflowPunct/>
              <w:autoSpaceDE/>
              <w:autoSpaceDN/>
              <w:adjustRightInd/>
              <w:spacing w:before="60" w:after="60"/>
              <w:jc w:val="center"/>
              <w:rPr>
                <w:rFonts w:asciiTheme="majorHAnsi" w:hAnsiTheme="majorHAnsi" w:cs="Segoe UI"/>
              </w:rPr>
            </w:pPr>
            <w:r>
              <w:rPr>
                <w:rFonts w:asciiTheme="majorHAnsi" w:hAnsiTheme="majorHAnsi" w:cs="Segoe UI"/>
              </w:rPr>
              <w:t>$600,000</w:t>
            </w:r>
          </w:p>
        </w:tc>
        <w:tc>
          <w:tcPr>
            <w:tcW w:w="1514" w:type="dxa"/>
            <w:tcBorders>
              <w:top w:val="nil"/>
              <w:left w:val="nil"/>
              <w:bottom w:val="single" w:sz="6" w:space="0" w:color="auto"/>
              <w:right w:val="single" w:sz="6" w:space="0" w:color="auto"/>
            </w:tcBorders>
            <w:vAlign w:val="center"/>
          </w:tcPr>
          <w:p w14:paraId="12110F47" w14:textId="39EDA559" w:rsidR="00022D2D" w:rsidRPr="008A0812" w:rsidRDefault="00022D2D" w:rsidP="00DB4BB5">
            <w:pPr>
              <w:overflowPunct/>
              <w:autoSpaceDE/>
              <w:autoSpaceDN/>
              <w:adjustRightInd/>
              <w:spacing w:before="60" w:after="60"/>
              <w:jc w:val="center"/>
              <w:rPr>
                <w:rFonts w:asciiTheme="majorHAnsi" w:hAnsiTheme="majorHAnsi" w:cs="Segoe UI"/>
              </w:rPr>
            </w:pPr>
            <w:r>
              <w:rPr>
                <w:rFonts w:asciiTheme="majorHAnsi" w:hAnsiTheme="majorHAnsi" w:cs="Segoe UI"/>
              </w:rPr>
              <w:t>No</w:t>
            </w:r>
          </w:p>
        </w:tc>
      </w:tr>
      <w:tr w:rsidR="004776AB" w:rsidRPr="008A0812" w14:paraId="1FC5832C" w14:textId="77777777" w:rsidTr="004776AB">
        <w:trPr>
          <w:trHeight w:hRule="exact" w:val="331"/>
        </w:trPr>
        <w:tc>
          <w:tcPr>
            <w:tcW w:w="9331" w:type="dxa"/>
            <w:gridSpan w:val="4"/>
            <w:tcBorders>
              <w:top w:val="nil"/>
              <w:left w:val="single" w:sz="6" w:space="0" w:color="auto"/>
              <w:bottom w:val="single" w:sz="6" w:space="0" w:color="auto"/>
              <w:right w:val="single" w:sz="6" w:space="0" w:color="auto"/>
            </w:tcBorders>
            <w:shd w:val="clear" w:color="auto" w:fill="BFBFBF" w:themeFill="background1" w:themeFillShade="BF"/>
            <w:tcMar>
              <w:left w:w="72" w:type="dxa"/>
              <w:right w:w="72" w:type="dxa"/>
            </w:tcMar>
            <w:vAlign w:val="center"/>
            <w:hideMark/>
          </w:tcPr>
          <w:p w14:paraId="46AE176D" w14:textId="77777777" w:rsidR="004776AB" w:rsidRPr="008A0812" w:rsidRDefault="004776AB" w:rsidP="00DB4BB5">
            <w:pPr>
              <w:overflowPunct/>
              <w:autoSpaceDE/>
              <w:autoSpaceDN/>
              <w:adjustRightInd/>
              <w:spacing w:before="60" w:after="60"/>
              <w:rPr>
                <w:rFonts w:asciiTheme="majorHAnsi" w:hAnsiTheme="majorHAnsi" w:cs="Segoe UI"/>
                <w:b/>
                <w:bCs/>
              </w:rPr>
            </w:pPr>
            <w:r w:rsidRPr="008A0812">
              <w:rPr>
                <w:rFonts w:asciiTheme="majorHAnsi" w:hAnsiTheme="majorHAnsi" w:cs="Segoe UI"/>
                <w:b/>
                <w:bCs/>
              </w:rPr>
              <w:t>Studies and Resultant Projects</w:t>
            </w:r>
          </w:p>
        </w:tc>
      </w:tr>
      <w:tr w:rsidR="004776AB" w:rsidRPr="008A0812" w14:paraId="724804C4"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745E8E7"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Electrical Master Plan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5004CF6B"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Study to upgrade electrical distribution system to improve safety, reliability, redundancy, and create equipment standards as defined by NFPA 70E through: Condition assessment; As-built single line diagrams; Load calculations and capacity requirements; Consolidation approach for existing MCCs; Sequence of work and implementation; Arc flash hazard mitigation; Alternative configuration design.</w:t>
            </w:r>
          </w:p>
        </w:tc>
        <w:tc>
          <w:tcPr>
            <w:tcW w:w="1356" w:type="dxa"/>
            <w:tcBorders>
              <w:top w:val="nil"/>
              <w:left w:val="nil"/>
              <w:bottom w:val="single" w:sz="6" w:space="0" w:color="auto"/>
              <w:right w:val="single" w:sz="6" w:space="0" w:color="auto"/>
            </w:tcBorders>
            <w:vAlign w:val="center"/>
          </w:tcPr>
          <w:p w14:paraId="63960C1E"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$130,000</w:t>
            </w:r>
          </w:p>
        </w:tc>
        <w:tc>
          <w:tcPr>
            <w:tcW w:w="1514" w:type="dxa"/>
            <w:tcBorders>
              <w:top w:val="nil"/>
              <w:left w:val="nil"/>
              <w:bottom w:val="single" w:sz="6" w:space="0" w:color="auto"/>
              <w:right w:val="single" w:sz="6" w:space="0" w:color="auto"/>
            </w:tcBorders>
            <w:vAlign w:val="center"/>
          </w:tcPr>
          <w:p w14:paraId="0E5BC959"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4F1CA92D"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4FEBBE33"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Electrical Master Plan Resultant Projects</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21EC930E"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Resulting projects from the Electrical Master Plan potentially including: Switchgear replacement; MCC consolidation; New power distribution; Plant-wide hazard analysis and labeling.</w:t>
            </w:r>
          </w:p>
        </w:tc>
        <w:tc>
          <w:tcPr>
            <w:tcW w:w="1356" w:type="dxa"/>
            <w:tcBorders>
              <w:top w:val="nil"/>
              <w:left w:val="nil"/>
              <w:bottom w:val="single" w:sz="6" w:space="0" w:color="auto"/>
              <w:right w:val="single" w:sz="6" w:space="0" w:color="auto"/>
            </w:tcBorders>
            <w:vAlign w:val="center"/>
          </w:tcPr>
          <w:p w14:paraId="0BD2427A"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$11,400,000</w:t>
            </w:r>
          </w:p>
        </w:tc>
        <w:tc>
          <w:tcPr>
            <w:tcW w:w="1514" w:type="dxa"/>
            <w:tcBorders>
              <w:top w:val="nil"/>
              <w:left w:val="nil"/>
              <w:bottom w:val="single" w:sz="6" w:space="0" w:color="auto"/>
              <w:right w:val="single" w:sz="6" w:space="0" w:color="auto"/>
            </w:tcBorders>
            <w:vAlign w:val="center"/>
          </w:tcPr>
          <w:p w14:paraId="1C4CF340"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614743EA"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99315C4"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SCADA Master Plan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hideMark/>
          </w:tcPr>
          <w:p w14:paraId="3AB6C1B1"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Study to provide a framework to achieve a secure, flexible, reliable, and comprehensive SCADA environment. The SCADA Master Plan shall include specific recommendations with budgetary cost estimates and schedule for the next 5 to 10 years generated from a gap analysis.</w:t>
            </w:r>
          </w:p>
        </w:tc>
        <w:tc>
          <w:tcPr>
            <w:tcW w:w="1356" w:type="dxa"/>
            <w:tcBorders>
              <w:top w:val="nil"/>
              <w:left w:val="nil"/>
              <w:bottom w:val="single" w:sz="6" w:space="0" w:color="auto"/>
              <w:right w:val="single" w:sz="6" w:space="0" w:color="auto"/>
            </w:tcBorders>
            <w:vAlign w:val="center"/>
          </w:tcPr>
          <w:p w14:paraId="103173B4"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$260,000</w:t>
            </w:r>
          </w:p>
        </w:tc>
        <w:tc>
          <w:tcPr>
            <w:tcW w:w="1514" w:type="dxa"/>
            <w:tcBorders>
              <w:top w:val="nil"/>
              <w:left w:val="nil"/>
              <w:bottom w:val="single" w:sz="6" w:space="0" w:color="auto"/>
              <w:right w:val="single" w:sz="6" w:space="0" w:color="auto"/>
            </w:tcBorders>
            <w:vAlign w:val="center"/>
          </w:tcPr>
          <w:p w14:paraId="5430700B"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57E6710C"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060553C2"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SCADA Master Plan Resultant Projects</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156AF499" w14:textId="77777777"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Resulting projects from the SCADA Master Plan potentially including: Control system standards and upgrades; Software Development; HMI upgrades; Process control narrative development; SCADA cybersecurity.</w:t>
            </w:r>
          </w:p>
        </w:tc>
        <w:tc>
          <w:tcPr>
            <w:tcW w:w="1356" w:type="dxa"/>
            <w:tcBorders>
              <w:top w:val="nil"/>
              <w:left w:val="nil"/>
              <w:bottom w:val="single" w:sz="6" w:space="0" w:color="auto"/>
              <w:right w:val="single" w:sz="6" w:space="0" w:color="auto"/>
            </w:tcBorders>
            <w:vAlign w:val="center"/>
          </w:tcPr>
          <w:p w14:paraId="4336511F"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$5,900,000</w:t>
            </w:r>
          </w:p>
        </w:tc>
        <w:tc>
          <w:tcPr>
            <w:tcW w:w="1514" w:type="dxa"/>
            <w:tcBorders>
              <w:top w:val="nil"/>
              <w:left w:val="nil"/>
              <w:bottom w:val="single" w:sz="6" w:space="0" w:color="auto"/>
              <w:right w:val="single" w:sz="6" w:space="0" w:color="auto"/>
            </w:tcBorders>
            <w:vAlign w:val="center"/>
          </w:tcPr>
          <w:p w14:paraId="15D2ED4D"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400F3942"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3E8BBD8A"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Biosolids Strategic Plan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11F32B5B" w14:textId="6B9DB519" w:rsidR="004776AB" w:rsidRPr="008A0812" w:rsidRDefault="004776AB" w:rsidP="00DB4BB5">
            <w:pPr>
              <w:overflowPunct/>
              <w:autoSpaceDE/>
              <w:autoSpaceDN/>
              <w:adjustRightInd/>
              <w:spacing w:before="60" w:after="60"/>
              <w:rPr>
                <w:rFonts w:asciiTheme="majorHAnsi" w:hAnsiTheme="majorHAnsi" w:cs="Segoe UI"/>
              </w:rPr>
            </w:pPr>
            <w:r w:rsidRPr="008A0812">
              <w:rPr>
                <w:rFonts w:asciiTheme="majorHAnsi" w:hAnsiTheme="majorHAnsi" w:cs="Segoe UI"/>
              </w:rPr>
              <w:t>Study to identify a long-term approach for biosolids management compliant with State, local, Federal and environmental regulations. SB 1383 requires 50% reduction of landfill disposal of organics by 2020 and 75% reduction by 2025. Cost increase for current biosolids end</w:t>
            </w:r>
            <w:r w:rsidR="000A69A2">
              <w:rPr>
                <w:rFonts w:asciiTheme="majorHAnsi" w:hAnsiTheme="majorHAnsi" w:cs="Segoe UI"/>
              </w:rPr>
              <w:t xml:space="preserve"> </w:t>
            </w:r>
            <w:r w:rsidRPr="008A0812">
              <w:rPr>
                <w:rFonts w:asciiTheme="majorHAnsi" w:hAnsiTheme="majorHAnsi" w:cs="Segoe UI"/>
              </w:rPr>
              <w:t>us</w:t>
            </w:r>
            <w:r w:rsidR="000A69A2">
              <w:rPr>
                <w:rFonts w:asciiTheme="majorHAnsi" w:hAnsiTheme="majorHAnsi" w:cs="Segoe UI"/>
              </w:rPr>
              <w:t>e</w:t>
            </w:r>
            <w:r w:rsidRPr="008A0812">
              <w:rPr>
                <w:rFonts w:asciiTheme="majorHAnsi" w:hAnsiTheme="majorHAnsi" w:cs="Segoe UI"/>
              </w:rPr>
              <w:t xml:space="preserve"> option may occur. No backup biosolids contract in place.</w:t>
            </w:r>
          </w:p>
        </w:tc>
        <w:tc>
          <w:tcPr>
            <w:tcW w:w="1356" w:type="dxa"/>
            <w:tcBorders>
              <w:top w:val="nil"/>
              <w:left w:val="nil"/>
              <w:bottom w:val="single" w:sz="6" w:space="0" w:color="auto"/>
              <w:right w:val="single" w:sz="6" w:space="0" w:color="auto"/>
            </w:tcBorders>
            <w:vAlign w:val="center"/>
          </w:tcPr>
          <w:p w14:paraId="38D2FBD4"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$390,000</w:t>
            </w:r>
          </w:p>
        </w:tc>
        <w:tc>
          <w:tcPr>
            <w:tcW w:w="1514" w:type="dxa"/>
            <w:tcBorders>
              <w:top w:val="nil"/>
              <w:left w:val="nil"/>
              <w:bottom w:val="single" w:sz="6" w:space="0" w:color="auto"/>
              <w:right w:val="single" w:sz="6" w:space="0" w:color="auto"/>
            </w:tcBorders>
            <w:vAlign w:val="center"/>
          </w:tcPr>
          <w:p w14:paraId="1113CF95"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73A8562F" w14:textId="77777777" w:rsidTr="004776AB">
        <w:trPr>
          <w:trHeight w:val="288"/>
        </w:trPr>
        <w:tc>
          <w:tcPr>
            <w:tcW w:w="1878" w:type="dxa"/>
            <w:tcBorders>
              <w:top w:val="nil"/>
              <w:left w:val="single" w:sz="6" w:space="0" w:color="auto"/>
              <w:bottom w:val="single" w:sz="6" w:space="0" w:color="auto"/>
              <w:right w:val="single" w:sz="6" w:space="0" w:color="auto"/>
            </w:tcBorders>
            <w:shd w:val="clear" w:color="auto" w:fill="auto"/>
            <w:tcMar>
              <w:left w:w="72" w:type="dxa"/>
            </w:tcMar>
            <w:vAlign w:val="center"/>
          </w:tcPr>
          <w:p w14:paraId="2314604F"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RIX Facilities Plan</w:t>
            </w:r>
          </w:p>
        </w:tc>
        <w:tc>
          <w:tcPr>
            <w:tcW w:w="4583" w:type="dxa"/>
            <w:tcBorders>
              <w:top w:val="nil"/>
              <w:left w:val="nil"/>
              <w:bottom w:val="single" w:sz="6" w:space="0" w:color="auto"/>
              <w:right w:val="single" w:sz="6" w:space="0" w:color="auto"/>
            </w:tcBorders>
            <w:shd w:val="clear" w:color="auto" w:fill="auto"/>
            <w:tcMar>
              <w:left w:w="72" w:type="dxa"/>
              <w:right w:w="72" w:type="dxa"/>
            </w:tcMar>
            <w:vAlign w:val="center"/>
          </w:tcPr>
          <w:p w14:paraId="5FBF8D8A" w14:textId="77777777" w:rsidR="004776AB" w:rsidRPr="008A0812" w:rsidRDefault="004776AB" w:rsidP="00DB4BB5">
            <w:pPr>
              <w:pStyle w:val="BodyText"/>
            </w:pPr>
            <w:r w:rsidRPr="008A0812">
              <w:t xml:space="preserve">Study to evaluate the efficacy of existing treatment process facilities (percolation basins, filtration equipment, disinfection method) at projected lower flowrates considering planned water recycling projects and HCP flow obligations to the Santa Ana River. </w:t>
            </w:r>
          </w:p>
        </w:tc>
        <w:tc>
          <w:tcPr>
            <w:tcW w:w="1356" w:type="dxa"/>
            <w:tcBorders>
              <w:top w:val="nil"/>
              <w:left w:val="nil"/>
              <w:bottom w:val="single" w:sz="6" w:space="0" w:color="auto"/>
              <w:right w:val="single" w:sz="6" w:space="0" w:color="auto"/>
            </w:tcBorders>
            <w:vAlign w:val="center"/>
          </w:tcPr>
          <w:p w14:paraId="52A5D4FA"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$130,000</w:t>
            </w:r>
          </w:p>
        </w:tc>
        <w:tc>
          <w:tcPr>
            <w:tcW w:w="1514" w:type="dxa"/>
            <w:tcBorders>
              <w:top w:val="nil"/>
              <w:left w:val="nil"/>
              <w:bottom w:val="single" w:sz="6" w:space="0" w:color="auto"/>
              <w:right w:val="single" w:sz="6" w:space="0" w:color="auto"/>
            </w:tcBorders>
            <w:vAlign w:val="center"/>
          </w:tcPr>
          <w:p w14:paraId="3EE85F99" w14:textId="77777777" w:rsidR="004776AB" w:rsidRPr="008A0812" w:rsidRDefault="004776AB" w:rsidP="00DB4BB5">
            <w:pPr>
              <w:overflowPunct/>
              <w:autoSpaceDE/>
              <w:autoSpaceDN/>
              <w:adjustRightInd/>
              <w:spacing w:before="60" w:after="60"/>
              <w:jc w:val="center"/>
              <w:rPr>
                <w:rFonts w:asciiTheme="majorHAnsi" w:hAnsiTheme="majorHAnsi" w:cs="Segoe UI"/>
              </w:rPr>
            </w:pPr>
            <w:r w:rsidRPr="008A0812">
              <w:rPr>
                <w:rFonts w:asciiTheme="majorHAnsi" w:hAnsiTheme="majorHAnsi" w:cs="Segoe UI"/>
              </w:rPr>
              <w:t>Yes</w:t>
            </w:r>
          </w:p>
        </w:tc>
      </w:tr>
      <w:tr w:rsidR="004776AB" w:rsidRPr="008A0812" w14:paraId="7F6F1F69" w14:textId="77777777" w:rsidTr="004776AB">
        <w:trPr>
          <w:trHeight w:val="288"/>
        </w:trPr>
        <w:tc>
          <w:tcPr>
            <w:tcW w:w="7817" w:type="dxa"/>
            <w:gridSpan w:val="3"/>
            <w:tcBorders>
              <w:top w:val="nil"/>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1BFF2E9B" w14:textId="77777777" w:rsidR="004776AB" w:rsidRPr="008A0812" w:rsidRDefault="004776AB" w:rsidP="004776AB">
            <w:r w:rsidRPr="008A0812">
              <w:rPr>
                <w:b/>
              </w:rPr>
              <w:t>Total Recommended Project Cost</w:t>
            </w:r>
          </w:p>
        </w:tc>
        <w:tc>
          <w:tcPr>
            <w:tcW w:w="1514" w:type="dxa"/>
            <w:tcBorders>
              <w:top w:val="nil"/>
              <w:left w:val="single" w:sz="6" w:space="0" w:color="auto"/>
              <w:bottom w:val="single" w:sz="6" w:space="0" w:color="auto"/>
              <w:right w:val="single" w:sz="6" w:space="0" w:color="auto"/>
            </w:tcBorders>
            <w:shd w:val="clear" w:color="auto" w:fill="BFBFBF" w:themeFill="background1" w:themeFillShade="BF"/>
            <w:vAlign w:val="center"/>
          </w:tcPr>
          <w:p w14:paraId="27ABA895" w14:textId="77777777" w:rsidR="004776AB" w:rsidRPr="008A0812" w:rsidRDefault="004776AB" w:rsidP="004776AB">
            <w:pPr>
              <w:keepNext/>
              <w:overflowPunct/>
              <w:autoSpaceDE/>
              <w:autoSpaceDN/>
              <w:adjustRightInd/>
              <w:jc w:val="center"/>
              <w:rPr>
                <w:rFonts w:asciiTheme="majorHAnsi" w:hAnsiTheme="majorHAnsi" w:cs="Segoe UI"/>
                <w:b/>
                <w:bCs/>
              </w:rPr>
            </w:pPr>
            <w:r w:rsidRPr="008A0812">
              <w:rPr>
                <w:rFonts w:asciiTheme="majorHAnsi" w:hAnsiTheme="majorHAnsi" w:cs="Segoe UI"/>
                <w:b/>
                <w:bCs/>
              </w:rPr>
              <w:t>$133,020,000</w:t>
            </w:r>
          </w:p>
        </w:tc>
      </w:tr>
    </w:tbl>
    <w:p w14:paraId="37F9C215" w14:textId="77777777" w:rsidR="000926F4" w:rsidRPr="008A0812" w:rsidRDefault="000926F4" w:rsidP="004776AB">
      <w:pPr>
        <w:pStyle w:val="BodyText"/>
        <w:sectPr w:rsidR="000926F4" w:rsidRPr="008A0812" w:rsidSect="000926F4">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70339C47" w14:textId="75AEFF0B" w:rsidR="004776AB" w:rsidRPr="008A0812" w:rsidRDefault="00D64465" w:rsidP="000926F4">
      <w:pPr>
        <w:pStyle w:val="Heading1"/>
      </w:pPr>
      <w:bookmarkStart w:id="670" w:name="_Toc41680935"/>
      <w:r w:rsidRPr="008A0812">
        <w:rPr>
          <w:rStyle w:val="BodyTextChar"/>
        </w:rPr>
        <w:t xml:space="preserve">Capital </w:t>
      </w:r>
      <w:r w:rsidR="00755E54">
        <w:rPr>
          <w:rStyle w:val="BodyTextChar"/>
        </w:rPr>
        <w:t>I</w:t>
      </w:r>
      <w:r w:rsidRPr="008A0812">
        <w:rPr>
          <w:rStyle w:val="BodyTextChar"/>
        </w:rPr>
        <w:t>mprovement</w:t>
      </w:r>
      <w:r w:rsidRPr="008A0812">
        <w:t xml:space="preserve"> </w:t>
      </w:r>
      <w:r w:rsidR="00755E54">
        <w:t>P</w:t>
      </w:r>
      <w:r w:rsidRPr="008A0812">
        <w:t>lan</w:t>
      </w:r>
      <w:bookmarkEnd w:id="670"/>
    </w:p>
    <w:p w14:paraId="01F3AD54" w14:textId="368A7572" w:rsidR="002F1B64" w:rsidRPr="008A0812" w:rsidRDefault="002F1B64" w:rsidP="002F1B64">
      <w:pPr>
        <w:pStyle w:val="BodyText"/>
      </w:pPr>
      <w:bookmarkStart w:id="671" w:name="_Toc23931772"/>
      <w:r w:rsidRPr="008A0812">
        <w:t xml:space="preserve">This section presents the recommended Capital Improvement Plan (CIP) based on the discussion, analysis and recommendations presented in Sections </w:t>
      </w:r>
      <w:r w:rsidRPr="008A0812">
        <w:fldChar w:fldCharType="begin"/>
      </w:r>
      <w:r w:rsidRPr="008A0812">
        <w:instrText xml:space="preserve"> REF _Ref36414876 \r \h </w:instrText>
      </w:r>
      <w:r>
        <w:instrText xml:space="preserve"> \* MERGEFORMAT </w:instrText>
      </w:r>
      <w:r w:rsidRPr="008A0812">
        <w:fldChar w:fldCharType="separate"/>
      </w:r>
      <w:r w:rsidR="00AA68F8">
        <w:t>9</w:t>
      </w:r>
      <w:r w:rsidRPr="008A0812">
        <w:fldChar w:fldCharType="end"/>
      </w:r>
      <w:r w:rsidRPr="008A0812">
        <w:t xml:space="preserve"> and </w:t>
      </w:r>
      <w:r w:rsidRPr="008A0812">
        <w:fldChar w:fldCharType="begin"/>
      </w:r>
      <w:r w:rsidRPr="008A0812">
        <w:instrText xml:space="preserve"> REF _Ref36414877 \r \h </w:instrText>
      </w:r>
      <w:r>
        <w:instrText xml:space="preserve"> \* MERGEFORMAT </w:instrText>
      </w:r>
      <w:r w:rsidRPr="008A0812">
        <w:fldChar w:fldCharType="separate"/>
      </w:r>
      <w:r w:rsidR="00AA68F8">
        <w:t>10</w:t>
      </w:r>
      <w:r w:rsidRPr="008A0812">
        <w:fldChar w:fldCharType="end"/>
      </w:r>
      <w:r w:rsidRPr="008A0812">
        <w:t xml:space="preserve">. The plan schedules the recommended projects over the planning period based on priority, funding, sequencing considerations (such as maintaining a minimum number of processes on-line) and external events </w:t>
      </w:r>
      <w:r>
        <w:t>(</w:t>
      </w:r>
      <w:r w:rsidRPr="008A0812">
        <w:t xml:space="preserve">such </w:t>
      </w:r>
      <w:r>
        <w:t xml:space="preserve">as </w:t>
      </w:r>
      <w:r w:rsidRPr="008A0812">
        <w:t xml:space="preserve">the </w:t>
      </w:r>
      <w:r>
        <w:t>reduction of influent flow)</w:t>
      </w:r>
      <w:r w:rsidRPr="008A0812">
        <w:t>.</w:t>
      </w:r>
      <w:r>
        <w:t xml:space="preserve"> </w:t>
      </w:r>
      <w:r w:rsidRPr="008A0812">
        <w:t>Th</w:t>
      </w:r>
      <w:r>
        <w:t xml:space="preserve">e following </w:t>
      </w:r>
      <w:r w:rsidRPr="008A0812">
        <w:t>section provides a summary of the ongoing projects funded under previous CIP</w:t>
      </w:r>
      <w:r>
        <w:t>s</w:t>
      </w:r>
      <w:r w:rsidRPr="008A0812">
        <w:t>.</w:t>
      </w:r>
    </w:p>
    <w:p w14:paraId="7C4D2576" w14:textId="77777777" w:rsidR="002F1B64" w:rsidRPr="008A0812" w:rsidRDefault="002F1B64" w:rsidP="002F1B64">
      <w:pPr>
        <w:pStyle w:val="Heading2"/>
        <w:numPr>
          <w:ilvl w:val="1"/>
          <w:numId w:val="1"/>
        </w:numPr>
        <w:tabs>
          <w:tab w:val="clear" w:pos="547"/>
          <w:tab w:val="num" w:pos="446"/>
        </w:tabs>
      </w:pPr>
      <w:bookmarkStart w:id="672" w:name="_Toc23931761"/>
      <w:bookmarkStart w:id="673" w:name="_Toc40434633"/>
      <w:bookmarkStart w:id="674" w:name="_Toc41680936"/>
      <w:r w:rsidRPr="008A0812">
        <w:t>Ongoing Projects</w:t>
      </w:r>
      <w:bookmarkEnd w:id="672"/>
      <w:bookmarkEnd w:id="673"/>
      <w:bookmarkEnd w:id="674"/>
    </w:p>
    <w:p w14:paraId="36A317AE" w14:textId="77777777" w:rsidR="002F1B64" w:rsidRPr="008A0812" w:rsidRDefault="002F1B64" w:rsidP="002F1B64">
      <w:pPr>
        <w:pStyle w:val="BodyText"/>
      </w:pPr>
      <w:r w:rsidRPr="008A0812">
        <w:t xml:space="preserve">The following projects are currently in design or under construction. Descriptions are from the </w:t>
      </w:r>
      <w:r w:rsidRPr="008754FF">
        <w:rPr>
          <w:i/>
          <w:iCs/>
        </w:rPr>
        <w:t>Sewer Treatment Capital Improvement Budget Summary for Fiscal Year 2019-2020</w:t>
      </w:r>
      <w:r w:rsidRPr="008A0812">
        <w:t xml:space="preserve"> (San Bernardino Municipal Water Department, 2019). Ongoing projects are not listed in the CIP implementation Plan presented in Section 11.4 through 11.7 since they are accounted for in SBMWD’s current CIP.</w:t>
      </w:r>
    </w:p>
    <w:p w14:paraId="29D049B3"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75" w:name="_Toc23931762"/>
      <w:bookmarkStart w:id="676" w:name="_Toc40434634"/>
      <w:bookmarkStart w:id="677" w:name="_Toc41680937"/>
      <w:r w:rsidRPr="008A0812">
        <w:t>Digester Gas Beneficial Use Program / Fuel Cell Project</w:t>
      </w:r>
      <w:bookmarkEnd w:id="675"/>
      <w:bookmarkEnd w:id="676"/>
      <w:bookmarkEnd w:id="677"/>
    </w:p>
    <w:p w14:paraId="36A8298D" w14:textId="77777777" w:rsidR="002F1B64" w:rsidRPr="008A0812" w:rsidRDefault="002F1B64" w:rsidP="002F1B64">
      <w:pPr>
        <w:pStyle w:val="BodyText"/>
      </w:pPr>
      <w:r w:rsidRPr="008A0812">
        <w:t>SBWRP beneficially uses digester gas which is produced as a byproduct of the wastewater treatment process. Most of the digester gas is currently used to fuel internal combustion engines (ICEs) to drive process equipment including blowers, pumps, and the generator that is part of the Cogen system. A portion of the digester gas is also used in boilers to heat the anaerobic digesters. The remaining digester gas is flared.</w:t>
      </w:r>
    </w:p>
    <w:p w14:paraId="6C4ED1AC" w14:textId="77777777" w:rsidR="002F1B64" w:rsidRPr="008A0812" w:rsidRDefault="002F1B64" w:rsidP="002F1B64">
      <w:pPr>
        <w:pStyle w:val="BodyText"/>
      </w:pPr>
      <w:r w:rsidRPr="008A0812">
        <w:t xml:space="preserve">Emission limits for digester gas-fueled ICEs are governed by Rule 1110.2 of the South Coast Air Quality Management District (SCAQMD). Rule 1110.2 was amended to reduce the overall emissions from digester-gas fueled engines. To meet the emission limits and continue using digester gas-fueled ICEs, extensive retrofitting of the existing engines would be required. To comply with Rule 1110.2, SBMWD conducted a </w:t>
      </w:r>
      <w:r w:rsidRPr="008754FF">
        <w:rPr>
          <w:i/>
          <w:iCs/>
        </w:rPr>
        <w:t xml:space="preserve">Digester Gas Beneficial Use </w:t>
      </w:r>
      <w:r>
        <w:rPr>
          <w:i/>
          <w:iCs/>
        </w:rPr>
        <w:t>S</w:t>
      </w:r>
      <w:r w:rsidRPr="008754FF">
        <w:rPr>
          <w:i/>
          <w:iCs/>
        </w:rPr>
        <w:t>tudy</w:t>
      </w:r>
      <w:r w:rsidRPr="008A0812">
        <w:t xml:space="preserve"> (Carollo, 2018)</w:t>
      </w:r>
      <w:r>
        <w:t xml:space="preserve">, </w:t>
      </w:r>
      <w:r w:rsidRPr="008A0812">
        <w:t>which recommended conversion from digester gas-fueled ICEs to a fuel cell system</w:t>
      </w:r>
      <w:r>
        <w:t>.</w:t>
      </w:r>
      <w:r w:rsidRPr="008A0812">
        <w:t xml:space="preserve"> </w:t>
      </w:r>
    </w:p>
    <w:p w14:paraId="26CEB051" w14:textId="77777777" w:rsidR="002F1B64" w:rsidRPr="008A0812" w:rsidRDefault="002F1B64" w:rsidP="002F1B64">
      <w:pPr>
        <w:pStyle w:val="BodyText"/>
      </w:pPr>
      <w:r w:rsidRPr="008A0812">
        <w:t>SBMWD executed a power purchase agreement with FuelCell Energy (FCE) on April 29, 2019. FCE will convert digester gas produced by the SBWRP to electricity and heat through a gas pretreatment and fuel cell system. All digester gas produced at the SBWRP will be made available, free of charge, to FCE, and the electricity will be sold to the SBMWD at a rate lower than that which could be purchased from the electric utility provider (SCE). In 2021 to 2022, 2.2 MW (2,200 kW) of power is projected to be needed at the SBWRP. The vendor will provide a fuel cell system below 2.2 MW so that the SBWRP will not be a net generator of electricity.</w:t>
      </w:r>
    </w:p>
    <w:p w14:paraId="624EDE94"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78" w:name="_Toc23931763"/>
      <w:bookmarkStart w:id="679" w:name="_Toc40434635"/>
      <w:bookmarkStart w:id="680" w:name="_Toc41680938"/>
      <w:r w:rsidRPr="008A0812">
        <w:t>Blower Electrification Project</w:t>
      </w:r>
      <w:bookmarkEnd w:id="678"/>
      <w:bookmarkEnd w:id="679"/>
      <w:bookmarkEnd w:id="680"/>
    </w:p>
    <w:p w14:paraId="06BDB4BA" w14:textId="77777777" w:rsidR="002F1B64" w:rsidRPr="008A0812" w:rsidRDefault="002F1B64" w:rsidP="002F1B64">
      <w:pPr>
        <w:pStyle w:val="BodyText"/>
      </w:pPr>
      <w:bookmarkStart w:id="681" w:name="_Toc23931764"/>
      <w:r w:rsidRPr="008A0812">
        <w:t xml:space="preserve">The secondary treatment processes at Units 1 and 2 have an aeration system consisting of two digester gas-fueled ICE blowers and two electric-driven blowers. As part of the fuel cell conversion project, two blowers that are driven by digester gas-fueled ICEs will be replaced by more efficient electric turbo-style blowers. The blowers will be decentralized and dedicated to aeration basins Units 1 and 2. </w:t>
      </w:r>
    </w:p>
    <w:p w14:paraId="36CAF8B2" w14:textId="77777777" w:rsidR="002F1B64" w:rsidRPr="008A0812" w:rsidRDefault="002F1B64" w:rsidP="002F1B64">
      <w:pPr>
        <w:pStyle w:val="BodyText"/>
      </w:pPr>
      <w:r w:rsidRPr="008A0812">
        <w:t xml:space="preserve">Five high-speed electric turbo blowers will be installed in the new Unit 1 blower building to supply air to Unit 1 in a dedicated pressure zone. Air for Unit 2 will be supplied from the existing two electric rotary blowers. Control upgrades to Unit 1 will include automated dissolved oxygen (DO) control and ammonium-based aeration control (ABAC). The blower electrification project will also include installation of a generator to supply limited power to Unit 1 during an outage. </w:t>
      </w:r>
    </w:p>
    <w:p w14:paraId="23B39630"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82" w:name="_Toc40434636"/>
      <w:bookmarkStart w:id="683" w:name="_Toc41680939"/>
      <w:r w:rsidRPr="008A0812">
        <w:t>Duty Flare and Backup Flare Replacement</w:t>
      </w:r>
      <w:bookmarkEnd w:id="681"/>
      <w:bookmarkEnd w:id="682"/>
      <w:bookmarkEnd w:id="683"/>
    </w:p>
    <w:p w14:paraId="3B957AE4" w14:textId="77777777" w:rsidR="002F1B64" w:rsidRPr="008A0812" w:rsidRDefault="002F1B64" w:rsidP="002F1B64">
      <w:pPr>
        <w:pStyle w:val="BodyText"/>
      </w:pPr>
      <w:r w:rsidRPr="008A0812">
        <w:t>To meet SCAQMD Rule 1118.1 emission requirements for flares, a new 0.</w:t>
      </w:r>
      <w:r>
        <w:t>0</w:t>
      </w:r>
      <w:r w:rsidRPr="008A0812">
        <w:t xml:space="preserve">25 lbs/MMBtu ULE flare (0.025 Duty Flare) will be constructed and used as a duty flare. The existing duty flare will be replaced with a Low-Emissions (LE) 0.06 lbs NOx/MMBtu flare and used as a standby flare (0.06 Backup Flare). The ULE flare is designed to handle current and anticipated future gas flow conditions in coordination with the DG storage project as part of the larger Digester Gas Beneficial Use Program. </w:t>
      </w:r>
    </w:p>
    <w:p w14:paraId="7098534B"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84" w:name="_Toc23931765"/>
      <w:bookmarkStart w:id="685" w:name="_Toc40434637"/>
      <w:bookmarkStart w:id="686" w:name="_Toc41680940"/>
      <w:r w:rsidRPr="008A0812">
        <w:t>Arrowhead Lift Station Electrical Supply and Pump Conversion Project</w:t>
      </w:r>
      <w:bookmarkEnd w:id="684"/>
      <w:bookmarkEnd w:id="685"/>
      <w:bookmarkEnd w:id="686"/>
    </w:p>
    <w:p w14:paraId="1EC0559D" w14:textId="77777777" w:rsidR="002F1B64" w:rsidRPr="008A0812" w:rsidRDefault="002F1B64" w:rsidP="002F1B64">
      <w:pPr>
        <w:pStyle w:val="BodyText"/>
      </w:pPr>
      <w:r w:rsidRPr="008A0812">
        <w:t xml:space="preserve">As a direct result of the SCAQMD’s revision to Rule 1110.2, the two existing ICEs fueled by digester gas to drive the pumps at the Arrowhead Lift Station will be converted to alternative power supplies. One ICE will be converted to electricity and the other will be converted to propane. </w:t>
      </w:r>
    </w:p>
    <w:p w14:paraId="53A13B21"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87" w:name="_Toc23931766"/>
      <w:bookmarkStart w:id="688" w:name="_Toc40434638"/>
      <w:bookmarkStart w:id="689" w:name="_Toc41680941"/>
      <w:r w:rsidRPr="008A0812">
        <w:t>Digester Gas Holder Project</w:t>
      </w:r>
      <w:bookmarkEnd w:id="687"/>
      <w:bookmarkEnd w:id="688"/>
      <w:bookmarkEnd w:id="689"/>
    </w:p>
    <w:p w14:paraId="6B664BAF" w14:textId="77777777" w:rsidR="002F1B64" w:rsidRPr="008A0812" w:rsidRDefault="002F1B64" w:rsidP="002F1B64">
      <w:pPr>
        <w:pStyle w:val="BodyText"/>
      </w:pPr>
      <w:r w:rsidRPr="008A0812">
        <w:t xml:space="preserve">This </w:t>
      </w:r>
      <w:r>
        <w:t>p</w:t>
      </w:r>
      <w:r w:rsidRPr="008A0812">
        <w:t xml:space="preserve">roject will design and construct a new low-pressure digester gas </w:t>
      </w:r>
      <w:r>
        <w:t xml:space="preserve">(DG) </w:t>
      </w:r>
      <w:r w:rsidRPr="008A0812">
        <w:t xml:space="preserve">holder to equalize the flow of </w:t>
      </w:r>
      <w:r>
        <w:t>DG</w:t>
      </w:r>
      <w:r w:rsidRPr="008A0812">
        <w:t xml:space="preserve"> to the Fuel Cell Project. The new DG storage system aims to minimize the wasting of gas to the flare system. Coordination between the DG storage and ULE flare project (i.e. flow, operating pressure, etc.) is essential to ensure efficient and effective operation.</w:t>
      </w:r>
    </w:p>
    <w:p w14:paraId="4E726B97"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90" w:name="_Toc23931767"/>
      <w:bookmarkStart w:id="691" w:name="_Toc40434639"/>
      <w:bookmarkStart w:id="692" w:name="_Toc41680942"/>
      <w:r w:rsidRPr="008A0812">
        <w:t>Primary Metering Project</w:t>
      </w:r>
      <w:bookmarkEnd w:id="690"/>
      <w:bookmarkEnd w:id="691"/>
      <w:bookmarkEnd w:id="692"/>
    </w:p>
    <w:p w14:paraId="169652CE" w14:textId="77777777" w:rsidR="002F1B64" w:rsidRPr="008A0812" w:rsidRDefault="002F1B64" w:rsidP="002F1B64">
      <w:pPr>
        <w:pStyle w:val="BodyText"/>
      </w:pPr>
      <w:r w:rsidRPr="008A0812">
        <w:t xml:space="preserve">This </w:t>
      </w:r>
      <w:r>
        <w:t>p</w:t>
      </w:r>
      <w:r w:rsidRPr="008A0812">
        <w:t xml:space="preserve">roject will expand the BLM to accommodate switches to power the Hoffman switchgear, Unit 1 Blower Building, Clean Water Factory, and to receive power from the Fuel Cell. </w:t>
      </w:r>
    </w:p>
    <w:p w14:paraId="1FF35F3C"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93" w:name="_Toc23931768"/>
      <w:bookmarkStart w:id="694" w:name="_Toc40434640"/>
      <w:bookmarkStart w:id="695" w:name="_Toc41680943"/>
      <w:r w:rsidRPr="008A0812">
        <w:t>Clean Water Factory Tertiary Treatment System Design</w:t>
      </w:r>
      <w:bookmarkEnd w:id="693"/>
      <w:bookmarkEnd w:id="694"/>
      <w:bookmarkEnd w:id="695"/>
    </w:p>
    <w:p w14:paraId="569955B1" w14:textId="77777777" w:rsidR="002F1B64" w:rsidRPr="008A0812" w:rsidRDefault="002F1B64" w:rsidP="002F1B64">
      <w:pPr>
        <w:pStyle w:val="BodyText"/>
      </w:pPr>
      <w:r w:rsidRPr="008A0812">
        <w:t>As described in Section 5.1.3, the SBMWD is planning a recycled water project called the Clean Water Factory, which will be a Title-22 compliant tertiary treatment system that will supply recycled water for:</w:t>
      </w:r>
    </w:p>
    <w:p w14:paraId="5379396C" w14:textId="77777777" w:rsidR="002F1B64" w:rsidRPr="008A0812" w:rsidRDefault="002F1B64" w:rsidP="002F1B64">
      <w:pPr>
        <w:pStyle w:val="Bullet"/>
      </w:pPr>
      <w:r w:rsidRPr="008A0812">
        <w:t>Operational needs within the plant, eliminating in-plant use of groundwater from wells.</w:t>
      </w:r>
    </w:p>
    <w:p w14:paraId="6C9CC111" w14:textId="77777777" w:rsidR="002F1B64" w:rsidRPr="008A0812" w:rsidRDefault="002F1B64" w:rsidP="002F1B64">
      <w:pPr>
        <w:pStyle w:val="Bullet"/>
      </w:pPr>
      <w:r w:rsidRPr="008A0812">
        <w:t>Groundwater recharge of the Bunker Hill Groundwater Basin, which is SBMWD’s sole source of water supply.</w:t>
      </w:r>
    </w:p>
    <w:p w14:paraId="54A7AB66" w14:textId="77777777" w:rsidR="002F1B64" w:rsidRPr="008A0812" w:rsidRDefault="002F1B64" w:rsidP="002F1B64">
      <w:pPr>
        <w:pStyle w:val="Bullet"/>
      </w:pPr>
      <w:r>
        <w:t>R</w:t>
      </w:r>
      <w:r w:rsidRPr="008A0812">
        <w:t>ecycled water customers.</w:t>
      </w:r>
    </w:p>
    <w:p w14:paraId="3F675C92" w14:textId="77777777" w:rsidR="002F1B64" w:rsidRPr="008A0812" w:rsidRDefault="002F1B64" w:rsidP="002F1B64">
      <w:pPr>
        <w:pStyle w:val="BodyText"/>
      </w:pPr>
      <w:r w:rsidRPr="008A0812">
        <w:t>The Clean Water Factory is sited east of the Unit 1 secondary clarifiers, adjacent to East Twin Creek. The design includes a new pump station and pipelines to convey secondary effluent to new filtration and disinfection processes. After treatment, the tertiary recycled water will be stored in a rehabilitated existing reservoir that currently stores groundwater. Production of tertiary disinfected recycled water from the Clean Water Factory will be phased with provisions to allow future expansion of up to 5 mgd (AECOM, 2019) using water in excess of the discharge commitments to the Santa Ana River. The Clean Water Factory is in the final design phase and is expected to be operational in 2021.</w:t>
      </w:r>
    </w:p>
    <w:p w14:paraId="7B5711D2" w14:textId="77777777" w:rsidR="002F1B64" w:rsidRPr="008A0812" w:rsidRDefault="002F1B64" w:rsidP="002F1B64">
      <w:pPr>
        <w:pStyle w:val="Heading3"/>
        <w:numPr>
          <w:ilvl w:val="2"/>
          <w:numId w:val="1"/>
        </w:numPr>
        <w:tabs>
          <w:tab w:val="clear" w:pos="720"/>
          <w:tab w:val="num" w:pos="360"/>
          <w:tab w:val="num" w:pos="1260"/>
        </w:tabs>
        <w:ind w:left="986" w:hanging="446"/>
      </w:pPr>
      <w:bookmarkStart w:id="696" w:name="_Toc23931769"/>
      <w:bookmarkStart w:id="697" w:name="_Toc40434641"/>
      <w:bookmarkStart w:id="698" w:name="_Toc41680944"/>
      <w:r w:rsidRPr="008A0812">
        <w:t>Receiving Station for Fats, Oils, Grease and Other Anaerobically Digestible Materials</w:t>
      </w:r>
      <w:bookmarkEnd w:id="696"/>
      <w:bookmarkEnd w:id="697"/>
      <w:bookmarkEnd w:id="698"/>
    </w:p>
    <w:p w14:paraId="56539BC0" w14:textId="77777777" w:rsidR="002F1B64" w:rsidRPr="008A0812" w:rsidRDefault="002F1B64" w:rsidP="002F1B64">
      <w:pPr>
        <w:pStyle w:val="BodyText"/>
      </w:pPr>
      <w:bookmarkStart w:id="699" w:name="_Toc23931770"/>
      <w:r w:rsidRPr="008A0812">
        <w:t xml:space="preserve">Co-digestion of fats, oils and greases (FOG) and anaerobically digestible materials (ADM) can be beneficially reused to generate energy. SBMWD is evaluating installing a FOG receiving station to generate more DG to compensate for the loss of load from the SNRC. There may also be a potential economic benefit to the SBMWD from tipping fees charged to FOG haulers. ADM is defined as any waste material containing organic matter that is digestible and may include food waste, FOG, source separated organics and waste from industrial sources such as whey, glycerin, de-icing fluids, brewery waste, etc. </w:t>
      </w:r>
    </w:p>
    <w:p w14:paraId="608AF555" w14:textId="77777777" w:rsidR="002F1B64" w:rsidRPr="008A0812" w:rsidRDefault="002F1B64" w:rsidP="002F1B64">
      <w:pPr>
        <w:pStyle w:val="BodyText"/>
      </w:pPr>
      <w:r w:rsidRPr="008A0812">
        <w:t xml:space="preserve">A preliminary review of FOG/ADM addition to the SBWRP indicated that it is feasible from a treatment standpoint (Hazen and Sawyer, 2019). Given the available digestion capacity at SBWRP, DG production could potentially increase approximately 25% to 30% over the current daily average, which could compensate for the loss of load from the SNRC. </w:t>
      </w:r>
    </w:p>
    <w:p w14:paraId="4DF29CE3" w14:textId="77777777" w:rsidR="002F1B64" w:rsidRPr="008A0812" w:rsidRDefault="002F1B64" w:rsidP="002F1B64">
      <w:pPr>
        <w:pStyle w:val="BodyText"/>
      </w:pPr>
      <w:r w:rsidRPr="008A0812">
        <w:t xml:space="preserve">Constructing a FOG/ADM receiving station supports the statewide goal to reduce short-lived climate pollutants. Short-lived climate pollutants, including methane, hydrofluorocarbons, and anthropogenic black carbon, have relatively short atmospheric lifetimes yet have a dramatic and detrimental effect on air quality, public health, and climate change. Senate Bill (SB) 1383, which was passed in September 2016 and will become enforceable in 2022, established reduction targets for short-lived climate pollutants and established reduction targets for the disposal of organic wastes in landfills and requires state agencies to increase the sustainable production and use of renewable gas (Section 7.3.3). The legislation could result in more organics being diverted to the SBWRP (i.e. food waste), incentivize methane production at the SBWRP, and potentially impact future biosolids disposal costs due to higher demand for composting over disposal in landfills. </w:t>
      </w:r>
    </w:p>
    <w:p w14:paraId="6F799697" w14:textId="77777777" w:rsidR="002F1B64" w:rsidRPr="008A0812" w:rsidRDefault="002F1B64" w:rsidP="002F1B64">
      <w:pPr>
        <w:pStyle w:val="BodyText"/>
      </w:pPr>
      <w:r w:rsidRPr="008A0812">
        <w:t xml:space="preserve">Based on Hazen’s high-level FOG/ADM study, it was realized that food waste and other ADM within the specified area are not readily available for SBWRP since there are a number of facilities around the San Bernardino area that currently processes this feedstock in anaerobic digestion. Hazen identified one FOG hauler who is interested in options of disposal facility around San Bernardino at a competitive tipping fee. The market survey indicated that the availability of FOG in this area is higher than other sources and the availability of FOG ranges between 15,000 to 25,000 gpd. The existing three digesters currently have available capacity to accept FOG/ADM for codigestion. However, the SBWRP does not have firm capacity to accept FOG/ADM at the time of this study. When the EVWD flow of 6 mgd is diverted to the new facility (Around year 2022), the existing anaerobic digesters can accept higher amounts of FOG. Even with 2 digesters online (firm capacity), the SBWRP can accept over 25,000 gpd of FOG. If SBMWD implements a codigestion program after the departure of 6 MGD flow to EVWD, and accepts 25,000 gpd of FOG, digester gas production is estimated to increase over 35%. The estimated construction costs of a FOG receiving station is approximately $2.0 million and estimated annual O&amp;M cost is $141,000.  Hazen recommends conducting a more thorough analysis of the impact of FOG to the overall solids handling operation and digester gas handling and beneficial use and a more thorough market assessment to identify local or regional sources of FOG. This research may include negotiation with haulers and contract agreement. </w:t>
      </w:r>
    </w:p>
    <w:p w14:paraId="26930ECD" w14:textId="77777777" w:rsidR="002F1B64" w:rsidRPr="008A0812" w:rsidRDefault="002F1B64" w:rsidP="002F1B64">
      <w:pPr>
        <w:pStyle w:val="Heading2"/>
        <w:keepNext w:val="0"/>
        <w:numPr>
          <w:ilvl w:val="1"/>
          <w:numId w:val="1"/>
        </w:numPr>
        <w:tabs>
          <w:tab w:val="clear" w:pos="547"/>
          <w:tab w:val="num" w:pos="446"/>
        </w:tabs>
        <w:overflowPunct/>
        <w:autoSpaceDE/>
        <w:autoSpaceDN/>
        <w:adjustRightInd/>
        <w:ind w:left="446" w:hanging="446"/>
        <w:textAlignment w:val="auto"/>
      </w:pPr>
      <w:bookmarkStart w:id="700" w:name="_Toc40434642"/>
      <w:bookmarkStart w:id="701" w:name="_Toc41680945"/>
      <w:r w:rsidRPr="008A0812">
        <w:t>Current Capital Improvement Projects</w:t>
      </w:r>
      <w:bookmarkEnd w:id="699"/>
      <w:bookmarkEnd w:id="700"/>
      <w:bookmarkEnd w:id="701"/>
    </w:p>
    <w:p w14:paraId="72AB9055" w14:textId="2BE0B56A" w:rsidR="002F1B64" w:rsidRPr="008A0812" w:rsidRDefault="002F1B64" w:rsidP="002F1B64">
      <w:pPr>
        <w:pStyle w:val="BodyText"/>
      </w:pPr>
      <w:r w:rsidRPr="008A0812">
        <w:t xml:space="preserve">Capital improvement projects for sewer treatment in Fiscal Year (FY) 2018-2019 and FY 2019-2020 are listed in </w:t>
      </w:r>
      <w:r w:rsidRPr="008A0812">
        <w:fldChar w:fldCharType="begin"/>
      </w:r>
      <w:r w:rsidRPr="008A0812">
        <w:instrText xml:space="preserve"> REF _Ref36402942 \h </w:instrText>
      </w:r>
      <w:r>
        <w:instrText xml:space="preserve"> \* MERGEFORMAT </w:instrText>
      </w:r>
      <w:r w:rsidRPr="008A0812">
        <w:fldChar w:fldCharType="separate"/>
      </w:r>
      <w:r w:rsidR="00AA68F8" w:rsidRPr="008A0812">
        <w:t xml:space="preserve">Table </w:t>
      </w:r>
      <w:r w:rsidR="00AA68F8">
        <w:rPr>
          <w:noProof/>
        </w:rPr>
        <w:t>11</w:t>
      </w:r>
      <w:r w:rsidR="00AA68F8" w:rsidRPr="008A0812">
        <w:rPr>
          <w:noProof/>
        </w:rPr>
        <w:noBreakHyphen/>
      </w:r>
      <w:r w:rsidR="00AA68F8">
        <w:rPr>
          <w:noProof/>
        </w:rPr>
        <w:t>1</w:t>
      </w:r>
      <w:r w:rsidRPr="008A0812">
        <w:fldChar w:fldCharType="end"/>
      </w:r>
      <w:r w:rsidRPr="008A0812">
        <w:t>. These projects are in various stages of implementation between planning, design, and construction. All are fully</w:t>
      </w:r>
      <w:r>
        <w:t>-</w:t>
      </w:r>
      <w:r w:rsidRPr="008A0812">
        <w:t xml:space="preserve">funded and </w:t>
      </w:r>
      <w:r>
        <w:t>are</w:t>
      </w:r>
      <w:r w:rsidRPr="008A0812">
        <w:t xml:space="preserve"> not included in the CIP for FY 20</w:t>
      </w:r>
      <w:r>
        <w:t>20</w:t>
      </w:r>
      <w:r w:rsidRPr="008A0812">
        <w:t>-</w:t>
      </w:r>
      <w:r>
        <w:t>20</w:t>
      </w:r>
      <w:r w:rsidRPr="008A0812">
        <w:t>21.</w:t>
      </w:r>
    </w:p>
    <w:p w14:paraId="3ACD001F" w14:textId="4A68C23A" w:rsidR="002F1B64" w:rsidRPr="008A0812" w:rsidRDefault="002F1B64" w:rsidP="002F1B64">
      <w:pPr>
        <w:pStyle w:val="TableHeading"/>
      </w:pPr>
      <w:bookmarkStart w:id="702" w:name="_Ref36402942"/>
      <w:bookmarkStart w:id="703" w:name="_Toc36414124"/>
      <w:bookmarkStart w:id="704" w:name="_Toc40429226"/>
      <w:bookmarkStart w:id="705" w:name="_Toc41684809"/>
      <w:r w:rsidRPr="008A0812">
        <w:t xml:space="preserve">Table </w:t>
      </w:r>
      <w:r>
        <w:fldChar w:fldCharType="begin"/>
      </w:r>
      <w:r>
        <w:instrText>STYLEREF 1 \s</w:instrText>
      </w:r>
      <w:r>
        <w:fldChar w:fldCharType="separate"/>
      </w:r>
      <w:r w:rsidR="00AA68F8">
        <w:rPr>
          <w:noProof/>
        </w:rPr>
        <w:t>11</w:t>
      </w:r>
      <w:r>
        <w:fldChar w:fldCharType="end"/>
      </w:r>
      <w:r w:rsidRPr="008A0812">
        <w:noBreakHyphen/>
      </w:r>
      <w:r>
        <w:fldChar w:fldCharType="begin"/>
      </w:r>
      <w:r>
        <w:instrText>SEQ Table \* ARABIC \s 1</w:instrText>
      </w:r>
      <w:r>
        <w:fldChar w:fldCharType="separate"/>
      </w:r>
      <w:r w:rsidR="00AA68F8">
        <w:rPr>
          <w:noProof/>
        </w:rPr>
        <w:t>1</w:t>
      </w:r>
      <w:r>
        <w:fldChar w:fldCharType="end"/>
      </w:r>
      <w:bookmarkEnd w:id="702"/>
      <w:r w:rsidRPr="008A0812">
        <w:t>: Capital Improvements in FY 201</w:t>
      </w:r>
      <w:r>
        <w:t>8</w:t>
      </w:r>
      <w:r w:rsidRPr="008A0812">
        <w:t xml:space="preserve"> – 2020 CIP</w:t>
      </w:r>
      <w:r>
        <w:t>s</w:t>
      </w:r>
      <w:r w:rsidRPr="008A0812">
        <w:t xml:space="preserve"> for Sewer Treatment</w:t>
      </w:r>
      <w:bookmarkEnd w:id="703"/>
      <w:bookmarkEnd w:id="704"/>
      <w:bookmarkEnd w:id="705"/>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68"/>
        <w:gridCol w:w="1584"/>
        <w:gridCol w:w="1708"/>
      </w:tblGrid>
      <w:tr w:rsidR="002F1B64" w:rsidRPr="008A0812" w14:paraId="3C38F55F" w14:textId="77777777" w:rsidTr="00A65ABA">
        <w:trPr>
          <w:tblHeader/>
        </w:trPr>
        <w:tc>
          <w:tcPr>
            <w:tcW w:w="6068"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bottom"/>
            <w:hideMark/>
          </w:tcPr>
          <w:p w14:paraId="658A66D2" w14:textId="77777777" w:rsidR="002F1B64" w:rsidRPr="008A0812" w:rsidRDefault="002F1B64" w:rsidP="00A65ABA">
            <w:pPr>
              <w:overflowPunct/>
              <w:autoSpaceDE/>
              <w:autoSpaceDN/>
              <w:adjustRightInd/>
              <w:jc w:val="center"/>
              <w:rPr>
                <w:rFonts w:asciiTheme="majorHAnsi" w:hAnsiTheme="majorHAnsi" w:cs="Segoe UI"/>
              </w:rPr>
            </w:pPr>
            <w:r w:rsidRPr="008A0812">
              <w:rPr>
                <w:rFonts w:asciiTheme="majorHAnsi" w:hAnsiTheme="majorHAnsi" w:cs="Segoe UI"/>
                <w:b/>
                <w:bCs/>
              </w:rPr>
              <w:t>Item</w:t>
            </w:r>
          </w:p>
        </w:tc>
        <w:tc>
          <w:tcPr>
            <w:tcW w:w="1584" w:type="dxa"/>
            <w:tcBorders>
              <w:top w:val="single" w:sz="6" w:space="0" w:color="auto"/>
              <w:left w:val="nil"/>
              <w:bottom w:val="single" w:sz="6" w:space="0" w:color="auto"/>
              <w:right w:val="single" w:sz="6" w:space="0" w:color="auto"/>
            </w:tcBorders>
            <w:shd w:val="clear" w:color="auto" w:fill="BFBFBF"/>
            <w:vAlign w:val="bottom"/>
            <w:hideMark/>
          </w:tcPr>
          <w:p w14:paraId="09978406" w14:textId="77777777" w:rsidR="002F1B64" w:rsidRPr="008A0812" w:rsidRDefault="002F1B64" w:rsidP="00A65ABA">
            <w:pPr>
              <w:overflowPunct/>
              <w:autoSpaceDE/>
              <w:autoSpaceDN/>
              <w:adjustRightInd/>
              <w:jc w:val="center"/>
              <w:rPr>
                <w:rFonts w:asciiTheme="majorHAnsi" w:hAnsiTheme="majorHAnsi" w:cs="Segoe UI"/>
                <w:b/>
              </w:rPr>
            </w:pPr>
            <w:r w:rsidRPr="008A0812">
              <w:rPr>
                <w:rFonts w:asciiTheme="majorHAnsi" w:hAnsiTheme="majorHAnsi" w:cs="Segoe UI"/>
                <w:b/>
                <w:bCs/>
              </w:rPr>
              <w:t>CIP Budget        FY 18-19</w:t>
            </w:r>
          </w:p>
        </w:tc>
        <w:tc>
          <w:tcPr>
            <w:tcW w:w="1708" w:type="dxa"/>
            <w:tcBorders>
              <w:top w:val="single" w:sz="6" w:space="0" w:color="auto"/>
              <w:left w:val="nil"/>
              <w:bottom w:val="single" w:sz="6" w:space="0" w:color="auto"/>
              <w:right w:val="single" w:sz="6" w:space="0" w:color="auto"/>
            </w:tcBorders>
            <w:shd w:val="clear" w:color="auto" w:fill="BFBFBF"/>
            <w:vAlign w:val="bottom"/>
            <w:hideMark/>
          </w:tcPr>
          <w:p w14:paraId="14B085B7" w14:textId="77777777" w:rsidR="002F1B64" w:rsidRPr="008A0812" w:rsidRDefault="002F1B64" w:rsidP="00A65ABA">
            <w:pPr>
              <w:overflowPunct/>
              <w:autoSpaceDE/>
              <w:autoSpaceDN/>
              <w:adjustRightInd/>
              <w:jc w:val="center"/>
              <w:rPr>
                <w:rFonts w:asciiTheme="majorHAnsi" w:hAnsiTheme="majorHAnsi" w:cs="Segoe UI"/>
                <w:b/>
                <w:bCs/>
              </w:rPr>
            </w:pPr>
            <w:r w:rsidRPr="008A0812">
              <w:rPr>
                <w:rFonts w:asciiTheme="majorHAnsi" w:hAnsiTheme="majorHAnsi" w:cs="Segoe UI"/>
                <w:b/>
                <w:bCs/>
              </w:rPr>
              <w:t>CIP Budget</w:t>
            </w:r>
          </w:p>
          <w:p w14:paraId="53068569" w14:textId="77777777" w:rsidR="002F1B64" w:rsidRPr="008A0812" w:rsidRDefault="002F1B64" w:rsidP="00A65ABA">
            <w:pPr>
              <w:overflowPunct/>
              <w:autoSpaceDE/>
              <w:autoSpaceDN/>
              <w:adjustRightInd/>
              <w:jc w:val="center"/>
              <w:rPr>
                <w:rFonts w:asciiTheme="majorHAnsi" w:hAnsiTheme="majorHAnsi" w:cs="Segoe UI"/>
              </w:rPr>
            </w:pPr>
            <w:r w:rsidRPr="008A0812">
              <w:rPr>
                <w:rFonts w:asciiTheme="majorHAnsi" w:hAnsiTheme="majorHAnsi" w:cs="Segoe UI"/>
                <w:b/>
                <w:bCs/>
              </w:rPr>
              <w:t>FY 19-20</w:t>
            </w:r>
          </w:p>
        </w:tc>
      </w:tr>
      <w:tr w:rsidR="002F1B64" w:rsidRPr="008A0812" w14:paraId="25DCAD27"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02A0A63"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WRP Facilities Assessment</w:t>
            </w:r>
          </w:p>
        </w:tc>
        <w:tc>
          <w:tcPr>
            <w:tcW w:w="1584" w:type="dxa"/>
            <w:tcBorders>
              <w:top w:val="nil"/>
              <w:left w:val="nil"/>
              <w:bottom w:val="single" w:sz="6" w:space="0" w:color="auto"/>
              <w:right w:val="single" w:sz="6" w:space="0" w:color="auto"/>
            </w:tcBorders>
            <w:shd w:val="clear" w:color="auto" w:fill="auto"/>
            <w:tcMar>
              <w:right w:w="144" w:type="dxa"/>
            </w:tcMar>
            <w:hideMark/>
          </w:tcPr>
          <w:p w14:paraId="17DD5FB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$ 750,000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22AEC588"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$ 72,830 </w:t>
            </w:r>
          </w:p>
        </w:tc>
      </w:tr>
      <w:tr w:rsidR="002F1B64" w:rsidRPr="008A0812" w14:paraId="30674513"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DEB743B"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Conveyor No. 5 Modifications</w:t>
            </w:r>
          </w:p>
        </w:tc>
        <w:tc>
          <w:tcPr>
            <w:tcW w:w="1584" w:type="dxa"/>
            <w:tcBorders>
              <w:top w:val="nil"/>
              <w:left w:val="nil"/>
              <w:bottom w:val="single" w:sz="6" w:space="0" w:color="auto"/>
              <w:right w:val="single" w:sz="6" w:space="0" w:color="auto"/>
            </w:tcBorders>
            <w:shd w:val="clear" w:color="auto" w:fill="auto"/>
            <w:tcMar>
              <w:right w:w="144" w:type="dxa"/>
            </w:tcMar>
            <w:hideMark/>
          </w:tcPr>
          <w:p w14:paraId="6CD6C4B6"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$ 80,000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06456CB0"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$ 67,000 </w:t>
            </w:r>
          </w:p>
        </w:tc>
      </w:tr>
      <w:tr w:rsidR="002F1B64" w:rsidRPr="008A0812" w14:paraId="352BB177"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4D1B908"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Unit 1 Secondary Effluent Modifications</w:t>
            </w:r>
          </w:p>
        </w:tc>
        <w:tc>
          <w:tcPr>
            <w:tcW w:w="1584" w:type="dxa"/>
            <w:tcBorders>
              <w:top w:val="nil"/>
              <w:left w:val="nil"/>
              <w:bottom w:val="single" w:sz="6" w:space="0" w:color="auto"/>
              <w:right w:val="single" w:sz="6" w:space="0" w:color="auto"/>
            </w:tcBorders>
            <w:shd w:val="clear" w:color="auto" w:fill="auto"/>
            <w:tcMar>
              <w:right w:w="144" w:type="dxa"/>
            </w:tcMar>
            <w:hideMark/>
          </w:tcPr>
          <w:p w14:paraId="7CB4142F"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23775CB1"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$ 250,000 </w:t>
            </w:r>
          </w:p>
        </w:tc>
      </w:tr>
      <w:tr w:rsidR="002F1B64" w:rsidRPr="008A0812" w14:paraId="670CF4B9"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84400CA"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E Street Lift Station Controls Upgrades</w:t>
            </w:r>
          </w:p>
        </w:tc>
        <w:tc>
          <w:tcPr>
            <w:tcW w:w="1584" w:type="dxa"/>
            <w:tcBorders>
              <w:top w:val="nil"/>
              <w:left w:val="nil"/>
              <w:bottom w:val="single" w:sz="6" w:space="0" w:color="auto"/>
              <w:right w:val="single" w:sz="6" w:space="0" w:color="auto"/>
            </w:tcBorders>
            <w:shd w:val="clear" w:color="auto" w:fill="auto"/>
            <w:tcMar>
              <w:right w:w="144" w:type="dxa"/>
            </w:tcMar>
            <w:hideMark/>
          </w:tcPr>
          <w:p w14:paraId="13DF2811"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7310D01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$ 120,000 </w:t>
            </w:r>
          </w:p>
        </w:tc>
      </w:tr>
      <w:tr w:rsidR="002F1B64" w:rsidRPr="008A0812" w14:paraId="497B06FB"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71557B6"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Solids Handling System</w:t>
            </w:r>
          </w:p>
        </w:tc>
        <w:tc>
          <w:tcPr>
            <w:tcW w:w="1584" w:type="dxa"/>
            <w:tcBorders>
              <w:top w:val="nil"/>
              <w:left w:val="nil"/>
              <w:bottom w:val="single" w:sz="6" w:space="0" w:color="auto"/>
              <w:right w:val="single" w:sz="6" w:space="0" w:color="auto"/>
            </w:tcBorders>
            <w:shd w:val="clear" w:color="auto" w:fill="auto"/>
            <w:tcMar>
              <w:right w:w="144" w:type="dxa"/>
            </w:tcMar>
            <w:hideMark/>
          </w:tcPr>
          <w:p w14:paraId="08D2E0A6"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1D00F9C7"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$ 60,000 </w:t>
            </w:r>
          </w:p>
        </w:tc>
      </w:tr>
      <w:tr w:rsidR="002F1B64" w:rsidRPr="008A0812" w14:paraId="04296DC1" w14:textId="77777777" w:rsidTr="00A65ABA">
        <w:trPr>
          <w:trHeight w:val="285"/>
        </w:trPr>
        <w:tc>
          <w:tcPr>
            <w:tcW w:w="6068"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0FC7B429"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WRP Operational (Ferric chloride backup tank)</w:t>
            </w:r>
          </w:p>
        </w:tc>
        <w:tc>
          <w:tcPr>
            <w:tcW w:w="1584" w:type="dxa"/>
            <w:tcBorders>
              <w:top w:val="single" w:sz="6" w:space="0" w:color="auto"/>
              <w:left w:val="nil"/>
              <w:bottom w:val="single" w:sz="6" w:space="0" w:color="auto"/>
              <w:right w:val="single" w:sz="6" w:space="0" w:color="auto"/>
            </w:tcBorders>
            <w:shd w:val="clear" w:color="auto" w:fill="auto"/>
            <w:tcMar>
              <w:right w:w="144" w:type="dxa"/>
            </w:tcMar>
            <w:hideMark/>
          </w:tcPr>
          <w:p w14:paraId="7B574EB9"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single" w:sz="6" w:space="0" w:color="auto"/>
              <w:left w:val="nil"/>
              <w:bottom w:val="single" w:sz="6" w:space="0" w:color="auto"/>
              <w:right w:val="single" w:sz="6" w:space="0" w:color="auto"/>
            </w:tcBorders>
            <w:shd w:val="clear" w:color="auto" w:fill="auto"/>
            <w:tcMar>
              <w:right w:w="144" w:type="dxa"/>
            </w:tcMar>
            <w:hideMark/>
          </w:tcPr>
          <w:p w14:paraId="5F741A7F"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$ 30,000 </w:t>
            </w:r>
          </w:p>
        </w:tc>
      </w:tr>
      <w:tr w:rsidR="002F1B64" w:rsidRPr="008A0812" w14:paraId="7B3CDABB"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4644301"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WRP Structural</w:t>
            </w:r>
          </w:p>
        </w:tc>
        <w:tc>
          <w:tcPr>
            <w:tcW w:w="1584" w:type="dxa"/>
            <w:tcBorders>
              <w:top w:val="nil"/>
              <w:left w:val="nil"/>
              <w:bottom w:val="single" w:sz="6" w:space="0" w:color="auto"/>
              <w:right w:val="single" w:sz="6" w:space="0" w:color="auto"/>
            </w:tcBorders>
            <w:shd w:val="clear" w:color="auto" w:fill="auto"/>
            <w:tcMar>
              <w:right w:w="144" w:type="dxa"/>
            </w:tcMar>
            <w:hideMark/>
          </w:tcPr>
          <w:p w14:paraId="556B588D"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1230F53D"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$ 15,000 </w:t>
            </w:r>
          </w:p>
        </w:tc>
      </w:tr>
      <w:tr w:rsidR="002F1B64" w:rsidRPr="008A0812" w14:paraId="7C2F22E2"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8A03343"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WRP Mechanical</w:t>
            </w:r>
          </w:p>
        </w:tc>
        <w:tc>
          <w:tcPr>
            <w:tcW w:w="1584" w:type="dxa"/>
            <w:tcBorders>
              <w:top w:val="nil"/>
              <w:left w:val="nil"/>
              <w:bottom w:val="single" w:sz="6" w:space="0" w:color="auto"/>
              <w:right w:val="single" w:sz="6" w:space="0" w:color="auto"/>
            </w:tcBorders>
            <w:shd w:val="clear" w:color="auto" w:fill="auto"/>
            <w:tcMar>
              <w:right w:w="144" w:type="dxa"/>
            </w:tcMar>
            <w:hideMark/>
          </w:tcPr>
          <w:p w14:paraId="64DB90F1"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56545434"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$ 245,000 </w:t>
            </w:r>
          </w:p>
        </w:tc>
      </w:tr>
      <w:tr w:rsidR="002F1B64" w:rsidRPr="008A0812" w14:paraId="74162D95"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75A29B2"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WRP Electrical, Instrumentation and SCADA</w:t>
            </w:r>
          </w:p>
        </w:tc>
        <w:tc>
          <w:tcPr>
            <w:tcW w:w="1584" w:type="dxa"/>
            <w:tcBorders>
              <w:top w:val="nil"/>
              <w:left w:val="nil"/>
              <w:bottom w:val="single" w:sz="6" w:space="0" w:color="auto"/>
              <w:right w:val="single" w:sz="6" w:space="0" w:color="auto"/>
            </w:tcBorders>
            <w:shd w:val="clear" w:color="auto" w:fill="auto"/>
            <w:tcMar>
              <w:right w:w="144" w:type="dxa"/>
            </w:tcMar>
            <w:hideMark/>
          </w:tcPr>
          <w:p w14:paraId="18FE533B"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6FCBAF6F"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$ 45,000 </w:t>
            </w:r>
          </w:p>
        </w:tc>
      </w:tr>
      <w:tr w:rsidR="002F1B64" w:rsidRPr="008A0812" w14:paraId="2558DFE5"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1DF9B80"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Annual R/R - WRP Facilities</w:t>
            </w:r>
          </w:p>
        </w:tc>
        <w:tc>
          <w:tcPr>
            <w:tcW w:w="1584" w:type="dxa"/>
            <w:tcBorders>
              <w:top w:val="nil"/>
              <w:left w:val="nil"/>
              <w:bottom w:val="single" w:sz="6" w:space="0" w:color="auto"/>
              <w:right w:val="single" w:sz="6" w:space="0" w:color="auto"/>
            </w:tcBorders>
            <w:shd w:val="clear" w:color="auto" w:fill="auto"/>
            <w:tcMar>
              <w:right w:w="144" w:type="dxa"/>
            </w:tcMar>
            <w:hideMark/>
          </w:tcPr>
          <w:p w14:paraId="4A5D4668"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nil"/>
              <w:left w:val="nil"/>
              <w:bottom w:val="single" w:sz="6" w:space="0" w:color="auto"/>
              <w:right w:val="single" w:sz="6" w:space="0" w:color="auto"/>
            </w:tcBorders>
            <w:shd w:val="clear" w:color="auto" w:fill="auto"/>
            <w:tcMar>
              <w:right w:w="144" w:type="dxa"/>
            </w:tcMar>
            <w:hideMark/>
          </w:tcPr>
          <w:p w14:paraId="7762D380"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$ 40,000 </w:t>
            </w:r>
          </w:p>
        </w:tc>
      </w:tr>
      <w:tr w:rsidR="002F1B64" w:rsidRPr="008A0812" w14:paraId="5514ED09"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D921A8C"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Flare Replacement Project (0.06 Backup)</w:t>
            </w:r>
          </w:p>
        </w:tc>
        <w:tc>
          <w:tcPr>
            <w:tcW w:w="1584" w:type="dxa"/>
            <w:tcBorders>
              <w:top w:val="nil"/>
              <w:left w:val="nil"/>
              <w:bottom w:val="single" w:sz="6" w:space="0" w:color="auto"/>
              <w:right w:val="single" w:sz="6" w:space="0" w:color="auto"/>
            </w:tcBorders>
            <w:shd w:val="clear" w:color="auto" w:fill="auto"/>
            <w:tcMar>
              <w:right w:w="144" w:type="dxa"/>
            </w:tcMar>
            <w:hideMark/>
          </w:tcPr>
          <w:p w14:paraId="49115C34"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$ 1,400,000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3A0B0D95"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$ 1,218,000 </w:t>
            </w:r>
          </w:p>
        </w:tc>
      </w:tr>
      <w:tr w:rsidR="002F1B64" w:rsidRPr="008A0812" w14:paraId="3336CC0E"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ED65F4B"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Flare Replacement Project (0.025 Duty)</w:t>
            </w:r>
          </w:p>
        </w:tc>
        <w:tc>
          <w:tcPr>
            <w:tcW w:w="1584" w:type="dxa"/>
            <w:tcBorders>
              <w:top w:val="nil"/>
              <w:left w:val="nil"/>
              <w:bottom w:val="single" w:sz="6" w:space="0" w:color="auto"/>
              <w:right w:val="single" w:sz="6" w:space="0" w:color="auto"/>
            </w:tcBorders>
            <w:shd w:val="clear" w:color="auto" w:fill="auto"/>
            <w:tcMar>
              <w:right w:w="144" w:type="dxa"/>
            </w:tcMar>
            <w:hideMark/>
          </w:tcPr>
          <w:p w14:paraId="21127EBD"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$ 100,000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5D94DED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$ 1,652,760 </w:t>
            </w:r>
          </w:p>
        </w:tc>
      </w:tr>
      <w:tr w:rsidR="002F1B64" w:rsidRPr="008A0812" w14:paraId="1CADFC05" w14:textId="77777777" w:rsidTr="00A65ABA">
        <w:trPr>
          <w:trHeight w:val="285"/>
        </w:trPr>
        <w:tc>
          <w:tcPr>
            <w:tcW w:w="6068"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583F1405"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Blower Decentralization Project </w:t>
            </w:r>
          </w:p>
        </w:tc>
        <w:tc>
          <w:tcPr>
            <w:tcW w:w="1584" w:type="dxa"/>
            <w:tcBorders>
              <w:top w:val="single" w:sz="6" w:space="0" w:color="auto"/>
              <w:left w:val="nil"/>
              <w:bottom w:val="single" w:sz="6" w:space="0" w:color="auto"/>
              <w:right w:val="single" w:sz="6" w:space="0" w:color="auto"/>
            </w:tcBorders>
            <w:shd w:val="clear" w:color="auto" w:fill="auto"/>
            <w:tcMar>
              <w:right w:w="144" w:type="dxa"/>
            </w:tcMar>
            <w:hideMark/>
          </w:tcPr>
          <w:p w14:paraId="06EFE2FB"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$ 10,700,000 </w:t>
            </w:r>
          </w:p>
        </w:tc>
        <w:tc>
          <w:tcPr>
            <w:tcW w:w="1708" w:type="dxa"/>
            <w:tcBorders>
              <w:top w:val="single" w:sz="6" w:space="0" w:color="auto"/>
              <w:left w:val="nil"/>
              <w:bottom w:val="single" w:sz="6" w:space="0" w:color="auto"/>
              <w:right w:val="single" w:sz="6" w:space="0" w:color="auto"/>
            </w:tcBorders>
            <w:shd w:val="clear" w:color="auto" w:fill="auto"/>
            <w:tcMar>
              <w:right w:w="144" w:type="dxa"/>
            </w:tcMar>
            <w:hideMark/>
          </w:tcPr>
          <w:p w14:paraId="3BE35E86"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$ 12,785,000 </w:t>
            </w:r>
          </w:p>
        </w:tc>
      </w:tr>
      <w:tr w:rsidR="002F1B64" w:rsidRPr="008A0812" w14:paraId="686178B1"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9AA0E47"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ALS Reliability Project </w:t>
            </w:r>
          </w:p>
        </w:tc>
        <w:tc>
          <w:tcPr>
            <w:tcW w:w="1584" w:type="dxa"/>
            <w:tcBorders>
              <w:top w:val="nil"/>
              <w:left w:val="nil"/>
              <w:bottom w:val="single" w:sz="6" w:space="0" w:color="auto"/>
              <w:right w:val="single" w:sz="6" w:space="0" w:color="auto"/>
            </w:tcBorders>
            <w:shd w:val="clear" w:color="auto" w:fill="auto"/>
            <w:tcMar>
              <w:right w:w="144" w:type="dxa"/>
            </w:tcMar>
            <w:hideMark/>
          </w:tcPr>
          <w:p w14:paraId="6BF2980D"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$ 3,000,000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54C017E4"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$ 2,905,673 </w:t>
            </w:r>
          </w:p>
        </w:tc>
      </w:tr>
      <w:tr w:rsidR="002F1B64" w:rsidRPr="008A0812" w14:paraId="7E0D136A"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E600998"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Digester Gas Holder Project </w:t>
            </w:r>
          </w:p>
        </w:tc>
        <w:tc>
          <w:tcPr>
            <w:tcW w:w="1584" w:type="dxa"/>
            <w:tcBorders>
              <w:top w:val="nil"/>
              <w:left w:val="nil"/>
              <w:bottom w:val="single" w:sz="6" w:space="0" w:color="auto"/>
              <w:right w:val="single" w:sz="6" w:space="0" w:color="auto"/>
            </w:tcBorders>
            <w:shd w:val="clear" w:color="auto" w:fill="auto"/>
            <w:tcMar>
              <w:right w:w="144" w:type="dxa"/>
            </w:tcMar>
            <w:hideMark/>
          </w:tcPr>
          <w:p w14:paraId="455D109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$ 2,500,000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1E5355B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$ 2,650,000 </w:t>
            </w:r>
          </w:p>
        </w:tc>
      </w:tr>
      <w:tr w:rsidR="002F1B64" w:rsidRPr="008A0812" w14:paraId="3353B43E" w14:textId="77777777" w:rsidTr="00A65ABA">
        <w:trPr>
          <w:trHeight w:val="285"/>
        </w:trPr>
        <w:tc>
          <w:tcPr>
            <w:tcW w:w="6068"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56AECEF4"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WRP Primary Metering Project </w:t>
            </w:r>
          </w:p>
        </w:tc>
        <w:tc>
          <w:tcPr>
            <w:tcW w:w="1584" w:type="dxa"/>
            <w:tcBorders>
              <w:top w:val="single" w:sz="6" w:space="0" w:color="auto"/>
              <w:left w:val="nil"/>
              <w:bottom w:val="single" w:sz="6" w:space="0" w:color="auto"/>
              <w:right w:val="single" w:sz="6" w:space="0" w:color="auto"/>
            </w:tcBorders>
            <w:shd w:val="clear" w:color="auto" w:fill="auto"/>
            <w:tcMar>
              <w:right w:w="144" w:type="dxa"/>
            </w:tcMar>
            <w:hideMark/>
          </w:tcPr>
          <w:p w14:paraId="0B4653D1"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w:t>
            </w:r>
          </w:p>
        </w:tc>
        <w:tc>
          <w:tcPr>
            <w:tcW w:w="1708" w:type="dxa"/>
            <w:tcBorders>
              <w:top w:val="single" w:sz="6" w:space="0" w:color="auto"/>
              <w:left w:val="nil"/>
              <w:bottom w:val="single" w:sz="6" w:space="0" w:color="auto"/>
              <w:right w:val="single" w:sz="6" w:space="0" w:color="auto"/>
            </w:tcBorders>
            <w:shd w:val="clear" w:color="auto" w:fill="auto"/>
            <w:tcMar>
              <w:right w:w="144" w:type="dxa"/>
            </w:tcMar>
            <w:hideMark/>
          </w:tcPr>
          <w:p w14:paraId="240A1EFE"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$ 250,000 </w:t>
            </w:r>
          </w:p>
        </w:tc>
      </w:tr>
      <w:tr w:rsidR="002F1B64" w:rsidRPr="008A0812" w14:paraId="68E3EC1B"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2D366A51"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SBMWD Administration Building </w:t>
            </w:r>
          </w:p>
        </w:tc>
        <w:tc>
          <w:tcPr>
            <w:tcW w:w="1584" w:type="dxa"/>
            <w:tcBorders>
              <w:top w:val="nil"/>
              <w:left w:val="nil"/>
              <w:bottom w:val="single" w:sz="6" w:space="0" w:color="auto"/>
              <w:right w:val="single" w:sz="6" w:space="0" w:color="auto"/>
            </w:tcBorders>
            <w:shd w:val="clear" w:color="auto" w:fill="auto"/>
            <w:tcMar>
              <w:right w:w="144" w:type="dxa"/>
            </w:tcMar>
            <w:hideMark/>
          </w:tcPr>
          <w:p w14:paraId="1B997D52"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$ 1,125,000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6A6968BC"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$ 1,125,000 </w:t>
            </w:r>
          </w:p>
        </w:tc>
      </w:tr>
      <w:tr w:rsidR="002F1B64" w:rsidRPr="008A0812" w14:paraId="637031DE"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AE5B2A9" w14:textId="77777777" w:rsidR="002F1B64" w:rsidRPr="008A0812" w:rsidRDefault="002F1B64" w:rsidP="00A65ABA">
            <w:pPr>
              <w:overflowPunct/>
              <w:autoSpaceDE/>
              <w:autoSpaceDN/>
              <w:adjustRightInd/>
              <w:rPr>
                <w:rFonts w:asciiTheme="majorHAnsi" w:hAnsiTheme="majorHAnsi" w:cs="Segoe UI"/>
              </w:rPr>
            </w:pPr>
            <w:r w:rsidRPr="008A0812">
              <w:rPr>
                <w:rFonts w:asciiTheme="majorHAnsi" w:hAnsiTheme="majorHAnsi" w:cs="Segoe UI"/>
              </w:rPr>
              <w:t xml:space="preserve">Phase 2 - Tertiary Treatment System (Design) </w:t>
            </w:r>
          </w:p>
        </w:tc>
        <w:tc>
          <w:tcPr>
            <w:tcW w:w="1584" w:type="dxa"/>
            <w:tcBorders>
              <w:top w:val="nil"/>
              <w:left w:val="nil"/>
              <w:bottom w:val="single" w:sz="6" w:space="0" w:color="auto"/>
              <w:right w:val="single" w:sz="6" w:space="0" w:color="auto"/>
            </w:tcBorders>
            <w:shd w:val="clear" w:color="auto" w:fill="auto"/>
            <w:tcMar>
              <w:right w:w="144" w:type="dxa"/>
            </w:tcMar>
            <w:hideMark/>
          </w:tcPr>
          <w:p w14:paraId="2903B19F"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$ 3,585,313 </w:t>
            </w:r>
          </w:p>
        </w:tc>
        <w:tc>
          <w:tcPr>
            <w:tcW w:w="1708" w:type="dxa"/>
            <w:tcBorders>
              <w:top w:val="nil"/>
              <w:left w:val="nil"/>
              <w:bottom w:val="single" w:sz="6" w:space="0" w:color="auto"/>
              <w:right w:val="single" w:sz="6" w:space="0" w:color="auto"/>
            </w:tcBorders>
            <w:shd w:val="clear" w:color="auto" w:fill="auto"/>
            <w:tcMar>
              <w:right w:w="144" w:type="dxa"/>
            </w:tcMar>
            <w:hideMark/>
          </w:tcPr>
          <w:p w14:paraId="0DC1EB65" w14:textId="77777777" w:rsidR="002F1B64" w:rsidRPr="008A0812" w:rsidRDefault="002F1B64" w:rsidP="00A65ABA">
            <w:pPr>
              <w:overflowPunct/>
              <w:autoSpaceDE/>
              <w:autoSpaceDN/>
              <w:adjustRightInd/>
              <w:jc w:val="right"/>
              <w:rPr>
                <w:rFonts w:asciiTheme="majorHAnsi" w:hAnsiTheme="majorHAnsi" w:cs="Segoe UI"/>
              </w:rPr>
            </w:pPr>
            <w:r w:rsidRPr="008A0812">
              <w:rPr>
                <w:rFonts w:asciiTheme="majorHAnsi" w:hAnsiTheme="majorHAnsi" w:cs="Segoe UI"/>
              </w:rPr>
              <w:t xml:space="preserve">$ 2,543,554 </w:t>
            </w:r>
          </w:p>
        </w:tc>
      </w:tr>
      <w:tr w:rsidR="002F1B64" w:rsidRPr="008A0812" w14:paraId="138EFF92"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23609FB" w14:textId="77777777" w:rsidR="002F1B64" w:rsidRPr="008A0812" w:rsidRDefault="002F1B64" w:rsidP="00A65ABA">
            <w:pPr>
              <w:keepNext/>
              <w:overflowPunct/>
              <w:autoSpaceDE/>
              <w:autoSpaceDN/>
              <w:adjustRightInd/>
              <w:rPr>
                <w:rFonts w:asciiTheme="majorHAnsi" w:hAnsiTheme="majorHAnsi" w:cs="Segoe UI"/>
              </w:rPr>
            </w:pPr>
            <w:r w:rsidRPr="008A0812">
              <w:rPr>
                <w:rFonts w:asciiTheme="majorHAnsi" w:hAnsiTheme="majorHAnsi" w:cs="Segoe UI"/>
              </w:rPr>
              <w:t xml:space="preserve">Phase 2 - Tertiary Treatment System (Design) - Grant </w:t>
            </w:r>
          </w:p>
        </w:tc>
        <w:tc>
          <w:tcPr>
            <w:tcW w:w="1584" w:type="dxa"/>
            <w:tcBorders>
              <w:top w:val="nil"/>
              <w:left w:val="nil"/>
              <w:bottom w:val="single" w:sz="6" w:space="0" w:color="auto"/>
              <w:right w:val="single" w:sz="6" w:space="0" w:color="auto"/>
            </w:tcBorders>
            <w:shd w:val="clear" w:color="auto" w:fill="auto"/>
            <w:tcMar>
              <w:right w:w="144" w:type="dxa"/>
            </w:tcMar>
            <w:hideMark/>
          </w:tcPr>
          <w:p w14:paraId="4E29D772" w14:textId="77777777" w:rsidR="002F1B64" w:rsidRPr="008A0812" w:rsidRDefault="002F1B64" w:rsidP="00A65ABA">
            <w:pPr>
              <w:keepNext/>
              <w:overflowPunct/>
              <w:autoSpaceDE/>
              <w:autoSpaceDN/>
              <w:adjustRightInd/>
              <w:jc w:val="right"/>
              <w:rPr>
                <w:rFonts w:asciiTheme="majorHAnsi" w:hAnsiTheme="majorHAnsi" w:cs="Segoe UI"/>
              </w:rPr>
            </w:pPr>
            <w:r w:rsidRPr="008A0812">
              <w:rPr>
                <w:rFonts w:asciiTheme="majorHAnsi" w:hAnsiTheme="majorHAnsi" w:cs="Segoe UI"/>
              </w:rPr>
              <w:t xml:space="preserve">$ 472,113 </w:t>
            </w:r>
          </w:p>
        </w:tc>
        <w:tc>
          <w:tcPr>
            <w:tcW w:w="1708" w:type="dxa"/>
            <w:tcBorders>
              <w:top w:val="nil"/>
              <w:left w:val="nil"/>
              <w:bottom w:val="single" w:sz="6" w:space="0" w:color="auto"/>
              <w:right w:val="single" w:sz="6" w:space="0" w:color="auto"/>
            </w:tcBorders>
            <w:shd w:val="clear" w:color="auto" w:fill="auto"/>
            <w:tcMar>
              <w:right w:w="144" w:type="dxa"/>
            </w:tcMar>
            <w:hideMark/>
          </w:tcPr>
          <w:p w14:paraId="363B1485" w14:textId="77777777" w:rsidR="002F1B64" w:rsidRPr="008A0812" w:rsidRDefault="002F1B64" w:rsidP="00A65ABA">
            <w:pPr>
              <w:keepNext/>
              <w:overflowPunct/>
              <w:autoSpaceDE/>
              <w:autoSpaceDN/>
              <w:adjustRightInd/>
              <w:jc w:val="right"/>
              <w:rPr>
                <w:rFonts w:asciiTheme="majorHAnsi" w:hAnsiTheme="majorHAnsi" w:cs="Segoe UI"/>
              </w:rPr>
            </w:pPr>
            <w:r w:rsidRPr="008A0812">
              <w:rPr>
                <w:rFonts w:asciiTheme="majorHAnsi" w:hAnsiTheme="majorHAnsi" w:cs="Segoe UI"/>
              </w:rPr>
              <w:t xml:space="preserve"> - </w:t>
            </w:r>
          </w:p>
        </w:tc>
      </w:tr>
      <w:tr w:rsidR="002F1B64" w:rsidRPr="008A0812" w14:paraId="2576DD3C"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FEF41ED" w14:textId="77777777" w:rsidR="002F1B64" w:rsidRPr="008A0812" w:rsidRDefault="002F1B64" w:rsidP="00A65ABA">
            <w:pPr>
              <w:keepNext/>
              <w:overflowPunct/>
              <w:autoSpaceDE/>
              <w:autoSpaceDN/>
              <w:adjustRightInd/>
              <w:rPr>
                <w:rFonts w:asciiTheme="majorHAnsi" w:hAnsiTheme="majorHAnsi" w:cs="Segoe UI"/>
              </w:rPr>
            </w:pPr>
            <w:r w:rsidRPr="008A0812">
              <w:rPr>
                <w:rFonts w:asciiTheme="majorHAnsi" w:hAnsiTheme="majorHAnsi" w:cs="Segoe UI"/>
              </w:rPr>
              <w:t xml:space="preserve">Phase 4 - Tertiary Treatment System (Construction) </w:t>
            </w:r>
          </w:p>
        </w:tc>
        <w:tc>
          <w:tcPr>
            <w:tcW w:w="1584" w:type="dxa"/>
            <w:tcBorders>
              <w:top w:val="nil"/>
              <w:left w:val="nil"/>
              <w:bottom w:val="single" w:sz="6" w:space="0" w:color="auto"/>
              <w:right w:val="single" w:sz="6" w:space="0" w:color="auto"/>
            </w:tcBorders>
            <w:shd w:val="clear" w:color="auto" w:fill="auto"/>
            <w:tcMar>
              <w:right w:w="144" w:type="dxa"/>
            </w:tcMar>
            <w:hideMark/>
          </w:tcPr>
          <w:p w14:paraId="48C122A6" w14:textId="77777777" w:rsidR="002F1B64" w:rsidRPr="008A0812" w:rsidRDefault="002F1B64" w:rsidP="00A65ABA">
            <w:pPr>
              <w:keepNext/>
              <w:overflowPunct/>
              <w:autoSpaceDE/>
              <w:autoSpaceDN/>
              <w:adjustRightInd/>
              <w:jc w:val="right"/>
              <w:rPr>
                <w:rFonts w:asciiTheme="majorHAnsi" w:hAnsiTheme="majorHAnsi" w:cs="Segoe UI"/>
              </w:rPr>
            </w:pPr>
            <w:r w:rsidRPr="008A0812">
              <w:rPr>
                <w:rFonts w:asciiTheme="majorHAnsi" w:hAnsiTheme="majorHAnsi" w:cs="Segoe UI"/>
              </w:rPr>
              <w:t xml:space="preserve">$ 13,500,000 </w:t>
            </w:r>
          </w:p>
        </w:tc>
        <w:tc>
          <w:tcPr>
            <w:tcW w:w="1708" w:type="dxa"/>
            <w:tcBorders>
              <w:top w:val="nil"/>
              <w:left w:val="nil"/>
              <w:bottom w:val="single" w:sz="6" w:space="0" w:color="auto"/>
              <w:right w:val="single" w:sz="6" w:space="0" w:color="auto"/>
            </w:tcBorders>
            <w:shd w:val="clear" w:color="auto" w:fill="auto"/>
            <w:tcMar>
              <w:right w:w="144" w:type="dxa"/>
            </w:tcMar>
            <w:hideMark/>
          </w:tcPr>
          <w:p w14:paraId="345B1665" w14:textId="77777777" w:rsidR="002F1B64" w:rsidRPr="008A0812" w:rsidRDefault="002F1B64" w:rsidP="00A65ABA">
            <w:pPr>
              <w:keepNext/>
              <w:overflowPunct/>
              <w:autoSpaceDE/>
              <w:autoSpaceDN/>
              <w:adjustRightInd/>
              <w:jc w:val="right"/>
              <w:rPr>
                <w:rFonts w:asciiTheme="majorHAnsi" w:hAnsiTheme="majorHAnsi" w:cs="Segoe UI"/>
              </w:rPr>
            </w:pPr>
            <w:r w:rsidRPr="008A0812">
              <w:rPr>
                <w:rFonts w:asciiTheme="majorHAnsi" w:hAnsiTheme="majorHAnsi" w:cs="Segoe UI"/>
              </w:rPr>
              <w:t> $ 13,500,000 </w:t>
            </w:r>
          </w:p>
        </w:tc>
      </w:tr>
      <w:tr w:rsidR="002F1B64" w:rsidRPr="008A0812" w14:paraId="4A9A9E74" w14:textId="77777777" w:rsidTr="00A65ABA">
        <w:trPr>
          <w:trHeight w:val="285"/>
        </w:trPr>
        <w:tc>
          <w:tcPr>
            <w:tcW w:w="6068" w:type="dxa"/>
            <w:tcBorders>
              <w:top w:val="nil"/>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5C1217A5" w14:textId="77777777" w:rsidR="002F1B64" w:rsidRPr="008A0812" w:rsidRDefault="002F1B64" w:rsidP="00A65ABA">
            <w:pPr>
              <w:keepNext/>
              <w:overflowPunct/>
              <w:autoSpaceDE/>
              <w:autoSpaceDN/>
              <w:adjustRightInd/>
              <w:rPr>
                <w:rFonts w:asciiTheme="majorHAnsi" w:hAnsiTheme="majorHAnsi" w:cs="Segoe UI"/>
              </w:rPr>
            </w:pPr>
            <w:r w:rsidRPr="008A0812">
              <w:rPr>
                <w:rFonts w:asciiTheme="majorHAnsi" w:hAnsiTheme="majorHAnsi" w:cs="Segoe UI"/>
                <w:b/>
                <w:bCs/>
              </w:rPr>
              <w:t>Total</w:t>
            </w:r>
            <w:r w:rsidRPr="008A0812">
              <w:rPr>
                <w:rFonts w:asciiTheme="majorHAnsi" w:hAnsiTheme="majorHAnsi" w:cs="Segoe UI"/>
              </w:rPr>
              <w:t> </w:t>
            </w:r>
          </w:p>
        </w:tc>
        <w:tc>
          <w:tcPr>
            <w:tcW w:w="1584" w:type="dxa"/>
            <w:tcBorders>
              <w:top w:val="nil"/>
              <w:left w:val="nil"/>
              <w:bottom w:val="single" w:sz="6" w:space="0" w:color="auto"/>
              <w:right w:val="single" w:sz="6" w:space="0" w:color="auto"/>
            </w:tcBorders>
            <w:shd w:val="clear" w:color="auto" w:fill="BFBFBF"/>
            <w:tcMar>
              <w:right w:w="144" w:type="dxa"/>
            </w:tcMar>
            <w:hideMark/>
          </w:tcPr>
          <w:p w14:paraId="3D21EE68" w14:textId="77777777" w:rsidR="002F1B64" w:rsidRPr="008A0812" w:rsidRDefault="002F1B64" w:rsidP="00A65ABA">
            <w:pPr>
              <w:keepNext/>
              <w:overflowPunct/>
              <w:autoSpaceDE/>
              <w:autoSpaceDN/>
              <w:adjustRightInd/>
              <w:jc w:val="right"/>
              <w:rPr>
                <w:rFonts w:asciiTheme="majorHAnsi" w:hAnsiTheme="majorHAnsi" w:cs="Segoe UI"/>
              </w:rPr>
            </w:pPr>
            <w:r w:rsidRPr="008A0812">
              <w:rPr>
                <w:rFonts w:asciiTheme="majorHAnsi" w:hAnsiTheme="majorHAnsi" w:cs="Segoe UI"/>
                <w:b/>
                <w:bCs/>
              </w:rPr>
              <w:t>$ 37,212,426</w:t>
            </w:r>
          </w:p>
        </w:tc>
        <w:tc>
          <w:tcPr>
            <w:tcW w:w="1708" w:type="dxa"/>
            <w:tcBorders>
              <w:top w:val="nil"/>
              <w:left w:val="nil"/>
              <w:bottom w:val="single" w:sz="6" w:space="0" w:color="auto"/>
              <w:right w:val="single" w:sz="6" w:space="0" w:color="auto"/>
            </w:tcBorders>
            <w:shd w:val="clear" w:color="auto" w:fill="BFBFBF"/>
            <w:tcMar>
              <w:right w:w="144" w:type="dxa"/>
            </w:tcMar>
            <w:hideMark/>
          </w:tcPr>
          <w:p w14:paraId="59C3E0F9" w14:textId="77777777" w:rsidR="002F1B64" w:rsidRPr="008A0812" w:rsidRDefault="002F1B64" w:rsidP="00A65ABA">
            <w:pPr>
              <w:keepNext/>
              <w:overflowPunct/>
              <w:autoSpaceDE/>
              <w:autoSpaceDN/>
              <w:adjustRightInd/>
              <w:jc w:val="right"/>
              <w:rPr>
                <w:rFonts w:asciiTheme="majorHAnsi" w:hAnsiTheme="majorHAnsi" w:cs="Segoe UI"/>
                <w:b/>
              </w:rPr>
            </w:pPr>
            <w:r w:rsidRPr="008A0812">
              <w:rPr>
                <w:rFonts w:asciiTheme="majorHAnsi" w:hAnsiTheme="majorHAnsi" w:cs="Segoe UI"/>
                <w:b/>
                <w:bCs/>
              </w:rPr>
              <w:t>$ 39,574,817 </w:t>
            </w:r>
          </w:p>
        </w:tc>
      </w:tr>
    </w:tbl>
    <w:p w14:paraId="28BD947F" w14:textId="77777777" w:rsidR="002F1B64" w:rsidRPr="008A0812" w:rsidRDefault="002F1B64" w:rsidP="002F1B64">
      <w:pPr>
        <w:keepNext/>
        <w:overflowPunct/>
        <w:autoSpaceDE/>
        <w:autoSpaceDN/>
        <w:adjustRightInd/>
        <w:spacing w:before="120"/>
        <w:ind w:left="360"/>
        <w:jc w:val="center"/>
        <w:rPr>
          <w:rFonts w:cs="Segoe UI"/>
          <w:i/>
          <w:iCs/>
          <w:sz w:val="20"/>
          <w:szCs w:val="20"/>
        </w:rPr>
      </w:pPr>
      <w:r w:rsidRPr="008A0812">
        <w:rPr>
          <w:rFonts w:cs="Segoe UI"/>
          <w:i/>
          <w:iCs/>
          <w:sz w:val="20"/>
          <w:szCs w:val="20"/>
        </w:rPr>
        <w:t>Source: SBMWD Sewer Treatment CIP Budget Summary, 2019</w:t>
      </w:r>
    </w:p>
    <w:p w14:paraId="0BF68323" w14:textId="77777777" w:rsidR="002F1B64" w:rsidRDefault="002F1B64" w:rsidP="002F1B64">
      <w:pPr>
        <w:pStyle w:val="Heading2"/>
        <w:numPr>
          <w:ilvl w:val="1"/>
          <w:numId w:val="1"/>
        </w:numPr>
      </w:pPr>
      <w:bookmarkStart w:id="706" w:name="_Toc41680946"/>
      <w:bookmarkStart w:id="707" w:name="_Toc40434643"/>
      <w:bookmarkStart w:id="708" w:name="_Toc23931771"/>
      <w:bookmarkStart w:id="709" w:name="_Ref36655011"/>
      <w:r>
        <w:t>2020 – 2040 CIP Implementation Road Map</w:t>
      </w:r>
      <w:bookmarkEnd w:id="706"/>
    </w:p>
    <w:p w14:paraId="0B1195A2" w14:textId="5282E0E4" w:rsidR="002F1B64" w:rsidRDefault="002F1B64" w:rsidP="002F1B64">
      <w:pPr>
        <w:pStyle w:val="BodyText"/>
      </w:pPr>
      <w:r w:rsidRPr="00B233D1">
        <w:t xml:space="preserve">The </w:t>
      </w:r>
      <w:r>
        <w:t xml:space="preserve">CIP </w:t>
      </w:r>
      <w:r w:rsidRPr="00B233D1">
        <w:t xml:space="preserve">plan schedules the recommended projects over the </w:t>
      </w:r>
      <w:r>
        <w:t xml:space="preserve">2020-2040 </w:t>
      </w:r>
      <w:r w:rsidRPr="00B233D1">
        <w:t xml:space="preserve">planning period based on priority, funding, sequencing considerations (such as maintaining a minimum number of processes on-line) and external events </w:t>
      </w:r>
      <w:r>
        <w:t>(</w:t>
      </w:r>
      <w:r w:rsidRPr="00B233D1">
        <w:t xml:space="preserve">such </w:t>
      </w:r>
      <w:r>
        <w:t xml:space="preserve">as </w:t>
      </w:r>
      <w:r w:rsidRPr="00B233D1">
        <w:t xml:space="preserve">the </w:t>
      </w:r>
      <w:r>
        <w:t>reduction of influent flow)</w:t>
      </w:r>
      <w:r w:rsidRPr="00B233D1">
        <w:t>.</w:t>
      </w:r>
      <w:r>
        <w:t xml:space="preserve"> Implementation of recommended projects presented in a visual format in </w:t>
      </w:r>
      <w:r>
        <w:fldChar w:fldCharType="begin"/>
      </w:r>
      <w:r>
        <w:instrText xml:space="preserve"> REF _Ref40443587 \h  \* MERGEFORMAT </w:instrText>
      </w:r>
      <w:r>
        <w:fldChar w:fldCharType="separate"/>
      </w:r>
      <w:r w:rsidR="00AA68F8">
        <w:t>Figure 11</w:t>
      </w:r>
      <w:r w:rsidR="00AA68F8">
        <w:noBreakHyphen/>
        <w:t>1</w:t>
      </w:r>
      <w:r>
        <w:fldChar w:fldCharType="end"/>
      </w:r>
      <w:r>
        <w:t xml:space="preserve"> and described in the sections that follow. The timeline is presented on a log scale to enhance clarity on the project schedule from 2020-2025. The rows separate project categories into Liquid, Solid, Studies/Resultant Projects, and R&amp;R projects. Only near-term R&amp;R projects are shown on the figure. An implementation schedule was not developed for medium- and long-term R&amp;R projects due to uncertainty.</w:t>
      </w:r>
    </w:p>
    <w:p w14:paraId="3CA61901" w14:textId="7E8A3F11" w:rsidR="002F1B64" w:rsidRDefault="002F1B64" w:rsidP="002F1B64">
      <w:pPr>
        <w:pStyle w:val="BodyText"/>
      </w:pPr>
      <w:r>
        <w:t xml:space="preserve">Individual projects are color-coded: gray represent liquid process projects, green represents solids-related projects, red represents electrical and SCADA projects (with pink to represent associated plans), and tan represents general projects. The Unit 3 Expansion and completion project is split into two phases, which are described in Section </w:t>
      </w:r>
      <w:r>
        <w:fldChar w:fldCharType="begin"/>
      </w:r>
      <w:r>
        <w:instrText xml:space="preserve"> REF _Ref40434003 \r \h </w:instrText>
      </w:r>
      <w:r>
        <w:fldChar w:fldCharType="separate"/>
      </w:r>
      <w:r w:rsidR="00AA68F8">
        <w:t>11.4.1</w:t>
      </w:r>
      <w:r>
        <w:fldChar w:fldCharType="end"/>
      </w:r>
      <w:r>
        <w:t>. The design and construction phases are separated in slate and orange colors, respectively.</w:t>
      </w:r>
    </w:p>
    <w:p w14:paraId="4B1A1B32" w14:textId="77777777" w:rsidR="002F1B64" w:rsidRDefault="002F1B64" w:rsidP="002F1B64">
      <w:pPr>
        <w:overflowPunct/>
        <w:autoSpaceDE/>
        <w:autoSpaceDN/>
        <w:adjustRightInd/>
        <w:textAlignment w:val="auto"/>
      </w:pPr>
      <w:r>
        <w:br w:type="page"/>
      </w:r>
    </w:p>
    <w:p w14:paraId="43923337" w14:textId="77777777" w:rsidR="002F1B64" w:rsidRDefault="002F1B64" w:rsidP="002F1B64">
      <w:pPr>
        <w:overflowPunct/>
        <w:autoSpaceDE/>
        <w:autoSpaceDN/>
        <w:adjustRightInd/>
        <w:textAlignment w:val="auto"/>
        <w:sectPr w:rsidR="002F1B64" w:rsidSect="000926F4">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5AC3ADF4" w14:textId="53E3E33E" w:rsidR="002F1B64" w:rsidRDefault="002F1B64" w:rsidP="002F1B64">
      <w:pPr>
        <w:pStyle w:val="FigureHeading"/>
      </w:pPr>
      <w:bookmarkStart w:id="710" w:name="_Ref40443587"/>
      <w:bookmarkStart w:id="711" w:name="_Toc41684716"/>
      <w:r>
        <w:t xml:space="preserve">Figure </w:t>
      </w:r>
      <w:fldSimple w:instr=" STYLEREF 1 \s ">
        <w:r w:rsidR="00AA68F8">
          <w:rPr>
            <w:noProof/>
          </w:rPr>
          <w:t>11</w:t>
        </w:r>
      </w:fldSimple>
      <w:r>
        <w:noBreakHyphen/>
      </w:r>
      <w:fldSimple w:instr=" SEQ Figure \* ARABIC \s 1 ">
        <w:r w:rsidR="00AA68F8">
          <w:rPr>
            <w:noProof/>
          </w:rPr>
          <w:t>1</w:t>
        </w:r>
      </w:fldSimple>
      <w:bookmarkEnd w:id="710"/>
      <w:r>
        <w:t>: CIP Implementation Road Map</w:t>
      </w:r>
      <w:bookmarkEnd w:id="711"/>
    </w:p>
    <w:p w14:paraId="1FF555D7" w14:textId="77777777" w:rsidR="002F1B64" w:rsidRDefault="002F1B64" w:rsidP="002F1B64">
      <w:pPr>
        <w:overflowPunct/>
        <w:autoSpaceDE/>
        <w:autoSpaceDN/>
        <w:adjustRightInd/>
        <w:textAlignment w:val="auto"/>
        <w:sectPr w:rsidR="002F1B64" w:rsidSect="00B233D1">
          <w:headerReference w:type="default" r:id="rId103"/>
          <w:footnotePr>
            <w:numRestart w:val="eachPage"/>
          </w:footnotePr>
          <w:endnotePr>
            <w:numFmt w:val="decimal"/>
          </w:endnotePr>
          <w:pgSz w:w="15840" w:h="12240" w:orient="landscape" w:code="1"/>
          <w:pgMar w:top="1440" w:right="1080" w:bottom="1440" w:left="1080" w:header="720" w:footer="360" w:gutter="0"/>
          <w:pgNumType w:chapStyle="1"/>
          <w:cols w:space="720"/>
          <w:noEndnote/>
          <w:docGrid w:linePitch="299"/>
        </w:sectPr>
      </w:pPr>
      <w:r>
        <w:rPr>
          <w:noProof/>
        </w:rPr>
        <w:drawing>
          <wp:inline distT="0" distB="0" distL="0" distR="0" wp14:anchorId="37632081" wp14:editId="70E2D4D8">
            <wp:extent cx="8660498" cy="4933950"/>
            <wp:effectExtent l="0" t="0" r="7620" b="0"/>
            <wp:docPr id="53" name="Picture 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IP Road Map.jpg"/>
                    <pic:cNvPicPr/>
                  </pic:nvPicPr>
                  <pic:blipFill rotWithShape="1">
                    <a:blip r:embed="rId104">
                      <a:extLst>
                        <a:ext uri="{28A0092B-C50C-407E-A947-70E740481C1C}">
                          <a14:useLocalDpi xmlns:a14="http://schemas.microsoft.com/office/drawing/2010/main" val="0"/>
                        </a:ext>
                      </a:extLst>
                    </a:blip>
                    <a:srcRect t="5698" r="6891"/>
                    <a:stretch/>
                  </pic:blipFill>
                  <pic:spPr bwMode="auto">
                    <a:xfrm>
                      <a:off x="0" y="0"/>
                      <a:ext cx="8689231" cy="4950320"/>
                    </a:xfrm>
                    <a:prstGeom prst="rect">
                      <a:avLst/>
                    </a:prstGeom>
                    <a:ln>
                      <a:noFill/>
                    </a:ln>
                    <a:extLst>
                      <a:ext uri="{53640926-AAD7-44D8-BBD7-CCE9431645EC}">
                        <a14:shadowObscured xmlns:a14="http://schemas.microsoft.com/office/drawing/2010/main"/>
                      </a:ext>
                    </a:extLst>
                  </pic:spPr>
                </pic:pic>
              </a:graphicData>
            </a:graphic>
          </wp:inline>
        </w:drawing>
      </w:r>
    </w:p>
    <w:p w14:paraId="21EAD7AC" w14:textId="77777777" w:rsidR="002F1B64" w:rsidRDefault="002F1B64" w:rsidP="002F1B64">
      <w:pPr>
        <w:pStyle w:val="Heading2"/>
        <w:numPr>
          <w:ilvl w:val="1"/>
          <w:numId w:val="1"/>
        </w:numPr>
      </w:pPr>
      <w:bookmarkStart w:id="712" w:name="_Toc41680947"/>
      <w:r>
        <w:t>Unit 3 Expansion and Completion</w:t>
      </w:r>
      <w:bookmarkEnd w:id="707"/>
      <w:r>
        <w:t xml:space="preserve"> Project</w:t>
      </w:r>
      <w:bookmarkEnd w:id="712"/>
    </w:p>
    <w:p w14:paraId="4960AEA9" w14:textId="77777777" w:rsidR="002F1B64" w:rsidRDefault="002F1B64" w:rsidP="002F1B64">
      <w:pPr>
        <w:pStyle w:val="BodyText"/>
      </w:pPr>
      <w:r>
        <w:t>Due to the magnitude of project cost for the Unit 3 Expansion and Completion Project, a comparison is made between:</w:t>
      </w:r>
    </w:p>
    <w:p w14:paraId="1D1966AF" w14:textId="77777777" w:rsidR="002F1B64" w:rsidRDefault="002F1B64" w:rsidP="002F1B64">
      <w:pPr>
        <w:pStyle w:val="BodyText"/>
        <w:numPr>
          <w:ilvl w:val="0"/>
          <w:numId w:val="62"/>
        </w:numPr>
      </w:pPr>
      <w:r>
        <w:t xml:space="preserve">Maintaining existing WRP facilities without undertaking expansion of Unit 3, and </w:t>
      </w:r>
    </w:p>
    <w:p w14:paraId="72850084" w14:textId="77777777" w:rsidR="002F1B64" w:rsidRDefault="002F1B64" w:rsidP="002F1B64">
      <w:pPr>
        <w:pStyle w:val="BodyText"/>
        <w:numPr>
          <w:ilvl w:val="0"/>
          <w:numId w:val="62"/>
        </w:numPr>
      </w:pPr>
      <w:r>
        <w:t xml:space="preserve">Maintaining existing facilities while the Unit 3 Expansion and Completion Project is constructed. </w:t>
      </w:r>
    </w:p>
    <w:p w14:paraId="7371C9F3" w14:textId="77777777" w:rsidR="002F1B64" w:rsidRPr="00755E54" w:rsidRDefault="002F1B64" w:rsidP="002F1B64">
      <w:pPr>
        <w:pStyle w:val="BodyText"/>
        <w:ind w:left="45"/>
      </w:pPr>
      <w:r>
        <w:t xml:space="preserve">Phasing of </w:t>
      </w:r>
      <w:r w:rsidRPr="00BF467A">
        <w:t xml:space="preserve">the Unit 3 Expansion and Completion Project </w:t>
      </w:r>
      <w:r>
        <w:t>and financing discussion are included in the following sections.</w:t>
      </w:r>
    </w:p>
    <w:p w14:paraId="6F5D752C" w14:textId="77777777" w:rsidR="002F1B64" w:rsidRDefault="002F1B64" w:rsidP="002F1B64">
      <w:pPr>
        <w:pStyle w:val="Heading3"/>
        <w:numPr>
          <w:ilvl w:val="2"/>
          <w:numId w:val="1"/>
        </w:numPr>
        <w:tabs>
          <w:tab w:val="clear" w:pos="720"/>
          <w:tab w:val="num" w:pos="360"/>
          <w:tab w:val="num" w:pos="1260"/>
        </w:tabs>
        <w:ind w:left="986" w:hanging="446"/>
      </w:pPr>
      <w:r>
        <w:t xml:space="preserve"> </w:t>
      </w:r>
      <w:bookmarkStart w:id="713" w:name="_Ref40434003"/>
      <w:bookmarkStart w:id="714" w:name="_Toc40434644"/>
      <w:bookmarkStart w:id="715" w:name="_Toc41680948"/>
      <w:r>
        <w:t>Phasing</w:t>
      </w:r>
      <w:bookmarkEnd w:id="713"/>
      <w:bookmarkEnd w:id="714"/>
      <w:bookmarkEnd w:id="715"/>
    </w:p>
    <w:p w14:paraId="6F650999" w14:textId="77777777" w:rsidR="002F1B64" w:rsidRDefault="002F1B64" w:rsidP="002F1B64">
      <w:pPr>
        <w:pStyle w:val="BodyText"/>
      </w:pPr>
      <w:r>
        <w:t>Phasing the Unit 3 Expansion and Completion Project is recommended for two main reasons. First, the cost of implementation will be spread over a longer duration, which will make the project more financially feasible. Second, phasing of the project allows for Unit 1 to be utilized longer, taking advantage of the recent improvements performed on it.</w:t>
      </w:r>
    </w:p>
    <w:p w14:paraId="122E3316" w14:textId="77777777" w:rsidR="002F1B64" w:rsidRPr="00ED28BC" w:rsidRDefault="002F1B64" w:rsidP="002F1B64">
      <w:pPr>
        <w:pStyle w:val="BodyText"/>
      </w:pPr>
      <w:r>
        <w:t xml:space="preserve">Conceptually, the first expansion phase of Unit 3 would operate in tandem with Unit 1 to treat all of the flow that SBWRP receives, allowing Unit 2N and Unit 2S to be put out of service. The firm capacity of Unit 1 and Unit 3 combined would be 20 mgd, with a peak capacity of 54 mgd. </w:t>
      </w:r>
      <w:r w:rsidRPr="001551EC">
        <w:t>Firm capacity is with the largest tank of each treatment process offline. For primary clarifiers, this is Unit 1. For Secondary Clarifiers it is also one of the Unit 1 tanks. For aeration, it is Unit 3 since the Unit 1 aeration has internal redundancy where just a pair of cells can be taken offline.</w:t>
      </w:r>
    </w:p>
    <w:p w14:paraId="116A9A41" w14:textId="77777777" w:rsidR="002F1B64" w:rsidRDefault="002F1B64" w:rsidP="002F1B64">
      <w:pPr>
        <w:pStyle w:val="BodyText"/>
      </w:pPr>
      <w:r w:rsidRPr="001551EC">
        <w:t xml:space="preserve">By keeping Unit 1 online, </w:t>
      </w:r>
      <w:r>
        <w:t>the</w:t>
      </w:r>
      <w:r w:rsidRPr="001551EC">
        <w:t xml:space="preserve"> firm capacity</w:t>
      </w:r>
      <w:r>
        <w:t xml:space="preserve"> can be reached</w:t>
      </w:r>
      <w:r w:rsidRPr="001551EC">
        <w:t xml:space="preserve"> by building </w:t>
      </w:r>
      <w:r>
        <w:t>two thirds</w:t>
      </w:r>
      <w:r w:rsidRPr="001551EC">
        <w:t xml:space="preserve"> of Unit 3</w:t>
      </w:r>
      <w:r>
        <w:t xml:space="preserve">. This would consist of </w:t>
      </w:r>
      <w:r w:rsidRPr="001551EC">
        <w:t>four</w:t>
      </w:r>
      <w:r>
        <w:t xml:space="preserve"> new</w:t>
      </w:r>
      <w:r w:rsidRPr="001551EC">
        <w:t xml:space="preserve"> aeration trains, and four </w:t>
      </w:r>
      <w:r>
        <w:t xml:space="preserve">new </w:t>
      </w:r>
      <w:r w:rsidRPr="001551EC">
        <w:t>secondary clarifiers</w:t>
      </w:r>
      <w:r>
        <w:t>, and</w:t>
      </w:r>
      <w:r w:rsidRPr="00BF467A">
        <w:t xml:space="preserve"> </w:t>
      </w:r>
      <w:r w:rsidRPr="001551EC">
        <w:t>no additional primary clarifiers.</w:t>
      </w:r>
      <w:r>
        <w:t xml:space="preserve"> Additionally, certain parts of the project such as yard piping, odor control, splitter box, RAS gallery and electrical infrastructure would be built out to completion. The </w:t>
      </w:r>
      <w:r w:rsidRPr="001551EC">
        <w:t xml:space="preserve">cost for </w:t>
      </w:r>
      <w:r>
        <w:t xml:space="preserve">Phase I </w:t>
      </w:r>
      <w:r w:rsidRPr="001551EC">
        <w:t>of the Unit 3 Expansion Project would be about $8</w:t>
      </w:r>
      <w:r>
        <w:t>0</w:t>
      </w:r>
      <w:r w:rsidRPr="001551EC">
        <w:t>M.</w:t>
      </w:r>
    </w:p>
    <w:p w14:paraId="41AC5920" w14:textId="2117F57F" w:rsidR="002F1B64" w:rsidRDefault="002F1B64" w:rsidP="002F1B64">
      <w:pPr>
        <w:pStyle w:val="BodyText"/>
      </w:pPr>
      <w:r>
        <w:t xml:space="preserve">Phase I of the Unit 3 Expansion would need to be completed by FY 2031/32 to avoid R&amp;R costs associated with Unit 2N and Unit 2S. In </w:t>
      </w:r>
      <w:r>
        <w:fldChar w:fldCharType="begin"/>
      </w:r>
      <w:r>
        <w:instrText xml:space="preserve"> REF _Ref40445392 \h </w:instrText>
      </w:r>
      <w:r>
        <w:fldChar w:fldCharType="separate"/>
      </w:r>
      <w:r w:rsidR="00AA68F8">
        <w:t xml:space="preserve">Figure </w:t>
      </w:r>
      <w:r w:rsidR="00AA68F8">
        <w:rPr>
          <w:noProof/>
        </w:rPr>
        <w:t>11</w:t>
      </w:r>
      <w:r w:rsidR="00AA68F8">
        <w:noBreakHyphen/>
      </w:r>
      <w:r w:rsidR="00AA68F8">
        <w:rPr>
          <w:noProof/>
        </w:rPr>
        <w:t>2</w:t>
      </w:r>
      <w:r>
        <w:fldChar w:fldCharType="end"/>
      </w:r>
      <w:r>
        <w:t xml:space="preserve">, R&amp;R costs associated with Units 1, 2N and 2S are carried through the CIP until the completion of Phase I of the Unit 3 Expansion. After FY 2031/32, only Unit 1 R&amp;R costs are carried through since it will continue to be in operation. Additionally, two CIP projects, Primary Flow Equalization (Section </w:t>
      </w:r>
      <w:r>
        <w:fldChar w:fldCharType="begin"/>
      </w:r>
      <w:r>
        <w:instrText xml:space="preserve"> REF _Ref36401434 \r \h </w:instrText>
      </w:r>
      <w:r>
        <w:fldChar w:fldCharType="separate"/>
      </w:r>
      <w:r w:rsidR="00AA68F8">
        <w:t>10.1.1</w:t>
      </w:r>
      <w:r>
        <w:fldChar w:fldCharType="end"/>
      </w:r>
      <w:r>
        <w:t xml:space="preserve">) and Secondary Capacity reduction (Section </w:t>
      </w:r>
      <w:r>
        <w:fldChar w:fldCharType="begin"/>
      </w:r>
      <w:r>
        <w:instrText xml:space="preserve"> REF _Ref40445592 \r \h </w:instrText>
      </w:r>
      <w:r>
        <w:fldChar w:fldCharType="separate"/>
      </w:r>
      <w:r w:rsidR="00AA68F8">
        <w:t>10.2.2</w:t>
      </w:r>
      <w:r>
        <w:fldChar w:fldCharType="end"/>
      </w:r>
      <w:r>
        <w:t>), would no longer needed with the implementation of the Unit 3 Expansion.</w:t>
      </w:r>
    </w:p>
    <w:p w14:paraId="0BE3EC3B" w14:textId="2484C909" w:rsidR="002F1B64" w:rsidRDefault="002F1B64" w:rsidP="002F1B64">
      <w:pPr>
        <w:pStyle w:val="BodyText"/>
      </w:pPr>
      <w:r>
        <w:t xml:space="preserve">Phase II of the Unit 3 Expansion builds out the remainder of Unit 3 to allow for Unit 1 to go offline. Phase II would consist of new primary clarifiers, two additional new aeration trains, and </w:t>
      </w:r>
      <w:r w:rsidR="008A072C">
        <w:t>two</w:t>
      </w:r>
      <w:r>
        <w:t xml:space="preserve"> additional new secondary clarifiers. The cost for the second phase of the Unit 3 Expansion and Completion would be about $30M. This total cost of the phase approach is approximately $9M more costly than the estimate cost in Section </w:t>
      </w:r>
      <w:r>
        <w:fldChar w:fldCharType="begin"/>
      </w:r>
      <w:r>
        <w:instrText xml:space="preserve"> REF _Ref40445831 \r \h </w:instrText>
      </w:r>
      <w:r>
        <w:fldChar w:fldCharType="separate"/>
      </w:r>
      <w:r w:rsidR="00AA68F8">
        <w:t>10.2.4</w:t>
      </w:r>
      <w:r>
        <w:fldChar w:fldCharType="end"/>
      </w:r>
      <w:r>
        <w:t xml:space="preserve"> to account for inefficiencies in a phased approached from multiple design efforts and additional mobilization.</w:t>
      </w:r>
      <w:r w:rsidR="008A072C">
        <w:t xml:space="preserve"> Phase II of the expansion would be completed by FY 2040/41 in order to avoid R&amp;R costs that are attributed to Unit 1. Completion of Unit 3 would also avoid the largest R&amp;R cost in FY 2046/47, which is attributed to numerous Unit 1, 2N and 2S structures reaching their estimated end of life. </w:t>
      </w:r>
    </w:p>
    <w:p w14:paraId="41EA5179" w14:textId="77777777" w:rsidR="002F1B64" w:rsidRPr="0071434D" w:rsidRDefault="002F1B64" w:rsidP="002F1B64">
      <w:pPr>
        <w:pStyle w:val="BodyText"/>
        <w:rPr>
          <w:highlight w:val="yellow"/>
        </w:rPr>
      </w:pPr>
    </w:p>
    <w:p w14:paraId="55447815" w14:textId="331C9AB8" w:rsidR="002F1B64" w:rsidRDefault="002F1B64" w:rsidP="002F1B64">
      <w:pPr>
        <w:pStyle w:val="FigureHeading"/>
      </w:pPr>
      <w:bookmarkStart w:id="716" w:name="_Ref40445392"/>
      <w:bookmarkStart w:id="717" w:name="_Toc41684717"/>
      <w:r>
        <w:t xml:space="preserve">Figure </w:t>
      </w:r>
      <w:fldSimple w:instr=" STYLEREF 1 \s ">
        <w:r w:rsidR="00AA68F8">
          <w:rPr>
            <w:noProof/>
          </w:rPr>
          <w:t>11</w:t>
        </w:r>
      </w:fldSimple>
      <w:r>
        <w:noBreakHyphen/>
      </w:r>
      <w:fldSimple w:instr=" SEQ Figure \* ARABIC \s 1 ">
        <w:r w:rsidR="00AA68F8">
          <w:rPr>
            <w:noProof/>
          </w:rPr>
          <w:t>2</w:t>
        </w:r>
      </w:fldSimple>
      <w:bookmarkEnd w:id="716"/>
      <w:r>
        <w:t xml:space="preserve">: Unit 3 Expansion and Completion (Phased) </w:t>
      </w:r>
      <w:r w:rsidR="008B2995">
        <w:t>with R&amp;R avoided</w:t>
      </w:r>
      <w:bookmarkEnd w:id="717"/>
    </w:p>
    <w:p w14:paraId="3EBF9166" w14:textId="4C0E33AD" w:rsidR="002F1B64" w:rsidRPr="00755E54" w:rsidRDefault="008B2995" w:rsidP="002F1B64">
      <w:pPr>
        <w:pStyle w:val="BodyText"/>
      </w:pPr>
      <w:r>
        <w:rPr>
          <w:noProof/>
        </w:rPr>
        <w:drawing>
          <wp:inline distT="0" distB="0" distL="0" distR="0" wp14:anchorId="50D63285" wp14:editId="46C99B00">
            <wp:extent cx="5985510" cy="379684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54223" cy="3840431"/>
                    </a:xfrm>
                    <a:prstGeom prst="rect">
                      <a:avLst/>
                    </a:prstGeom>
                    <a:noFill/>
                  </pic:spPr>
                </pic:pic>
              </a:graphicData>
            </a:graphic>
          </wp:inline>
        </w:drawing>
      </w:r>
    </w:p>
    <w:p w14:paraId="5639D2BD" w14:textId="77777777" w:rsidR="002F1B64" w:rsidRDefault="002F1B64" w:rsidP="002F1B64">
      <w:pPr>
        <w:pStyle w:val="Heading3"/>
        <w:numPr>
          <w:ilvl w:val="2"/>
          <w:numId w:val="1"/>
        </w:numPr>
        <w:tabs>
          <w:tab w:val="clear" w:pos="720"/>
          <w:tab w:val="num" w:pos="360"/>
          <w:tab w:val="num" w:pos="1260"/>
        </w:tabs>
        <w:ind w:left="986" w:hanging="446"/>
      </w:pPr>
      <w:bookmarkStart w:id="718" w:name="_Ref40432396"/>
      <w:bookmarkStart w:id="719" w:name="_Toc40434645"/>
      <w:bookmarkStart w:id="720" w:name="_Toc41680949"/>
      <w:r>
        <w:t>Cost Comparison and Financing</w:t>
      </w:r>
      <w:bookmarkEnd w:id="718"/>
      <w:bookmarkEnd w:id="719"/>
      <w:bookmarkEnd w:id="720"/>
    </w:p>
    <w:p w14:paraId="035690F4" w14:textId="201BA077" w:rsidR="002F1B64" w:rsidRDefault="002F1B64" w:rsidP="002F1B64">
      <w:pPr>
        <w:jc w:val="both"/>
      </w:pPr>
      <w:r>
        <w:t xml:space="preserve">The graph below compares estimated cumulative costs with and without the Unit 3 Expansion. The blue lines represent annual costs including the Unit 3 Expansion and Completion Project and R&amp;R on the existing facilities. The red lines represent annual R&amp;R costs for maintaining the existing facility without the expansion project. </w:t>
      </w:r>
    </w:p>
    <w:p w14:paraId="2B039085" w14:textId="77777777" w:rsidR="002F1B64" w:rsidRDefault="002F1B64" w:rsidP="002F1B64">
      <w:pPr>
        <w:jc w:val="both"/>
      </w:pPr>
    </w:p>
    <w:p w14:paraId="42CC1AC7" w14:textId="77777777" w:rsidR="002F1B64" w:rsidRDefault="002F1B64" w:rsidP="002F1B64">
      <w:pPr>
        <w:jc w:val="both"/>
      </w:pPr>
      <w:r>
        <w:t>The solid lines represent the annual cost if SBMWD pays for the improvements “out-of-pocket” or pay as you go (PayGo). The dashed lines represent the annual cost if SBMWD pays for the improvements with bond financing. The bond financing option is based on a 2.06% interest rate that made the financing option equal to the PayGo option on a Net Present Value basis. With State/Federal loan programs, it is reasonable to assume that SBMWD will be able to get rates in that range or lower. </w:t>
      </w:r>
    </w:p>
    <w:p w14:paraId="2B2C23AE" w14:textId="77777777" w:rsidR="002F1B64" w:rsidRDefault="002F1B64" w:rsidP="002F1B64">
      <w:pPr>
        <w:jc w:val="both"/>
      </w:pPr>
    </w:p>
    <w:p w14:paraId="57618674" w14:textId="44D3A6D4" w:rsidR="002F1B64" w:rsidRDefault="00311F06" w:rsidP="002F1B64">
      <w:pPr>
        <w:pStyle w:val="FigureHeading"/>
      </w:pPr>
      <w:bookmarkStart w:id="721" w:name="_Toc41684718"/>
      <w:r w:rsidRPr="008A0812">
        <w:t xml:space="preserve">Figure </w:t>
      </w:r>
      <w:fldSimple w:instr=" STYLEREF 1 \s ">
        <w:r w:rsidR="00AA68F8">
          <w:rPr>
            <w:noProof/>
          </w:rPr>
          <w:t>11</w:t>
        </w:r>
      </w:fldSimple>
      <w:r>
        <w:noBreakHyphen/>
      </w:r>
      <w:fldSimple w:instr=" SEQ Figure \* ARABIC \s 1 ">
        <w:r w:rsidR="00AA68F8">
          <w:rPr>
            <w:noProof/>
          </w:rPr>
          <w:t>3</w:t>
        </w:r>
      </w:fldSimple>
      <w:r w:rsidRPr="008A0812">
        <w:t>:</w:t>
      </w:r>
      <w:r w:rsidR="002F1B64">
        <w:t xml:space="preserve"> Cost Comparison with and without Phased Unit 3 Expansion</w:t>
      </w:r>
      <w:bookmarkEnd w:id="721"/>
    </w:p>
    <w:p w14:paraId="536FEB7A" w14:textId="77777777" w:rsidR="002F1B64" w:rsidRPr="008D7D2A" w:rsidRDefault="002F1B64" w:rsidP="002F1B64">
      <w:pPr>
        <w:pStyle w:val="BodyText"/>
      </w:pPr>
      <w:r>
        <w:rPr>
          <w:noProof/>
        </w:rPr>
        <w:drawing>
          <wp:inline distT="0" distB="0" distL="0" distR="0" wp14:anchorId="18E595BF" wp14:editId="3AAE780F">
            <wp:extent cx="5962650" cy="3998309"/>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81372" cy="4010863"/>
                    </a:xfrm>
                    <a:prstGeom prst="rect">
                      <a:avLst/>
                    </a:prstGeom>
                    <a:noFill/>
                  </pic:spPr>
                </pic:pic>
              </a:graphicData>
            </a:graphic>
          </wp:inline>
        </w:drawing>
      </w:r>
    </w:p>
    <w:p w14:paraId="07A99146" w14:textId="77777777" w:rsidR="002F1B64" w:rsidRPr="008A0812" w:rsidRDefault="002F1B64" w:rsidP="002F1B64">
      <w:pPr>
        <w:pStyle w:val="Heading2"/>
        <w:numPr>
          <w:ilvl w:val="1"/>
          <w:numId w:val="1"/>
        </w:numPr>
        <w:tabs>
          <w:tab w:val="clear" w:pos="547"/>
          <w:tab w:val="num" w:pos="446"/>
        </w:tabs>
      </w:pPr>
      <w:bookmarkStart w:id="722" w:name="_Toc40434646"/>
      <w:bookmarkStart w:id="723" w:name="_Toc41680950"/>
      <w:r w:rsidRPr="008A0812">
        <w:t>Project Implementation</w:t>
      </w:r>
      <w:bookmarkEnd w:id="708"/>
      <w:bookmarkEnd w:id="709"/>
      <w:bookmarkEnd w:id="722"/>
      <w:bookmarkEnd w:id="723"/>
    </w:p>
    <w:p w14:paraId="0F36D7C4" w14:textId="20D4CF6E" w:rsidR="002F1B64" w:rsidRPr="008A0812" w:rsidRDefault="002F1B64" w:rsidP="002F1B64">
      <w:pPr>
        <w:spacing w:after="120"/>
        <w:jc w:val="both"/>
      </w:pPr>
      <w:r w:rsidRPr="008A0812">
        <w:t xml:space="preserve">This Section combines the R&amp;R projects described in Section </w:t>
      </w:r>
      <w:r w:rsidRPr="008A0812">
        <w:fldChar w:fldCharType="begin"/>
      </w:r>
      <w:r w:rsidRPr="008A0812">
        <w:instrText xml:space="preserve"> REF _Ref36403771 \r \h </w:instrText>
      </w:r>
      <w:r>
        <w:instrText xml:space="preserve"> \* MERGEFORMAT </w:instrText>
      </w:r>
      <w:r w:rsidRPr="008A0812">
        <w:fldChar w:fldCharType="separate"/>
      </w:r>
      <w:r w:rsidR="00AA68F8">
        <w:t>9</w:t>
      </w:r>
      <w:r w:rsidRPr="008A0812">
        <w:fldChar w:fldCharType="end"/>
      </w:r>
      <w:r w:rsidRPr="008A0812">
        <w:t xml:space="preserve"> with the optimization and efficiency projects and studies recommended in Section </w:t>
      </w:r>
      <w:r w:rsidRPr="008A0812">
        <w:fldChar w:fldCharType="begin"/>
      </w:r>
      <w:r w:rsidRPr="008A0812">
        <w:instrText xml:space="preserve"> REF _Ref36403786 \r \h </w:instrText>
      </w:r>
      <w:r>
        <w:instrText xml:space="preserve"> \* MERGEFORMAT </w:instrText>
      </w:r>
      <w:r w:rsidRPr="008A0812">
        <w:fldChar w:fldCharType="separate"/>
      </w:r>
      <w:r w:rsidR="00AA68F8">
        <w:t>10.7</w:t>
      </w:r>
      <w:r w:rsidRPr="008A0812">
        <w:fldChar w:fldCharType="end"/>
      </w:r>
      <w:r w:rsidRPr="008A0812">
        <w:t xml:space="preserve"> to develop a CIP implementation plan. </w:t>
      </w:r>
    </w:p>
    <w:p w14:paraId="4600298F" w14:textId="5B099865" w:rsidR="002F1B64" w:rsidRDefault="002F1B64" w:rsidP="002F1B64">
      <w:pPr>
        <w:spacing w:after="120"/>
        <w:jc w:val="both"/>
      </w:pPr>
      <w:r w:rsidRPr="008A0812">
        <w:t xml:space="preserve">The </w:t>
      </w:r>
      <w:r>
        <w:t xml:space="preserve">Phased </w:t>
      </w:r>
      <w:r w:rsidRPr="008A0812">
        <w:t>Unit 3 Expansion and Completion Project is included in the CIP across the near-, medium- and long-term time</w:t>
      </w:r>
      <w:r>
        <w:t>frames</w:t>
      </w:r>
      <w:r w:rsidRPr="008A0812">
        <w:t xml:space="preserve"> </w:t>
      </w:r>
      <w:r>
        <w:t xml:space="preserve">as presented in Section </w:t>
      </w:r>
      <w:r>
        <w:fldChar w:fldCharType="begin"/>
      </w:r>
      <w:r>
        <w:instrText xml:space="preserve"> REF _Ref40434003 \r \h  \* MERGEFORMAT </w:instrText>
      </w:r>
      <w:r>
        <w:fldChar w:fldCharType="separate"/>
      </w:r>
      <w:r w:rsidR="00AA68F8">
        <w:t>11.4.1</w:t>
      </w:r>
      <w:r>
        <w:fldChar w:fldCharType="end"/>
      </w:r>
      <w:r>
        <w:t xml:space="preserve">; however, costs are presented in the PayGo option rather than the financing option (described in Section </w:t>
      </w:r>
      <w:r>
        <w:fldChar w:fldCharType="begin"/>
      </w:r>
      <w:r>
        <w:instrText xml:space="preserve"> REF _Ref40432396 \r \h  \* MERGEFORMAT </w:instrText>
      </w:r>
      <w:r>
        <w:fldChar w:fldCharType="separate"/>
      </w:r>
      <w:r w:rsidR="00AA68F8">
        <w:t>11.4.2</w:t>
      </w:r>
      <w:r>
        <w:fldChar w:fldCharType="end"/>
      </w:r>
      <w:r>
        <w:t>).</w:t>
      </w:r>
    </w:p>
    <w:p w14:paraId="0F472500" w14:textId="77777777" w:rsidR="002F1B64" w:rsidRPr="008A0812" w:rsidRDefault="002F1B64" w:rsidP="002F1B64">
      <w:pPr>
        <w:spacing w:after="120"/>
        <w:jc w:val="both"/>
      </w:pPr>
      <w:r w:rsidRPr="008A0812">
        <w:t>Projects anticipated after July 2040 are not considered in this CIP prioritization.</w:t>
      </w:r>
    </w:p>
    <w:p w14:paraId="3B767848" w14:textId="05AB45D4" w:rsidR="004776AB" w:rsidRPr="008A0812" w:rsidRDefault="004776AB" w:rsidP="0071434D">
      <w:pPr>
        <w:pStyle w:val="Heading3"/>
        <w:keepLines/>
        <w:numPr>
          <w:ilvl w:val="2"/>
          <w:numId w:val="1"/>
        </w:numPr>
        <w:tabs>
          <w:tab w:val="clear" w:pos="720"/>
          <w:tab w:val="num" w:pos="360"/>
          <w:tab w:val="num" w:pos="1260"/>
        </w:tabs>
        <w:overflowPunct/>
        <w:autoSpaceDE/>
        <w:autoSpaceDN/>
        <w:adjustRightInd/>
        <w:ind w:left="986" w:hanging="446"/>
        <w:textAlignment w:val="auto"/>
      </w:pPr>
      <w:bookmarkStart w:id="724" w:name="_Toc41680951"/>
      <w:r w:rsidRPr="008A0812">
        <w:t>Near-Term Projects (1 to 5 Years)</w:t>
      </w:r>
      <w:bookmarkEnd w:id="671"/>
      <w:bookmarkEnd w:id="724"/>
    </w:p>
    <w:p w14:paraId="244F6F09" w14:textId="532C4726" w:rsidR="004776AB" w:rsidRPr="008A0812" w:rsidRDefault="004776AB" w:rsidP="0071434D">
      <w:pPr>
        <w:pStyle w:val="BodyText"/>
        <w:keepNext/>
        <w:keepLines/>
      </w:pPr>
      <w:r w:rsidRPr="008A0812">
        <w:t xml:space="preserve">This section describes projects that are recommended within the next 5 years (FY 2020/2021 through FY 2024/2025). Cost estimates for each project are provided. Project cost estimates include construction markups and allowances for design, construction management, and CEQA compliance, as listed in </w:t>
      </w:r>
      <w:r w:rsidR="00AE02AD" w:rsidRPr="008A0812">
        <w:fldChar w:fldCharType="begin"/>
      </w:r>
      <w:r w:rsidR="00AE02AD" w:rsidRPr="008A0812">
        <w:instrText xml:space="preserve"> REF _Ref36401765 \h </w:instrText>
      </w:r>
      <w:r w:rsidR="008A0812">
        <w:instrText xml:space="preserve"> \* MERGEFORMAT </w:instrText>
      </w:r>
      <w:r w:rsidR="00AE02AD" w:rsidRPr="008A0812">
        <w:fldChar w:fldCharType="separate"/>
      </w:r>
      <w:r w:rsidR="00AA68F8" w:rsidRPr="008A0812">
        <w:t xml:space="preserve">Table </w:t>
      </w:r>
      <w:r w:rsidR="00AA68F8">
        <w:rPr>
          <w:noProof/>
        </w:rPr>
        <w:t>10</w:t>
      </w:r>
      <w:r w:rsidR="00AA68F8" w:rsidRPr="008A0812">
        <w:rPr>
          <w:noProof/>
        </w:rPr>
        <w:noBreakHyphen/>
      </w:r>
      <w:r w:rsidR="00AA68F8">
        <w:rPr>
          <w:noProof/>
        </w:rPr>
        <w:t>3</w:t>
      </w:r>
      <w:r w:rsidR="00AE02AD" w:rsidRPr="008A0812">
        <w:fldChar w:fldCharType="end"/>
      </w:r>
      <w:r w:rsidRPr="008A0812">
        <w:t>, where applicable. A 30% project contingency is included in all project cost estimates</w:t>
      </w:r>
      <w:r w:rsidR="00AE02AD" w:rsidRPr="008A0812">
        <w:t>, with exception to the Pavement R&amp;R project</w:t>
      </w:r>
      <w:r w:rsidRPr="008A0812">
        <w:t>.</w:t>
      </w:r>
      <w:bookmarkStart w:id="725" w:name="_Hlk23505962"/>
    </w:p>
    <w:p w14:paraId="3F2C5D34" w14:textId="6EB5CE65" w:rsidR="00011F52" w:rsidRPr="008A0812" w:rsidRDefault="00011F52" w:rsidP="00AE02AD">
      <w:pPr>
        <w:pStyle w:val="TableHeading"/>
      </w:pPr>
      <w:bookmarkStart w:id="726" w:name="_Toc36414125"/>
      <w:bookmarkStart w:id="727" w:name="_Toc41684810"/>
      <w:r w:rsidRPr="008A0812">
        <w:t xml:space="preserve">Table </w:t>
      </w:r>
      <w:r>
        <w:fldChar w:fldCharType="begin"/>
      </w:r>
      <w:r>
        <w:instrText>STYLEREF 1 \s</w:instrText>
      </w:r>
      <w:r>
        <w:fldChar w:fldCharType="separate"/>
      </w:r>
      <w:r w:rsidR="00AA68F8">
        <w:rPr>
          <w:noProof/>
        </w:rPr>
        <w:t>11</w:t>
      </w:r>
      <w:r>
        <w:fldChar w:fldCharType="end"/>
      </w:r>
      <w:r w:rsidR="00524B10" w:rsidRPr="008A0812">
        <w:noBreakHyphen/>
      </w:r>
      <w:r>
        <w:fldChar w:fldCharType="begin"/>
      </w:r>
      <w:r>
        <w:instrText>SEQ Table \* ARABIC \s 1</w:instrText>
      </w:r>
      <w:r>
        <w:fldChar w:fldCharType="separate"/>
      </w:r>
      <w:r w:rsidR="00AA68F8">
        <w:rPr>
          <w:noProof/>
        </w:rPr>
        <w:t>2</w:t>
      </w:r>
      <w:r>
        <w:fldChar w:fldCharType="end"/>
      </w:r>
      <w:r w:rsidRPr="008A0812">
        <w:t>: Near-Term Capital Improvements Project Costs</w:t>
      </w:r>
      <w:bookmarkEnd w:id="726"/>
      <w:bookmarkEnd w:id="727"/>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5"/>
        <w:gridCol w:w="1188"/>
        <w:gridCol w:w="1188"/>
        <w:gridCol w:w="1188"/>
        <w:gridCol w:w="1188"/>
        <w:gridCol w:w="1188"/>
        <w:gridCol w:w="1530"/>
      </w:tblGrid>
      <w:tr w:rsidR="004776AB" w:rsidRPr="008A0812" w14:paraId="5C9D4E42" w14:textId="77777777" w:rsidTr="004776AB">
        <w:trPr>
          <w:trHeight w:val="331"/>
          <w:tblHeader/>
          <w:jc w:val="center"/>
        </w:trPr>
        <w:tc>
          <w:tcPr>
            <w:tcW w:w="1795" w:type="dxa"/>
            <w:tcBorders>
              <w:bottom w:val="single" w:sz="4" w:space="0" w:color="auto"/>
            </w:tcBorders>
            <w:shd w:val="clear" w:color="auto" w:fill="BFBFBF"/>
            <w:tcMar>
              <w:left w:w="72" w:type="dxa"/>
            </w:tcMar>
            <w:vAlign w:val="center"/>
            <w:hideMark/>
          </w:tcPr>
          <w:p w14:paraId="16636418"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CIP Project</w:t>
            </w:r>
          </w:p>
        </w:tc>
        <w:tc>
          <w:tcPr>
            <w:tcW w:w="1188" w:type="dxa"/>
            <w:tcBorders>
              <w:bottom w:val="single" w:sz="4" w:space="0" w:color="auto"/>
            </w:tcBorders>
            <w:shd w:val="clear" w:color="auto" w:fill="BFBFBF"/>
            <w:vAlign w:val="center"/>
          </w:tcPr>
          <w:p w14:paraId="7E03AC8E"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2020/21</w:t>
            </w:r>
          </w:p>
        </w:tc>
        <w:tc>
          <w:tcPr>
            <w:tcW w:w="1188" w:type="dxa"/>
            <w:tcBorders>
              <w:bottom w:val="single" w:sz="4" w:space="0" w:color="auto"/>
            </w:tcBorders>
            <w:shd w:val="clear" w:color="auto" w:fill="BFBFBF"/>
            <w:vAlign w:val="center"/>
          </w:tcPr>
          <w:p w14:paraId="6DFFBA7F"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2021/22</w:t>
            </w:r>
          </w:p>
        </w:tc>
        <w:tc>
          <w:tcPr>
            <w:tcW w:w="1188" w:type="dxa"/>
            <w:tcBorders>
              <w:bottom w:val="single" w:sz="4" w:space="0" w:color="auto"/>
            </w:tcBorders>
            <w:shd w:val="clear" w:color="auto" w:fill="BFBFBF"/>
            <w:vAlign w:val="center"/>
          </w:tcPr>
          <w:p w14:paraId="06A27E2B"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2022/23</w:t>
            </w:r>
          </w:p>
        </w:tc>
        <w:tc>
          <w:tcPr>
            <w:tcW w:w="1188" w:type="dxa"/>
            <w:tcBorders>
              <w:bottom w:val="single" w:sz="4" w:space="0" w:color="auto"/>
            </w:tcBorders>
            <w:shd w:val="clear" w:color="auto" w:fill="BFBFBF"/>
            <w:vAlign w:val="center"/>
            <w:hideMark/>
          </w:tcPr>
          <w:p w14:paraId="22CEFDFB"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2023/24</w:t>
            </w:r>
          </w:p>
        </w:tc>
        <w:tc>
          <w:tcPr>
            <w:tcW w:w="1188" w:type="dxa"/>
            <w:tcBorders>
              <w:bottom w:val="single" w:sz="4" w:space="0" w:color="auto"/>
            </w:tcBorders>
            <w:shd w:val="clear" w:color="auto" w:fill="BFBFBF"/>
            <w:vAlign w:val="center"/>
            <w:hideMark/>
          </w:tcPr>
          <w:p w14:paraId="79F24F29"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2024/25</w:t>
            </w:r>
          </w:p>
        </w:tc>
        <w:tc>
          <w:tcPr>
            <w:tcW w:w="1530" w:type="dxa"/>
            <w:tcBorders>
              <w:bottom w:val="single" w:sz="4" w:space="0" w:color="auto"/>
            </w:tcBorders>
            <w:shd w:val="clear" w:color="auto" w:fill="BFBFBF"/>
            <w:vAlign w:val="center"/>
            <w:hideMark/>
          </w:tcPr>
          <w:p w14:paraId="5FD3D4F3" w14:textId="77777777" w:rsidR="004776AB" w:rsidRPr="008A0812" w:rsidRDefault="004776AB" w:rsidP="00AE02AD">
            <w:pPr>
              <w:keepNext/>
              <w:overflowPunct/>
              <w:autoSpaceDE/>
              <w:autoSpaceDN/>
              <w:adjustRightInd/>
              <w:jc w:val="center"/>
              <w:rPr>
                <w:rFonts w:asciiTheme="majorHAnsi" w:hAnsiTheme="majorHAnsi" w:cs="Segoe UI"/>
                <w:b/>
                <w:bCs/>
              </w:rPr>
            </w:pPr>
            <w:r w:rsidRPr="008A0812">
              <w:rPr>
                <w:rFonts w:asciiTheme="majorHAnsi" w:hAnsiTheme="majorHAnsi" w:cs="Segoe UI"/>
                <w:b/>
                <w:bCs/>
              </w:rPr>
              <w:t>TOTAL</w:t>
            </w:r>
          </w:p>
        </w:tc>
      </w:tr>
      <w:tr w:rsidR="004776AB" w:rsidRPr="008A0812" w14:paraId="62803D76" w14:textId="77777777" w:rsidTr="004776AB">
        <w:trPr>
          <w:trHeight w:val="331"/>
          <w:jc w:val="center"/>
        </w:trPr>
        <w:tc>
          <w:tcPr>
            <w:tcW w:w="9265" w:type="dxa"/>
            <w:gridSpan w:val="7"/>
            <w:shd w:val="clear" w:color="auto" w:fill="BFBFBF" w:themeFill="background1" w:themeFillShade="BF"/>
            <w:tcMar>
              <w:left w:w="72" w:type="dxa"/>
            </w:tcMar>
            <w:vAlign w:val="center"/>
          </w:tcPr>
          <w:p w14:paraId="19D02DF8" w14:textId="77777777" w:rsidR="004776AB" w:rsidRPr="008A0812" w:rsidRDefault="004776AB" w:rsidP="00AE02AD">
            <w:pPr>
              <w:keepNext/>
              <w:overflowPunct/>
              <w:autoSpaceDE/>
              <w:autoSpaceDN/>
              <w:adjustRightInd/>
              <w:rPr>
                <w:rFonts w:asciiTheme="majorHAnsi" w:hAnsiTheme="majorHAnsi" w:cs="Segoe UI"/>
              </w:rPr>
            </w:pPr>
            <w:r w:rsidRPr="008A0812">
              <w:rPr>
                <w:rFonts w:asciiTheme="majorHAnsi" w:hAnsiTheme="majorHAnsi" w:cs="Segoe UI"/>
                <w:b/>
                <w:bCs/>
              </w:rPr>
              <w:t>Recommended Improvement Projects</w:t>
            </w:r>
          </w:p>
        </w:tc>
      </w:tr>
      <w:tr w:rsidR="004776AB" w:rsidRPr="008A0812" w14:paraId="3F431E8D" w14:textId="77777777" w:rsidTr="001F6107">
        <w:trPr>
          <w:trHeight w:val="331"/>
          <w:jc w:val="center"/>
        </w:trPr>
        <w:tc>
          <w:tcPr>
            <w:tcW w:w="1795" w:type="dxa"/>
            <w:shd w:val="clear" w:color="auto" w:fill="auto"/>
            <w:tcMar>
              <w:left w:w="72" w:type="dxa"/>
            </w:tcMar>
            <w:vAlign w:val="center"/>
          </w:tcPr>
          <w:p w14:paraId="6CC2C4CF" w14:textId="77777777" w:rsidR="004776AB" w:rsidRPr="008A0812" w:rsidRDefault="004776AB" w:rsidP="00AE02AD">
            <w:pPr>
              <w:keepNext/>
              <w:overflowPunct/>
              <w:autoSpaceDE/>
              <w:autoSpaceDN/>
              <w:adjustRightInd/>
              <w:rPr>
                <w:rFonts w:asciiTheme="majorHAnsi" w:hAnsiTheme="majorHAnsi" w:cs="Segoe UI"/>
              </w:rPr>
            </w:pPr>
            <w:r w:rsidRPr="008A0812">
              <w:rPr>
                <w:rFonts w:asciiTheme="majorHAnsi" w:hAnsiTheme="majorHAnsi" w:cs="Segoe UI"/>
              </w:rPr>
              <w:t>Chemically Enhanced Primary Treatment (CEPT)</w:t>
            </w:r>
          </w:p>
        </w:tc>
        <w:tc>
          <w:tcPr>
            <w:tcW w:w="1188" w:type="dxa"/>
            <w:tcMar>
              <w:right w:w="144" w:type="dxa"/>
            </w:tcMar>
            <w:vAlign w:val="center"/>
          </w:tcPr>
          <w:p w14:paraId="07053D74" w14:textId="77777777" w:rsidR="004776AB" w:rsidRPr="008A0812" w:rsidRDefault="004776AB" w:rsidP="00AE02AD">
            <w:pPr>
              <w:keepNext/>
              <w:overflowPunct/>
              <w:autoSpaceDE/>
              <w:autoSpaceDN/>
              <w:adjustRightInd/>
              <w:jc w:val="right"/>
              <w:rPr>
                <w:rFonts w:asciiTheme="majorHAnsi" w:hAnsiTheme="majorHAnsi" w:cs="Segoe UI"/>
              </w:rPr>
            </w:pPr>
            <w:r w:rsidRPr="008A0812">
              <w:t>$360,000</w:t>
            </w:r>
          </w:p>
        </w:tc>
        <w:tc>
          <w:tcPr>
            <w:tcW w:w="1188" w:type="dxa"/>
            <w:tcMar>
              <w:right w:w="144" w:type="dxa"/>
            </w:tcMar>
            <w:vAlign w:val="center"/>
          </w:tcPr>
          <w:p w14:paraId="6F132F2E" w14:textId="77777777" w:rsidR="004776AB" w:rsidRPr="008A0812" w:rsidRDefault="004776AB" w:rsidP="00AE02AD">
            <w:pPr>
              <w:keepNext/>
              <w:overflowPunct/>
              <w:autoSpaceDE/>
              <w:autoSpaceDN/>
              <w:adjustRightInd/>
              <w:jc w:val="right"/>
              <w:rPr>
                <w:rFonts w:asciiTheme="majorHAnsi" w:hAnsiTheme="majorHAnsi" w:cs="Segoe UI"/>
              </w:rPr>
            </w:pPr>
          </w:p>
        </w:tc>
        <w:tc>
          <w:tcPr>
            <w:tcW w:w="1188" w:type="dxa"/>
            <w:tcMar>
              <w:right w:w="144" w:type="dxa"/>
            </w:tcMar>
            <w:vAlign w:val="center"/>
          </w:tcPr>
          <w:p w14:paraId="4E05DFB6" w14:textId="77777777" w:rsidR="004776AB" w:rsidRPr="008A0812" w:rsidRDefault="004776AB" w:rsidP="00AE02AD">
            <w:pPr>
              <w:keepNext/>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52642773" w14:textId="77777777" w:rsidR="004776AB" w:rsidRPr="008A0812" w:rsidRDefault="004776AB" w:rsidP="00AE02AD">
            <w:pPr>
              <w:keepNext/>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674A5AEA" w14:textId="77777777" w:rsidR="004776AB" w:rsidRPr="008A0812" w:rsidRDefault="004776AB" w:rsidP="00AE02AD">
            <w:pPr>
              <w:keepNext/>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2A8EB1AE" w14:textId="77777777" w:rsidR="004776AB" w:rsidRPr="008A0812" w:rsidRDefault="004776AB" w:rsidP="00AE02AD">
            <w:pPr>
              <w:keepNext/>
              <w:overflowPunct/>
              <w:autoSpaceDE/>
              <w:autoSpaceDN/>
              <w:adjustRightInd/>
              <w:jc w:val="right"/>
              <w:rPr>
                <w:rFonts w:asciiTheme="majorHAnsi" w:hAnsiTheme="majorHAnsi" w:cs="Segoe UI"/>
                <w:b/>
              </w:rPr>
            </w:pPr>
            <w:r w:rsidRPr="008A0812">
              <w:rPr>
                <w:b/>
                <w:bCs/>
              </w:rPr>
              <w:t>$360,000</w:t>
            </w:r>
          </w:p>
        </w:tc>
      </w:tr>
      <w:tr w:rsidR="004776AB" w:rsidRPr="008A0812" w14:paraId="44A4CECC" w14:textId="77777777" w:rsidTr="001F6107">
        <w:trPr>
          <w:trHeight w:val="331"/>
          <w:jc w:val="center"/>
        </w:trPr>
        <w:tc>
          <w:tcPr>
            <w:tcW w:w="1795" w:type="dxa"/>
            <w:shd w:val="clear" w:color="auto" w:fill="auto"/>
            <w:tcMar>
              <w:left w:w="72" w:type="dxa"/>
            </w:tcMar>
            <w:vAlign w:val="center"/>
          </w:tcPr>
          <w:p w14:paraId="0CF7E5D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Liquid Process Optimization</w:t>
            </w:r>
          </w:p>
        </w:tc>
        <w:tc>
          <w:tcPr>
            <w:tcW w:w="1188" w:type="dxa"/>
            <w:tcMar>
              <w:right w:w="144" w:type="dxa"/>
            </w:tcMar>
            <w:vAlign w:val="center"/>
          </w:tcPr>
          <w:p w14:paraId="1D39EC36" w14:textId="77777777" w:rsidR="004776AB" w:rsidRPr="008A0812" w:rsidRDefault="004776AB" w:rsidP="001F6107">
            <w:pPr>
              <w:overflowPunct/>
              <w:autoSpaceDE/>
              <w:autoSpaceDN/>
              <w:adjustRightInd/>
              <w:jc w:val="right"/>
            </w:pPr>
            <w:r w:rsidRPr="008A0812">
              <w:t>$200,000</w:t>
            </w:r>
          </w:p>
        </w:tc>
        <w:tc>
          <w:tcPr>
            <w:tcW w:w="1188" w:type="dxa"/>
            <w:tcMar>
              <w:right w:w="144" w:type="dxa"/>
            </w:tcMar>
            <w:vAlign w:val="center"/>
          </w:tcPr>
          <w:p w14:paraId="52278B70" w14:textId="77777777" w:rsidR="004776AB" w:rsidRPr="008A0812" w:rsidRDefault="004776AB" w:rsidP="001F6107">
            <w:pPr>
              <w:overflowPunct/>
              <w:autoSpaceDE/>
              <w:autoSpaceDN/>
              <w:adjustRightInd/>
              <w:jc w:val="right"/>
              <w:rPr>
                <w:rFonts w:asciiTheme="majorHAnsi" w:hAnsiTheme="majorHAnsi" w:cs="Segoe UI"/>
              </w:rPr>
            </w:pPr>
            <w:r w:rsidRPr="008A0812">
              <w:t>$660,000</w:t>
            </w:r>
          </w:p>
        </w:tc>
        <w:tc>
          <w:tcPr>
            <w:tcW w:w="1188" w:type="dxa"/>
            <w:tcMar>
              <w:right w:w="144" w:type="dxa"/>
            </w:tcMar>
            <w:vAlign w:val="center"/>
          </w:tcPr>
          <w:p w14:paraId="521D2DE4" w14:textId="77777777" w:rsidR="004776AB" w:rsidRPr="008A0812" w:rsidRDefault="004776AB" w:rsidP="001F6107">
            <w:pPr>
              <w:overflowPunct/>
              <w:autoSpaceDE/>
              <w:autoSpaceDN/>
              <w:adjustRightInd/>
              <w:jc w:val="right"/>
              <w:rPr>
                <w:rFonts w:asciiTheme="majorHAnsi" w:hAnsiTheme="majorHAnsi" w:cs="Segoe UI"/>
              </w:rPr>
            </w:pPr>
            <w:r w:rsidRPr="008A0812">
              <w:t>$660,000</w:t>
            </w:r>
          </w:p>
        </w:tc>
        <w:tc>
          <w:tcPr>
            <w:tcW w:w="1188" w:type="dxa"/>
            <w:shd w:val="clear" w:color="auto" w:fill="auto"/>
            <w:tcMar>
              <w:right w:w="144" w:type="dxa"/>
            </w:tcMar>
            <w:vAlign w:val="center"/>
          </w:tcPr>
          <w:p w14:paraId="44765460"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0A8FCAD5"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49650CB1" w14:textId="77777777" w:rsidR="004776AB" w:rsidRPr="008A0812" w:rsidRDefault="004776AB" w:rsidP="001F6107">
            <w:pPr>
              <w:overflowPunct/>
              <w:autoSpaceDE/>
              <w:autoSpaceDN/>
              <w:adjustRightInd/>
              <w:jc w:val="right"/>
              <w:rPr>
                <w:b/>
                <w:bCs/>
              </w:rPr>
            </w:pPr>
            <w:r w:rsidRPr="008A0812">
              <w:rPr>
                <w:b/>
                <w:bCs/>
              </w:rPr>
              <w:t>$1,520,000</w:t>
            </w:r>
          </w:p>
        </w:tc>
      </w:tr>
      <w:tr w:rsidR="004776AB" w:rsidRPr="008A0812" w14:paraId="470DF5C3" w14:textId="77777777" w:rsidTr="001F6107">
        <w:trPr>
          <w:trHeight w:val="331"/>
          <w:jc w:val="center"/>
        </w:trPr>
        <w:tc>
          <w:tcPr>
            <w:tcW w:w="1795" w:type="dxa"/>
            <w:shd w:val="clear" w:color="auto" w:fill="auto"/>
            <w:tcMar>
              <w:left w:w="72" w:type="dxa"/>
            </w:tcMar>
            <w:vAlign w:val="center"/>
          </w:tcPr>
          <w:p w14:paraId="019E428D"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B Replacement</w:t>
            </w:r>
          </w:p>
        </w:tc>
        <w:tc>
          <w:tcPr>
            <w:tcW w:w="1188" w:type="dxa"/>
            <w:tcMar>
              <w:right w:w="144" w:type="dxa"/>
            </w:tcMar>
            <w:vAlign w:val="center"/>
          </w:tcPr>
          <w:p w14:paraId="2F6BD7EA" w14:textId="77777777" w:rsidR="004776AB" w:rsidRPr="008A0812" w:rsidRDefault="004776AB" w:rsidP="001F6107">
            <w:pPr>
              <w:overflowPunct/>
              <w:autoSpaceDE/>
              <w:autoSpaceDN/>
              <w:adjustRightInd/>
              <w:jc w:val="right"/>
              <w:rPr>
                <w:rFonts w:asciiTheme="majorHAnsi" w:hAnsiTheme="majorHAnsi" w:cs="Segoe UI"/>
              </w:rPr>
            </w:pPr>
            <w:r w:rsidRPr="008A0812">
              <w:t>$800,000</w:t>
            </w:r>
          </w:p>
        </w:tc>
        <w:tc>
          <w:tcPr>
            <w:tcW w:w="1188" w:type="dxa"/>
            <w:tcMar>
              <w:right w:w="144" w:type="dxa"/>
            </w:tcMar>
            <w:vAlign w:val="center"/>
          </w:tcPr>
          <w:p w14:paraId="57470ACB" w14:textId="77777777" w:rsidR="004776AB" w:rsidRPr="008A0812" w:rsidRDefault="004776AB" w:rsidP="001F6107">
            <w:pPr>
              <w:overflowPunct/>
              <w:autoSpaceDE/>
              <w:autoSpaceDN/>
              <w:adjustRightInd/>
              <w:jc w:val="right"/>
              <w:rPr>
                <w:rFonts w:asciiTheme="majorHAnsi" w:hAnsiTheme="majorHAnsi" w:cs="Segoe UI"/>
              </w:rPr>
            </w:pPr>
            <w:r w:rsidRPr="008A0812">
              <w:t>$3,600,000</w:t>
            </w:r>
          </w:p>
        </w:tc>
        <w:tc>
          <w:tcPr>
            <w:tcW w:w="1188" w:type="dxa"/>
            <w:tcMar>
              <w:right w:w="144" w:type="dxa"/>
            </w:tcMar>
            <w:vAlign w:val="center"/>
          </w:tcPr>
          <w:p w14:paraId="5B75EA78" w14:textId="77777777" w:rsidR="004776AB" w:rsidRPr="008A0812" w:rsidRDefault="004776AB" w:rsidP="001F6107">
            <w:pPr>
              <w:overflowPunct/>
              <w:autoSpaceDE/>
              <w:autoSpaceDN/>
              <w:adjustRightInd/>
              <w:jc w:val="right"/>
              <w:rPr>
                <w:rFonts w:asciiTheme="majorHAnsi" w:hAnsiTheme="majorHAnsi" w:cs="Segoe UI"/>
              </w:rPr>
            </w:pPr>
            <w:r w:rsidRPr="008A0812">
              <w:t>$3,600,000</w:t>
            </w:r>
          </w:p>
        </w:tc>
        <w:tc>
          <w:tcPr>
            <w:tcW w:w="1188" w:type="dxa"/>
            <w:shd w:val="clear" w:color="auto" w:fill="auto"/>
            <w:tcMar>
              <w:right w:w="144" w:type="dxa"/>
            </w:tcMar>
            <w:vAlign w:val="center"/>
          </w:tcPr>
          <w:p w14:paraId="55B0E226"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7DE09C80"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2CE0CC64" w14:textId="77777777" w:rsidR="004776AB" w:rsidRPr="008A0812" w:rsidRDefault="004776AB" w:rsidP="001F6107">
            <w:pPr>
              <w:overflowPunct/>
              <w:autoSpaceDE/>
              <w:autoSpaceDN/>
              <w:adjustRightInd/>
              <w:jc w:val="right"/>
              <w:rPr>
                <w:rFonts w:asciiTheme="majorHAnsi" w:hAnsiTheme="majorHAnsi" w:cs="Segoe UI"/>
                <w:b/>
              </w:rPr>
            </w:pPr>
            <w:r w:rsidRPr="008A0812">
              <w:rPr>
                <w:b/>
                <w:bCs/>
              </w:rPr>
              <w:t>$8,000,000</w:t>
            </w:r>
          </w:p>
        </w:tc>
      </w:tr>
      <w:tr w:rsidR="004776AB" w:rsidRPr="008A0812" w14:paraId="21E8B2AC" w14:textId="77777777" w:rsidTr="001F6107">
        <w:trPr>
          <w:trHeight w:val="331"/>
          <w:jc w:val="center"/>
        </w:trPr>
        <w:tc>
          <w:tcPr>
            <w:tcW w:w="1795" w:type="dxa"/>
            <w:shd w:val="clear" w:color="auto" w:fill="auto"/>
            <w:tcMar>
              <w:left w:w="72" w:type="dxa"/>
            </w:tcMar>
            <w:vAlign w:val="center"/>
          </w:tcPr>
          <w:p w14:paraId="7D9A271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Cleaning</w:t>
            </w:r>
          </w:p>
        </w:tc>
        <w:tc>
          <w:tcPr>
            <w:tcW w:w="1188" w:type="dxa"/>
            <w:tcMar>
              <w:right w:w="144" w:type="dxa"/>
            </w:tcMar>
            <w:vAlign w:val="center"/>
          </w:tcPr>
          <w:p w14:paraId="1DDA4A64"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tcMar>
              <w:right w:w="144" w:type="dxa"/>
            </w:tcMar>
            <w:vAlign w:val="center"/>
          </w:tcPr>
          <w:p w14:paraId="5A64983F"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tcMar>
              <w:right w:w="144" w:type="dxa"/>
            </w:tcMar>
            <w:vAlign w:val="center"/>
          </w:tcPr>
          <w:p w14:paraId="60319262"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68C9B036" w14:textId="77777777" w:rsidR="004776AB" w:rsidRPr="008A0812" w:rsidRDefault="004776AB" w:rsidP="001F6107">
            <w:pPr>
              <w:overflowPunct/>
              <w:autoSpaceDE/>
              <w:autoSpaceDN/>
              <w:adjustRightInd/>
              <w:jc w:val="right"/>
              <w:rPr>
                <w:rFonts w:asciiTheme="majorHAnsi" w:hAnsiTheme="majorHAnsi" w:cs="Segoe UI"/>
              </w:rPr>
            </w:pPr>
            <w:r w:rsidRPr="008A0812">
              <w:t>$3,200,000</w:t>
            </w:r>
          </w:p>
        </w:tc>
        <w:tc>
          <w:tcPr>
            <w:tcW w:w="1188" w:type="dxa"/>
            <w:shd w:val="clear" w:color="auto" w:fill="auto"/>
            <w:tcMar>
              <w:right w:w="144" w:type="dxa"/>
            </w:tcMar>
            <w:vAlign w:val="center"/>
          </w:tcPr>
          <w:p w14:paraId="1C79F610"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0DE1939D" w14:textId="77777777" w:rsidR="004776AB" w:rsidRPr="008A0812" w:rsidRDefault="004776AB" w:rsidP="001F6107">
            <w:pPr>
              <w:overflowPunct/>
              <w:autoSpaceDE/>
              <w:autoSpaceDN/>
              <w:adjustRightInd/>
              <w:jc w:val="right"/>
              <w:rPr>
                <w:rFonts w:asciiTheme="majorHAnsi" w:hAnsiTheme="majorHAnsi" w:cs="Segoe UI"/>
                <w:b/>
              </w:rPr>
            </w:pPr>
            <w:r w:rsidRPr="008A0812">
              <w:rPr>
                <w:b/>
                <w:bCs/>
              </w:rPr>
              <w:t>$3,200,000</w:t>
            </w:r>
          </w:p>
        </w:tc>
      </w:tr>
      <w:tr w:rsidR="004776AB" w:rsidRPr="008A0812" w14:paraId="6FA895CE" w14:textId="77777777" w:rsidTr="001F6107">
        <w:trPr>
          <w:trHeight w:val="331"/>
          <w:jc w:val="center"/>
        </w:trPr>
        <w:tc>
          <w:tcPr>
            <w:tcW w:w="1795" w:type="dxa"/>
            <w:shd w:val="clear" w:color="auto" w:fill="auto"/>
            <w:tcMar>
              <w:left w:w="72" w:type="dxa"/>
            </w:tcMar>
            <w:vAlign w:val="center"/>
          </w:tcPr>
          <w:p w14:paraId="771B32A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Brine Line Manholes</w:t>
            </w:r>
          </w:p>
        </w:tc>
        <w:tc>
          <w:tcPr>
            <w:tcW w:w="1188" w:type="dxa"/>
            <w:tcMar>
              <w:right w:w="144" w:type="dxa"/>
            </w:tcMar>
            <w:vAlign w:val="center"/>
          </w:tcPr>
          <w:p w14:paraId="6972CCB0" w14:textId="77777777" w:rsidR="004776AB" w:rsidRPr="008A0812" w:rsidRDefault="004776AB" w:rsidP="001F6107">
            <w:pPr>
              <w:overflowPunct/>
              <w:autoSpaceDE/>
              <w:autoSpaceDN/>
              <w:adjustRightInd/>
              <w:jc w:val="right"/>
              <w:rPr>
                <w:rFonts w:asciiTheme="majorHAnsi" w:hAnsiTheme="majorHAnsi" w:cs="Segoe UI"/>
              </w:rPr>
            </w:pPr>
            <w:r w:rsidRPr="008A0812">
              <w:t>$200,000</w:t>
            </w:r>
          </w:p>
        </w:tc>
        <w:tc>
          <w:tcPr>
            <w:tcW w:w="1188" w:type="dxa"/>
            <w:tcMar>
              <w:right w:w="144" w:type="dxa"/>
            </w:tcMar>
            <w:vAlign w:val="center"/>
          </w:tcPr>
          <w:p w14:paraId="742379BD"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tcMar>
              <w:right w:w="144" w:type="dxa"/>
            </w:tcMar>
            <w:vAlign w:val="center"/>
          </w:tcPr>
          <w:p w14:paraId="100246E4"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42665CCA"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6C02818E"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37310C10" w14:textId="77777777" w:rsidR="004776AB" w:rsidRPr="008A0812" w:rsidRDefault="004776AB" w:rsidP="001F6107">
            <w:pPr>
              <w:overflowPunct/>
              <w:autoSpaceDE/>
              <w:autoSpaceDN/>
              <w:adjustRightInd/>
              <w:jc w:val="right"/>
              <w:rPr>
                <w:rFonts w:asciiTheme="majorHAnsi" w:hAnsiTheme="majorHAnsi" w:cs="Segoe UI"/>
                <w:b/>
              </w:rPr>
            </w:pPr>
            <w:r w:rsidRPr="008A0812">
              <w:rPr>
                <w:b/>
                <w:bCs/>
              </w:rPr>
              <w:t>$200,000</w:t>
            </w:r>
          </w:p>
        </w:tc>
      </w:tr>
      <w:tr w:rsidR="00ED28BC" w:rsidRPr="008A0812" w14:paraId="1C326367" w14:textId="77777777" w:rsidTr="00A65ABA">
        <w:trPr>
          <w:trHeight w:val="331"/>
          <w:jc w:val="center"/>
        </w:trPr>
        <w:tc>
          <w:tcPr>
            <w:tcW w:w="1795" w:type="dxa"/>
            <w:shd w:val="clear" w:color="auto" w:fill="auto"/>
            <w:tcMar>
              <w:left w:w="72" w:type="dxa"/>
            </w:tcMar>
          </w:tcPr>
          <w:p w14:paraId="502CDDB8" w14:textId="6BF80810" w:rsidR="00ED28BC" w:rsidRPr="008A0812" w:rsidRDefault="00ED28BC" w:rsidP="00ED28BC">
            <w:pPr>
              <w:overflowPunct/>
              <w:autoSpaceDE/>
              <w:autoSpaceDN/>
              <w:adjustRightInd/>
              <w:rPr>
                <w:rFonts w:asciiTheme="majorHAnsi" w:hAnsiTheme="majorHAnsi" w:cs="Segoe UI"/>
              </w:rPr>
            </w:pPr>
            <w:r w:rsidRPr="008A0812">
              <w:t xml:space="preserve">Unit 3 Expansion and Completion </w:t>
            </w:r>
            <w:r>
              <w:t xml:space="preserve">Phase I </w:t>
            </w:r>
            <w:r w:rsidRPr="008A0812">
              <w:rPr>
                <w:rFonts w:asciiTheme="majorHAnsi" w:hAnsiTheme="majorHAnsi" w:cs="Segoe UI"/>
              </w:rPr>
              <w:t xml:space="preserve">– </w:t>
            </w:r>
            <w:r>
              <w:rPr>
                <w:rFonts w:asciiTheme="majorHAnsi" w:hAnsiTheme="majorHAnsi" w:cs="Segoe UI"/>
              </w:rPr>
              <w:t>Design</w:t>
            </w:r>
          </w:p>
        </w:tc>
        <w:tc>
          <w:tcPr>
            <w:tcW w:w="1188" w:type="dxa"/>
            <w:tcMar>
              <w:right w:w="144" w:type="dxa"/>
            </w:tcMar>
            <w:vAlign w:val="center"/>
          </w:tcPr>
          <w:p w14:paraId="6442CE68" w14:textId="77777777" w:rsidR="00ED28BC" w:rsidRPr="008A0812" w:rsidRDefault="00ED28BC" w:rsidP="00ED28BC">
            <w:pPr>
              <w:overflowPunct/>
              <w:autoSpaceDE/>
              <w:autoSpaceDN/>
              <w:adjustRightInd/>
              <w:jc w:val="right"/>
            </w:pPr>
          </w:p>
        </w:tc>
        <w:tc>
          <w:tcPr>
            <w:tcW w:w="1188" w:type="dxa"/>
            <w:tcMar>
              <w:right w:w="144" w:type="dxa"/>
            </w:tcMar>
            <w:vAlign w:val="center"/>
          </w:tcPr>
          <w:p w14:paraId="71F56191" w14:textId="77777777" w:rsidR="00ED28BC" w:rsidRPr="008A0812" w:rsidRDefault="00ED28BC" w:rsidP="00ED28BC">
            <w:pPr>
              <w:overflowPunct/>
              <w:autoSpaceDE/>
              <w:autoSpaceDN/>
              <w:adjustRightInd/>
              <w:jc w:val="right"/>
              <w:rPr>
                <w:rFonts w:asciiTheme="majorHAnsi" w:hAnsiTheme="majorHAnsi" w:cs="Segoe UI"/>
              </w:rPr>
            </w:pPr>
          </w:p>
        </w:tc>
        <w:tc>
          <w:tcPr>
            <w:tcW w:w="1188" w:type="dxa"/>
            <w:tcMar>
              <w:right w:w="144" w:type="dxa"/>
            </w:tcMar>
            <w:vAlign w:val="center"/>
          </w:tcPr>
          <w:p w14:paraId="6DACE631" w14:textId="77777777" w:rsidR="00ED28BC" w:rsidRPr="008A0812" w:rsidRDefault="00ED28BC" w:rsidP="00ED28BC">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1D07E302" w14:textId="255A2DF3" w:rsidR="00ED28BC" w:rsidRPr="008A0812" w:rsidRDefault="00ED28BC" w:rsidP="00ED28BC">
            <w:pPr>
              <w:overflowPunct/>
              <w:autoSpaceDE/>
              <w:autoSpaceDN/>
              <w:adjustRightInd/>
              <w:jc w:val="right"/>
              <w:rPr>
                <w:rFonts w:asciiTheme="majorHAnsi" w:hAnsiTheme="majorHAnsi" w:cs="Segoe UI"/>
              </w:rPr>
            </w:pPr>
            <w:r w:rsidRPr="000613A0">
              <w:t xml:space="preserve"> $47</w:t>
            </w:r>
            <w:r>
              <w:t>5</w:t>
            </w:r>
            <w:r w:rsidRPr="000613A0">
              <w:t>,</w:t>
            </w:r>
            <w:r>
              <w:t>000</w:t>
            </w:r>
            <w:r w:rsidRPr="000613A0">
              <w:t xml:space="preserve"> </w:t>
            </w:r>
          </w:p>
        </w:tc>
        <w:tc>
          <w:tcPr>
            <w:tcW w:w="1188" w:type="dxa"/>
            <w:shd w:val="clear" w:color="auto" w:fill="auto"/>
            <w:tcMar>
              <w:right w:w="144" w:type="dxa"/>
            </w:tcMar>
            <w:vAlign w:val="center"/>
          </w:tcPr>
          <w:p w14:paraId="529C8B48" w14:textId="0FA1788E" w:rsidR="00ED28BC" w:rsidRPr="008A0812" w:rsidRDefault="00ED28BC" w:rsidP="00ED28BC">
            <w:pPr>
              <w:overflowPunct/>
              <w:autoSpaceDE/>
              <w:autoSpaceDN/>
              <w:adjustRightInd/>
              <w:jc w:val="right"/>
              <w:rPr>
                <w:rFonts w:asciiTheme="majorHAnsi" w:hAnsiTheme="majorHAnsi" w:cs="Segoe UI"/>
              </w:rPr>
            </w:pPr>
            <w:r w:rsidRPr="000613A0">
              <w:t xml:space="preserve"> $47</w:t>
            </w:r>
            <w:r>
              <w:t>6</w:t>
            </w:r>
            <w:r w:rsidRPr="000613A0">
              <w:t>,</w:t>
            </w:r>
            <w:r>
              <w:t>000</w:t>
            </w:r>
            <w:r w:rsidRPr="000613A0">
              <w:t xml:space="preserve"> </w:t>
            </w:r>
          </w:p>
        </w:tc>
        <w:tc>
          <w:tcPr>
            <w:tcW w:w="1530" w:type="dxa"/>
            <w:shd w:val="clear" w:color="auto" w:fill="auto"/>
            <w:tcMar>
              <w:right w:w="144" w:type="dxa"/>
            </w:tcMar>
            <w:vAlign w:val="center"/>
          </w:tcPr>
          <w:p w14:paraId="5A9834E7" w14:textId="409A98AE" w:rsidR="00ED28BC" w:rsidRPr="008A0812" w:rsidRDefault="00ED28BC" w:rsidP="00ED28BC">
            <w:pPr>
              <w:overflowPunct/>
              <w:autoSpaceDE/>
              <w:autoSpaceDN/>
              <w:adjustRightInd/>
              <w:jc w:val="right"/>
              <w:rPr>
                <w:b/>
                <w:bCs/>
              </w:rPr>
            </w:pPr>
            <w:r w:rsidRPr="00D51DD0">
              <w:rPr>
                <w:b/>
                <w:bCs/>
              </w:rPr>
              <w:t>$951,</w:t>
            </w:r>
            <w:r>
              <w:rPr>
                <w:b/>
                <w:bCs/>
              </w:rPr>
              <w:t>000</w:t>
            </w:r>
          </w:p>
        </w:tc>
      </w:tr>
      <w:tr w:rsidR="004776AB" w:rsidRPr="008A0812" w14:paraId="4745CA86" w14:textId="77777777" w:rsidTr="004776AB">
        <w:trPr>
          <w:trHeight w:hRule="exact" w:val="331"/>
          <w:jc w:val="center"/>
        </w:trPr>
        <w:tc>
          <w:tcPr>
            <w:tcW w:w="9265" w:type="dxa"/>
            <w:gridSpan w:val="7"/>
            <w:shd w:val="clear" w:color="auto" w:fill="BFBFBF" w:themeFill="background1" w:themeFillShade="BF"/>
            <w:tcMar>
              <w:left w:w="72" w:type="dxa"/>
            </w:tcMar>
            <w:vAlign w:val="center"/>
          </w:tcPr>
          <w:p w14:paraId="3187F16E" w14:textId="77777777" w:rsidR="004776AB" w:rsidRPr="008A0812" w:rsidRDefault="004776AB" w:rsidP="004776AB">
            <w:pPr>
              <w:overflowPunct/>
              <w:autoSpaceDE/>
              <w:autoSpaceDN/>
              <w:adjustRightInd/>
              <w:rPr>
                <w:rFonts w:asciiTheme="majorHAnsi" w:hAnsiTheme="majorHAnsi" w:cs="Segoe UI"/>
                <w:b/>
                <w:bCs/>
              </w:rPr>
            </w:pPr>
            <w:r w:rsidRPr="008A0812">
              <w:rPr>
                <w:rFonts w:asciiTheme="majorHAnsi" w:hAnsiTheme="majorHAnsi" w:cs="Segoe UI"/>
                <w:b/>
                <w:bCs/>
              </w:rPr>
              <w:t>Studies and Resultant Projects</w:t>
            </w:r>
          </w:p>
        </w:tc>
      </w:tr>
      <w:tr w:rsidR="004776AB" w:rsidRPr="008A0812" w14:paraId="12800127" w14:textId="77777777" w:rsidTr="001F6107">
        <w:trPr>
          <w:trHeight w:val="331"/>
          <w:jc w:val="center"/>
        </w:trPr>
        <w:tc>
          <w:tcPr>
            <w:tcW w:w="1795" w:type="dxa"/>
            <w:shd w:val="clear" w:color="auto" w:fill="auto"/>
            <w:tcMar>
              <w:left w:w="72" w:type="dxa"/>
            </w:tcMar>
          </w:tcPr>
          <w:p w14:paraId="5B774E0B" w14:textId="77777777" w:rsidR="004776AB" w:rsidRPr="008A0812" w:rsidRDefault="004776AB" w:rsidP="004776AB">
            <w:pPr>
              <w:overflowPunct/>
              <w:autoSpaceDE/>
              <w:autoSpaceDN/>
              <w:adjustRightInd/>
              <w:rPr>
                <w:rFonts w:asciiTheme="majorHAnsi" w:hAnsiTheme="majorHAnsi" w:cs="Segoe UI"/>
              </w:rPr>
            </w:pPr>
            <w:r w:rsidRPr="008A0812">
              <w:t>Electrical Master Plan</w:t>
            </w:r>
          </w:p>
        </w:tc>
        <w:tc>
          <w:tcPr>
            <w:tcW w:w="1188" w:type="dxa"/>
            <w:tcMar>
              <w:right w:w="144" w:type="dxa"/>
            </w:tcMar>
            <w:vAlign w:val="center"/>
          </w:tcPr>
          <w:p w14:paraId="0AF9F442" w14:textId="77777777" w:rsidR="004776AB" w:rsidRPr="008A0812" w:rsidRDefault="004776AB" w:rsidP="001F6107">
            <w:pPr>
              <w:overflowPunct/>
              <w:autoSpaceDE/>
              <w:autoSpaceDN/>
              <w:adjustRightInd/>
              <w:jc w:val="right"/>
              <w:rPr>
                <w:rFonts w:asciiTheme="majorHAnsi" w:hAnsiTheme="majorHAnsi" w:cs="Segoe UI"/>
              </w:rPr>
            </w:pPr>
            <w:r w:rsidRPr="008A0812">
              <w:t>$130,000</w:t>
            </w:r>
          </w:p>
        </w:tc>
        <w:tc>
          <w:tcPr>
            <w:tcW w:w="1188" w:type="dxa"/>
            <w:tcMar>
              <w:right w:w="144" w:type="dxa"/>
            </w:tcMar>
            <w:vAlign w:val="center"/>
          </w:tcPr>
          <w:p w14:paraId="321C4FE9"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tcMar>
              <w:right w:w="144" w:type="dxa"/>
            </w:tcMar>
            <w:vAlign w:val="center"/>
          </w:tcPr>
          <w:p w14:paraId="03325F83"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3E86CB1A"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542A8C39"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7F524723" w14:textId="77777777" w:rsidR="004776AB" w:rsidRPr="008A0812" w:rsidRDefault="004776AB" w:rsidP="001F6107">
            <w:pPr>
              <w:overflowPunct/>
              <w:autoSpaceDE/>
              <w:autoSpaceDN/>
              <w:adjustRightInd/>
              <w:jc w:val="right"/>
              <w:rPr>
                <w:rFonts w:asciiTheme="majorHAnsi" w:hAnsiTheme="majorHAnsi" w:cs="Segoe UI"/>
                <w:b/>
              </w:rPr>
            </w:pPr>
            <w:r w:rsidRPr="008A0812">
              <w:rPr>
                <w:b/>
                <w:bCs/>
              </w:rPr>
              <w:t>$130,000</w:t>
            </w:r>
          </w:p>
        </w:tc>
      </w:tr>
      <w:tr w:rsidR="004776AB" w:rsidRPr="008A0812" w14:paraId="7AED7415" w14:textId="77777777" w:rsidTr="001F6107">
        <w:trPr>
          <w:trHeight w:val="331"/>
          <w:jc w:val="center"/>
        </w:trPr>
        <w:tc>
          <w:tcPr>
            <w:tcW w:w="1795" w:type="dxa"/>
            <w:shd w:val="clear" w:color="auto" w:fill="auto"/>
            <w:tcMar>
              <w:left w:w="72" w:type="dxa"/>
            </w:tcMar>
          </w:tcPr>
          <w:p w14:paraId="53B8FD53" w14:textId="77777777" w:rsidR="004776AB" w:rsidRPr="008A0812" w:rsidRDefault="004776AB" w:rsidP="004776AB">
            <w:pPr>
              <w:overflowPunct/>
              <w:autoSpaceDE/>
              <w:autoSpaceDN/>
              <w:adjustRightInd/>
              <w:rPr>
                <w:rFonts w:asciiTheme="majorHAnsi" w:hAnsiTheme="majorHAnsi" w:cs="Segoe UI"/>
              </w:rPr>
            </w:pPr>
            <w:r w:rsidRPr="008A0812">
              <w:t>Electrical Master Plan Resultant Projects</w:t>
            </w:r>
          </w:p>
        </w:tc>
        <w:tc>
          <w:tcPr>
            <w:tcW w:w="1188" w:type="dxa"/>
            <w:tcMar>
              <w:right w:w="144" w:type="dxa"/>
            </w:tcMar>
            <w:vAlign w:val="center"/>
          </w:tcPr>
          <w:p w14:paraId="7ADB2FEB"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tcMar>
              <w:right w:w="144" w:type="dxa"/>
            </w:tcMar>
            <w:vAlign w:val="center"/>
          </w:tcPr>
          <w:p w14:paraId="45CA313F" w14:textId="77777777" w:rsidR="004776AB" w:rsidRPr="008A0812" w:rsidRDefault="004776AB" w:rsidP="001F6107">
            <w:pPr>
              <w:overflowPunct/>
              <w:autoSpaceDE/>
              <w:autoSpaceDN/>
              <w:adjustRightInd/>
              <w:jc w:val="right"/>
              <w:rPr>
                <w:rFonts w:asciiTheme="majorHAnsi" w:hAnsiTheme="majorHAnsi" w:cs="Segoe UI"/>
              </w:rPr>
            </w:pPr>
            <w:r w:rsidRPr="008A0812">
              <w:t>$5,700,000</w:t>
            </w:r>
          </w:p>
        </w:tc>
        <w:tc>
          <w:tcPr>
            <w:tcW w:w="1188" w:type="dxa"/>
            <w:tcMar>
              <w:right w:w="144" w:type="dxa"/>
            </w:tcMar>
            <w:vAlign w:val="center"/>
          </w:tcPr>
          <w:p w14:paraId="78D026DC" w14:textId="77777777" w:rsidR="004776AB" w:rsidRPr="008A0812" w:rsidRDefault="004776AB" w:rsidP="001F6107">
            <w:pPr>
              <w:overflowPunct/>
              <w:autoSpaceDE/>
              <w:autoSpaceDN/>
              <w:adjustRightInd/>
              <w:jc w:val="right"/>
              <w:rPr>
                <w:rFonts w:asciiTheme="majorHAnsi" w:hAnsiTheme="majorHAnsi" w:cs="Segoe UI"/>
              </w:rPr>
            </w:pPr>
            <w:r w:rsidRPr="008A0812">
              <w:t>$5,700,000</w:t>
            </w:r>
          </w:p>
        </w:tc>
        <w:tc>
          <w:tcPr>
            <w:tcW w:w="1188" w:type="dxa"/>
            <w:shd w:val="clear" w:color="auto" w:fill="auto"/>
            <w:tcMar>
              <w:right w:w="144" w:type="dxa"/>
            </w:tcMar>
            <w:vAlign w:val="center"/>
          </w:tcPr>
          <w:p w14:paraId="646FB21E" w14:textId="77777777" w:rsidR="004776AB" w:rsidRPr="008A0812" w:rsidRDefault="004776AB" w:rsidP="001F6107">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2C110DD4" w14:textId="77777777" w:rsidR="004776AB" w:rsidRPr="008A0812" w:rsidRDefault="004776AB" w:rsidP="001F6107">
            <w:pPr>
              <w:overflowPunct/>
              <w:autoSpaceDE/>
              <w:autoSpaceDN/>
              <w:adjustRightInd/>
              <w:jc w:val="right"/>
              <w:rPr>
                <w:rFonts w:asciiTheme="majorHAnsi" w:hAnsiTheme="majorHAnsi" w:cs="Segoe UI"/>
              </w:rPr>
            </w:pPr>
          </w:p>
        </w:tc>
        <w:tc>
          <w:tcPr>
            <w:tcW w:w="1530" w:type="dxa"/>
            <w:shd w:val="clear" w:color="auto" w:fill="auto"/>
            <w:tcMar>
              <w:right w:w="144" w:type="dxa"/>
            </w:tcMar>
            <w:vAlign w:val="center"/>
          </w:tcPr>
          <w:p w14:paraId="254C4B32" w14:textId="77777777" w:rsidR="004776AB" w:rsidRPr="008A0812" w:rsidRDefault="004776AB" w:rsidP="001F6107">
            <w:pPr>
              <w:overflowPunct/>
              <w:autoSpaceDE/>
              <w:autoSpaceDN/>
              <w:adjustRightInd/>
              <w:jc w:val="right"/>
              <w:rPr>
                <w:rFonts w:asciiTheme="majorHAnsi" w:hAnsiTheme="majorHAnsi" w:cs="Segoe UI"/>
                <w:b/>
              </w:rPr>
            </w:pPr>
            <w:r w:rsidRPr="008A0812">
              <w:rPr>
                <w:b/>
                <w:bCs/>
              </w:rPr>
              <w:t>$11,400,000</w:t>
            </w:r>
          </w:p>
        </w:tc>
      </w:tr>
      <w:tr w:rsidR="004776AB" w:rsidRPr="008A0812" w14:paraId="5B46F670" w14:textId="77777777" w:rsidTr="001F6107">
        <w:trPr>
          <w:trHeight w:val="331"/>
          <w:jc w:val="center"/>
        </w:trPr>
        <w:tc>
          <w:tcPr>
            <w:tcW w:w="1795" w:type="dxa"/>
            <w:shd w:val="clear" w:color="auto" w:fill="auto"/>
            <w:tcMar>
              <w:left w:w="72" w:type="dxa"/>
            </w:tcMar>
          </w:tcPr>
          <w:p w14:paraId="028B4F4E" w14:textId="77777777" w:rsidR="004776AB" w:rsidRPr="008A0812" w:rsidRDefault="004776AB" w:rsidP="004776AB">
            <w:pPr>
              <w:overflowPunct/>
              <w:autoSpaceDE/>
              <w:autoSpaceDN/>
              <w:adjustRightInd/>
              <w:rPr>
                <w:rFonts w:asciiTheme="majorHAnsi" w:hAnsiTheme="majorHAnsi" w:cs="Segoe UI"/>
              </w:rPr>
            </w:pPr>
            <w:r w:rsidRPr="008A0812">
              <w:t>SCADA Master Plan</w:t>
            </w:r>
          </w:p>
        </w:tc>
        <w:tc>
          <w:tcPr>
            <w:tcW w:w="1188" w:type="dxa"/>
            <w:tcMar>
              <w:right w:w="144" w:type="dxa"/>
            </w:tcMar>
            <w:vAlign w:val="center"/>
          </w:tcPr>
          <w:p w14:paraId="356E189C" w14:textId="77777777" w:rsidR="004776AB" w:rsidRPr="008A0812" w:rsidRDefault="004776AB" w:rsidP="001F6107">
            <w:pPr>
              <w:overflowPunct/>
              <w:autoSpaceDE/>
              <w:autoSpaceDN/>
              <w:adjustRightInd/>
              <w:jc w:val="right"/>
            </w:pPr>
            <w:r w:rsidRPr="008A0812">
              <w:t>$260,000</w:t>
            </w:r>
          </w:p>
        </w:tc>
        <w:tc>
          <w:tcPr>
            <w:tcW w:w="1188" w:type="dxa"/>
            <w:tcMar>
              <w:right w:w="144" w:type="dxa"/>
            </w:tcMar>
            <w:vAlign w:val="center"/>
          </w:tcPr>
          <w:p w14:paraId="5BB2F822" w14:textId="77777777" w:rsidR="004776AB" w:rsidRPr="008A0812" w:rsidRDefault="004776AB" w:rsidP="001F6107">
            <w:pPr>
              <w:overflowPunct/>
              <w:autoSpaceDE/>
              <w:autoSpaceDN/>
              <w:adjustRightInd/>
              <w:jc w:val="right"/>
            </w:pPr>
          </w:p>
        </w:tc>
        <w:tc>
          <w:tcPr>
            <w:tcW w:w="1188" w:type="dxa"/>
            <w:tcMar>
              <w:right w:w="144" w:type="dxa"/>
            </w:tcMar>
            <w:vAlign w:val="center"/>
          </w:tcPr>
          <w:p w14:paraId="7BE60A90"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43302AD3"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29E7CBE0" w14:textId="77777777" w:rsidR="004776AB" w:rsidRPr="008A0812" w:rsidRDefault="004776AB" w:rsidP="001F6107">
            <w:pPr>
              <w:overflowPunct/>
              <w:autoSpaceDE/>
              <w:autoSpaceDN/>
              <w:adjustRightInd/>
              <w:jc w:val="right"/>
            </w:pPr>
          </w:p>
        </w:tc>
        <w:tc>
          <w:tcPr>
            <w:tcW w:w="1530" w:type="dxa"/>
            <w:shd w:val="clear" w:color="auto" w:fill="auto"/>
            <w:tcMar>
              <w:right w:w="144" w:type="dxa"/>
            </w:tcMar>
            <w:vAlign w:val="center"/>
          </w:tcPr>
          <w:p w14:paraId="3C852771" w14:textId="77777777" w:rsidR="004776AB" w:rsidRPr="008A0812" w:rsidRDefault="004776AB" w:rsidP="001F6107">
            <w:pPr>
              <w:overflowPunct/>
              <w:autoSpaceDE/>
              <w:autoSpaceDN/>
              <w:adjustRightInd/>
              <w:jc w:val="right"/>
              <w:rPr>
                <w:b/>
              </w:rPr>
            </w:pPr>
            <w:r w:rsidRPr="008A0812">
              <w:rPr>
                <w:b/>
                <w:bCs/>
              </w:rPr>
              <w:t>$260,000</w:t>
            </w:r>
          </w:p>
        </w:tc>
      </w:tr>
      <w:tr w:rsidR="004776AB" w:rsidRPr="008A0812" w14:paraId="634EBAAD" w14:textId="77777777" w:rsidTr="001F6107">
        <w:trPr>
          <w:trHeight w:val="331"/>
          <w:jc w:val="center"/>
        </w:trPr>
        <w:tc>
          <w:tcPr>
            <w:tcW w:w="1795" w:type="dxa"/>
            <w:shd w:val="clear" w:color="auto" w:fill="auto"/>
            <w:tcMar>
              <w:left w:w="72" w:type="dxa"/>
            </w:tcMar>
          </w:tcPr>
          <w:p w14:paraId="4C68FF1A" w14:textId="77777777" w:rsidR="004776AB" w:rsidRPr="008A0812" w:rsidRDefault="004776AB" w:rsidP="004776AB">
            <w:pPr>
              <w:overflowPunct/>
              <w:autoSpaceDE/>
              <w:autoSpaceDN/>
              <w:adjustRightInd/>
              <w:rPr>
                <w:rFonts w:asciiTheme="majorHAnsi" w:hAnsiTheme="majorHAnsi" w:cs="Segoe UI"/>
              </w:rPr>
            </w:pPr>
            <w:r w:rsidRPr="008A0812">
              <w:t>SCADA Master Plan Resultant Projects</w:t>
            </w:r>
          </w:p>
        </w:tc>
        <w:tc>
          <w:tcPr>
            <w:tcW w:w="1188" w:type="dxa"/>
            <w:tcMar>
              <w:right w:w="144" w:type="dxa"/>
            </w:tcMar>
            <w:vAlign w:val="center"/>
          </w:tcPr>
          <w:p w14:paraId="730F6F2B" w14:textId="77777777" w:rsidR="004776AB" w:rsidRPr="008A0812" w:rsidRDefault="004776AB" w:rsidP="001F6107">
            <w:pPr>
              <w:overflowPunct/>
              <w:autoSpaceDE/>
              <w:autoSpaceDN/>
              <w:adjustRightInd/>
              <w:jc w:val="right"/>
            </w:pPr>
          </w:p>
        </w:tc>
        <w:tc>
          <w:tcPr>
            <w:tcW w:w="1188" w:type="dxa"/>
            <w:tcMar>
              <w:right w:w="144" w:type="dxa"/>
            </w:tcMar>
            <w:vAlign w:val="center"/>
          </w:tcPr>
          <w:p w14:paraId="3228C5F3" w14:textId="77777777" w:rsidR="004776AB" w:rsidRPr="008A0812" w:rsidRDefault="004776AB" w:rsidP="001F6107">
            <w:pPr>
              <w:overflowPunct/>
              <w:autoSpaceDE/>
              <w:autoSpaceDN/>
              <w:adjustRightInd/>
              <w:jc w:val="right"/>
            </w:pPr>
            <w:r w:rsidRPr="008A0812">
              <w:t>$2,950,000</w:t>
            </w:r>
          </w:p>
        </w:tc>
        <w:tc>
          <w:tcPr>
            <w:tcW w:w="1188" w:type="dxa"/>
            <w:tcMar>
              <w:right w:w="144" w:type="dxa"/>
            </w:tcMar>
            <w:vAlign w:val="center"/>
          </w:tcPr>
          <w:p w14:paraId="613EC288" w14:textId="77777777" w:rsidR="004776AB" w:rsidRPr="008A0812" w:rsidRDefault="004776AB" w:rsidP="001F6107">
            <w:pPr>
              <w:overflowPunct/>
              <w:autoSpaceDE/>
              <w:autoSpaceDN/>
              <w:adjustRightInd/>
              <w:jc w:val="right"/>
            </w:pPr>
            <w:r w:rsidRPr="008A0812">
              <w:t>$2,950,000</w:t>
            </w:r>
          </w:p>
        </w:tc>
        <w:tc>
          <w:tcPr>
            <w:tcW w:w="1188" w:type="dxa"/>
            <w:shd w:val="clear" w:color="auto" w:fill="auto"/>
            <w:tcMar>
              <w:right w:w="144" w:type="dxa"/>
            </w:tcMar>
            <w:vAlign w:val="center"/>
          </w:tcPr>
          <w:p w14:paraId="3FB9D1A5"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56AC728B" w14:textId="77777777" w:rsidR="004776AB" w:rsidRPr="008A0812" w:rsidRDefault="004776AB" w:rsidP="001F6107">
            <w:pPr>
              <w:overflowPunct/>
              <w:autoSpaceDE/>
              <w:autoSpaceDN/>
              <w:adjustRightInd/>
              <w:jc w:val="right"/>
            </w:pPr>
          </w:p>
        </w:tc>
        <w:tc>
          <w:tcPr>
            <w:tcW w:w="1530" w:type="dxa"/>
            <w:shd w:val="clear" w:color="auto" w:fill="auto"/>
            <w:tcMar>
              <w:right w:w="144" w:type="dxa"/>
            </w:tcMar>
            <w:vAlign w:val="center"/>
          </w:tcPr>
          <w:p w14:paraId="30B322E7" w14:textId="77777777" w:rsidR="004776AB" w:rsidRPr="008A0812" w:rsidRDefault="004776AB" w:rsidP="001F6107">
            <w:pPr>
              <w:overflowPunct/>
              <w:autoSpaceDE/>
              <w:autoSpaceDN/>
              <w:adjustRightInd/>
              <w:jc w:val="right"/>
              <w:rPr>
                <w:b/>
              </w:rPr>
            </w:pPr>
            <w:r w:rsidRPr="008A0812">
              <w:rPr>
                <w:b/>
                <w:bCs/>
              </w:rPr>
              <w:t>$5,900,000</w:t>
            </w:r>
          </w:p>
        </w:tc>
      </w:tr>
      <w:tr w:rsidR="004776AB" w:rsidRPr="008A0812" w14:paraId="7E45E5B3" w14:textId="77777777" w:rsidTr="001F6107">
        <w:trPr>
          <w:trHeight w:val="331"/>
          <w:jc w:val="center"/>
        </w:trPr>
        <w:tc>
          <w:tcPr>
            <w:tcW w:w="1795" w:type="dxa"/>
            <w:shd w:val="clear" w:color="auto" w:fill="auto"/>
            <w:tcMar>
              <w:left w:w="72" w:type="dxa"/>
            </w:tcMar>
          </w:tcPr>
          <w:p w14:paraId="5E5C78FB" w14:textId="77777777" w:rsidR="004776AB" w:rsidRPr="008A0812" w:rsidRDefault="004776AB" w:rsidP="004776AB">
            <w:pPr>
              <w:overflowPunct/>
              <w:autoSpaceDE/>
              <w:autoSpaceDN/>
              <w:adjustRightInd/>
              <w:rPr>
                <w:rFonts w:asciiTheme="majorHAnsi" w:hAnsiTheme="majorHAnsi" w:cs="Segoe UI"/>
              </w:rPr>
            </w:pPr>
            <w:r w:rsidRPr="008A0812">
              <w:t>Biosolids Strategic Plan</w:t>
            </w:r>
          </w:p>
        </w:tc>
        <w:tc>
          <w:tcPr>
            <w:tcW w:w="1188" w:type="dxa"/>
            <w:tcMar>
              <w:right w:w="144" w:type="dxa"/>
            </w:tcMar>
            <w:vAlign w:val="center"/>
          </w:tcPr>
          <w:p w14:paraId="1C9A11DF" w14:textId="77777777" w:rsidR="004776AB" w:rsidRPr="008A0812" w:rsidRDefault="004776AB" w:rsidP="001F6107">
            <w:pPr>
              <w:overflowPunct/>
              <w:autoSpaceDE/>
              <w:autoSpaceDN/>
              <w:adjustRightInd/>
              <w:jc w:val="right"/>
            </w:pPr>
            <w:r w:rsidRPr="008A0812">
              <w:t>$390,000</w:t>
            </w:r>
          </w:p>
        </w:tc>
        <w:tc>
          <w:tcPr>
            <w:tcW w:w="1188" w:type="dxa"/>
            <w:tcMar>
              <w:right w:w="144" w:type="dxa"/>
            </w:tcMar>
            <w:vAlign w:val="center"/>
          </w:tcPr>
          <w:p w14:paraId="5DAC65F0" w14:textId="77777777" w:rsidR="004776AB" w:rsidRPr="008A0812" w:rsidRDefault="004776AB" w:rsidP="001F6107">
            <w:pPr>
              <w:overflowPunct/>
              <w:autoSpaceDE/>
              <w:autoSpaceDN/>
              <w:adjustRightInd/>
              <w:jc w:val="right"/>
            </w:pPr>
          </w:p>
        </w:tc>
        <w:tc>
          <w:tcPr>
            <w:tcW w:w="1188" w:type="dxa"/>
            <w:tcMar>
              <w:right w:w="144" w:type="dxa"/>
            </w:tcMar>
            <w:vAlign w:val="center"/>
          </w:tcPr>
          <w:p w14:paraId="39CF7E6E"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68321E6C"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65C5F49E" w14:textId="77777777" w:rsidR="004776AB" w:rsidRPr="008A0812" w:rsidRDefault="004776AB" w:rsidP="001F6107">
            <w:pPr>
              <w:overflowPunct/>
              <w:autoSpaceDE/>
              <w:autoSpaceDN/>
              <w:adjustRightInd/>
              <w:jc w:val="right"/>
            </w:pPr>
          </w:p>
        </w:tc>
        <w:tc>
          <w:tcPr>
            <w:tcW w:w="1530" w:type="dxa"/>
            <w:shd w:val="clear" w:color="auto" w:fill="auto"/>
            <w:tcMar>
              <w:right w:w="144" w:type="dxa"/>
            </w:tcMar>
            <w:vAlign w:val="center"/>
          </w:tcPr>
          <w:p w14:paraId="76463400" w14:textId="77777777" w:rsidR="004776AB" w:rsidRPr="008A0812" w:rsidRDefault="004776AB" w:rsidP="001F6107">
            <w:pPr>
              <w:overflowPunct/>
              <w:autoSpaceDE/>
              <w:autoSpaceDN/>
              <w:adjustRightInd/>
              <w:jc w:val="right"/>
              <w:rPr>
                <w:b/>
              </w:rPr>
            </w:pPr>
            <w:r w:rsidRPr="008A0812">
              <w:rPr>
                <w:b/>
                <w:bCs/>
              </w:rPr>
              <w:t>$390,000</w:t>
            </w:r>
          </w:p>
        </w:tc>
      </w:tr>
      <w:tr w:rsidR="004776AB" w:rsidRPr="008A0812" w14:paraId="2D4738E7" w14:textId="77777777" w:rsidTr="001F6107">
        <w:trPr>
          <w:trHeight w:val="331"/>
          <w:jc w:val="center"/>
        </w:trPr>
        <w:tc>
          <w:tcPr>
            <w:tcW w:w="1795" w:type="dxa"/>
            <w:shd w:val="clear" w:color="auto" w:fill="auto"/>
            <w:tcMar>
              <w:left w:w="72" w:type="dxa"/>
            </w:tcMar>
          </w:tcPr>
          <w:p w14:paraId="5A89EE0D" w14:textId="77777777" w:rsidR="004776AB" w:rsidRPr="008A0812" w:rsidRDefault="004776AB" w:rsidP="004776AB">
            <w:pPr>
              <w:overflowPunct/>
              <w:autoSpaceDE/>
              <w:autoSpaceDN/>
              <w:adjustRightInd/>
              <w:rPr>
                <w:rFonts w:asciiTheme="majorHAnsi" w:hAnsiTheme="majorHAnsi" w:cs="Segoe UI"/>
              </w:rPr>
            </w:pPr>
            <w:r w:rsidRPr="008A0812">
              <w:t>RIX Facility Plan</w:t>
            </w:r>
          </w:p>
        </w:tc>
        <w:tc>
          <w:tcPr>
            <w:tcW w:w="1188" w:type="dxa"/>
            <w:tcMar>
              <w:right w:w="144" w:type="dxa"/>
            </w:tcMar>
            <w:vAlign w:val="center"/>
          </w:tcPr>
          <w:p w14:paraId="787E4375" w14:textId="77777777" w:rsidR="004776AB" w:rsidRPr="008A0812" w:rsidRDefault="004776AB" w:rsidP="001F6107">
            <w:pPr>
              <w:overflowPunct/>
              <w:autoSpaceDE/>
              <w:autoSpaceDN/>
              <w:adjustRightInd/>
              <w:jc w:val="right"/>
            </w:pPr>
            <w:r w:rsidRPr="008A0812">
              <w:t>$130,000</w:t>
            </w:r>
          </w:p>
        </w:tc>
        <w:tc>
          <w:tcPr>
            <w:tcW w:w="1188" w:type="dxa"/>
            <w:tcMar>
              <w:right w:w="144" w:type="dxa"/>
            </w:tcMar>
            <w:vAlign w:val="center"/>
          </w:tcPr>
          <w:p w14:paraId="1EEEDE6F" w14:textId="77777777" w:rsidR="004776AB" w:rsidRPr="008A0812" w:rsidRDefault="004776AB" w:rsidP="001F6107">
            <w:pPr>
              <w:overflowPunct/>
              <w:autoSpaceDE/>
              <w:autoSpaceDN/>
              <w:adjustRightInd/>
              <w:jc w:val="right"/>
            </w:pPr>
          </w:p>
        </w:tc>
        <w:tc>
          <w:tcPr>
            <w:tcW w:w="1188" w:type="dxa"/>
            <w:tcMar>
              <w:right w:w="144" w:type="dxa"/>
            </w:tcMar>
            <w:vAlign w:val="center"/>
          </w:tcPr>
          <w:p w14:paraId="4CD816C6"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18EE8A97" w14:textId="77777777" w:rsidR="004776AB" w:rsidRPr="008A0812" w:rsidRDefault="004776AB" w:rsidP="001F6107">
            <w:pPr>
              <w:overflowPunct/>
              <w:autoSpaceDE/>
              <w:autoSpaceDN/>
              <w:adjustRightInd/>
              <w:jc w:val="right"/>
            </w:pPr>
          </w:p>
        </w:tc>
        <w:tc>
          <w:tcPr>
            <w:tcW w:w="1188" w:type="dxa"/>
            <w:shd w:val="clear" w:color="auto" w:fill="auto"/>
            <w:tcMar>
              <w:right w:w="144" w:type="dxa"/>
            </w:tcMar>
            <w:vAlign w:val="center"/>
          </w:tcPr>
          <w:p w14:paraId="12478279" w14:textId="77777777" w:rsidR="004776AB" w:rsidRPr="008A0812" w:rsidRDefault="004776AB" w:rsidP="001F6107">
            <w:pPr>
              <w:overflowPunct/>
              <w:autoSpaceDE/>
              <w:autoSpaceDN/>
              <w:adjustRightInd/>
              <w:jc w:val="right"/>
            </w:pPr>
          </w:p>
        </w:tc>
        <w:tc>
          <w:tcPr>
            <w:tcW w:w="1530" w:type="dxa"/>
            <w:shd w:val="clear" w:color="auto" w:fill="auto"/>
            <w:tcMar>
              <w:right w:w="144" w:type="dxa"/>
            </w:tcMar>
            <w:vAlign w:val="center"/>
          </w:tcPr>
          <w:p w14:paraId="5C651799" w14:textId="77777777" w:rsidR="004776AB" w:rsidRPr="008A0812" w:rsidRDefault="004776AB" w:rsidP="001F6107">
            <w:pPr>
              <w:overflowPunct/>
              <w:autoSpaceDE/>
              <w:autoSpaceDN/>
              <w:adjustRightInd/>
              <w:jc w:val="right"/>
              <w:rPr>
                <w:b/>
              </w:rPr>
            </w:pPr>
            <w:r w:rsidRPr="008A0812">
              <w:rPr>
                <w:b/>
                <w:bCs/>
              </w:rPr>
              <w:t>$130,000</w:t>
            </w:r>
          </w:p>
        </w:tc>
      </w:tr>
      <w:tr w:rsidR="004776AB" w:rsidRPr="008A0812" w14:paraId="08CC1ADA" w14:textId="77777777" w:rsidTr="004776AB">
        <w:trPr>
          <w:trHeight w:hRule="exact" w:val="331"/>
          <w:jc w:val="center"/>
        </w:trPr>
        <w:tc>
          <w:tcPr>
            <w:tcW w:w="9265" w:type="dxa"/>
            <w:gridSpan w:val="7"/>
            <w:shd w:val="clear" w:color="auto" w:fill="BFBFBF" w:themeFill="background1" w:themeFillShade="BF"/>
            <w:tcMar>
              <w:left w:w="72" w:type="dxa"/>
            </w:tcMar>
            <w:vAlign w:val="center"/>
          </w:tcPr>
          <w:p w14:paraId="6381E21B" w14:textId="77777777" w:rsidR="004776AB" w:rsidRPr="008A0812" w:rsidRDefault="004776AB" w:rsidP="004776AB">
            <w:pPr>
              <w:overflowPunct/>
              <w:autoSpaceDE/>
              <w:autoSpaceDN/>
              <w:adjustRightInd/>
              <w:rPr>
                <w:rFonts w:asciiTheme="majorHAnsi" w:hAnsiTheme="majorHAnsi" w:cs="Segoe UI"/>
                <w:b/>
                <w:bCs/>
              </w:rPr>
            </w:pPr>
            <w:r w:rsidRPr="008A0812">
              <w:rPr>
                <w:rFonts w:asciiTheme="majorHAnsi" w:hAnsiTheme="majorHAnsi" w:cs="Segoe UI"/>
                <w:b/>
                <w:bCs/>
              </w:rPr>
              <w:t>R&amp;R Projects</w:t>
            </w:r>
          </w:p>
        </w:tc>
      </w:tr>
      <w:tr w:rsidR="003C5F9D" w:rsidRPr="008A0812" w14:paraId="1C7A7470" w14:textId="77777777" w:rsidTr="003C5F9D">
        <w:trPr>
          <w:trHeight w:val="331"/>
          <w:jc w:val="center"/>
        </w:trPr>
        <w:tc>
          <w:tcPr>
            <w:tcW w:w="1795" w:type="dxa"/>
            <w:shd w:val="clear" w:color="auto" w:fill="auto"/>
            <w:tcMar>
              <w:left w:w="72" w:type="dxa"/>
            </w:tcMar>
            <w:vAlign w:val="center"/>
          </w:tcPr>
          <w:p w14:paraId="192EC609"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HVAC and Misc. Mechanical Asset R&amp;R</w:t>
            </w:r>
          </w:p>
        </w:tc>
        <w:tc>
          <w:tcPr>
            <w:tcW w:w="1188" w:type="dxa"/>
            <w:tcMar>
              <w:right w:w="144" w:type="dxa"/>
            </w:tcMar>
            <w:vAlign w:val="center"/>
          </w:tcPr>
          <w:p w14:paraId="326FFA86" w14:textId="02B33A0C" w:rsidR="003C5F9D" w:rsidRPr="008A0812" w:rsidRDefault="003C5F9D" w:rsidP="003C5F9D">
            <w:pPr>
              <w:overflowPunct/>
              <w:autoSpaceDE/>
              <w:autoSpaceDN/>
              <w:adjustRightInd/>
              <w:jc w:val="right"/>
              <w:rPr>
                <w:rFonts w:asciiTheme="majorHAnsi" w:hAnsiTheme="majorHAnsi" w:cs="Segoe UI"/>
              </w:rPr>
            </w:pPr>
            <w:r w:rsidRPr="008A0812">
              <w:t xml:space="preserve"> $100,000 </w:t>
            </w:r>
          </w:p>
        </w:tc>
        <w:tc>
          <w:tcPr>
            <w:tcW w:w="1188" w:type="dxa"/>
            <w:tcMar>
              <w:right w:w="144" w:type="dxa"/>
            </w:tcMar>
            <w:vAlign w:val="center"/>
          </w:tcPr>
          <w:p w14:paraId="0CEAA373" w14:textId="4C0F3957" w:rsidR="003C5F9D" w:rsidRPr="008A0812" w:rsidRDefault="003C5F9D" w:rsidP="003C5F9D">
            <w:pPr>
              <w:overflowPunct/>
              <w:autoSpaceDE/>
              <w:autoSpaceDN/>
              <w:adjustRightInd/>
              <w:jc w:val="right"/>
              <w:rPr>
                <w:rFonts w:asciiTheme="majorHAnsi" w:hAnsiTheme="majorHAnsi" w:cs="Segoe UI"/>
              </w:rPr>
            </w:pPr>
            <w:r w:rsidRPr="008A0812">
              <w:t xml:space="preserve"> $100,000 </w:t>
            </w:r>
          </w:p>
        </w:tc>
        <w:tc>
          <w:tcPr>
            <w:tcW w:w="1188" w:type="dxa"/>
            <w:tcMar>
              <w:right w:w="144" w:type="dxa"/>
            </w:tcMar>
            <w:vAlign w:val="center"/>
          </w:tcPr>
          <w:p w14:paraId="208D322B" w14:textId="47401F16" w:rsidR="003C5F9D" w:rsidRPr="008A0812" w:rsidRDefault="003C5F9D" w:rsidP="003C5F9D">
            <w:pPr>
              <w:overflowPunct/>
              <w:autoSpaceDE/>
              <w:autoSpaceDN/>
              <w:adjustRightInd/>
              <w:jc w:val="right"/>
              <w:rPr>
                <w:rFonts w:asciiTheme="majorHAnsi" w:hAnsiTheme="majorHAnsi" w:cs="Segoe UI"/>
              </w:rPr>
            </w:pPr>
            <w:r w:rsidRPr="008A0812">
              <w:t xml:space="preserve"> $100,000 </w:t>
            </w:r>
          </w:p>
        </w:tc>
        <w:tc>
          <w:tcPr>
            <w:tcW w:w="1188" w:type="dxa"/>
            <w:shd w:val="clear" w:color="auto" w:fill="auto"/>
            <w:tcMar>
              <w:right w:w="144" w:type="dxa"/>
            </w:tcMar>
            <w:vAlign w:val="center"/>
          </w:tcPr>
          <w:p w14:paraId="63CA68B8" w14:textId="3EB80592" w:rsidR="003C5F9D" w:rsidRPr="008A0812" w:rsidRDefault="003C5F9D" w:rsidP="003C5F9D">
            <w:pPr>
              <w:overflowPunct/>
              <w:autoSpaceDE/>
              <w:autoSpaceDN/>
              <w:adjustRightInd/>
              <w:jc w:val="right"/>
              <w:rPr>
                <w:rFonts w:asciiTheme="majorHAnsi" w:hAnsiTheme="majorHAnsi" w:cs="Segoe UI"/>
              </w:rPr>
            </w:pPr>
            <w:r w:rsidRPr="008A0812">
              <w:t xml:space="preserve"> $100,000 </w:t>
            </w:r>
          </w:p>
        </w:tc>
        <w:tc>
          <w:tcPr>
            <w:tcW w:w="1188" w:type="dxa"/>
            <w:shd w:val="clear" w:color="auto" w:fill="auto"/>
            <w:tcMar>
              <w:right w:w="144" w:type="dxa"/>
            </w:tcMar>
            <w:vAlign w:val="center"/>
          </w:tcPr>
          <w:p w14:paraId="67205786" w14:textId="703C85F3" w:rsidR="003C5F9D" w:rsidRPr="008A0812" w:rsidRDefault="003C5F9D" w:rsidP="003C5F9D">
            <w:pPr>
              <w:overflowPunct/>
              <w:autoSpaceDE/>
              <w:autoSpaceDN/>
              <w:adjustRightInd/>
              <w:jc w:val="right"/>
              <w:rPr>
                <w:rFonts w:asciiTheme="majorHAnsi" w:hAnsiTheme="majorHAnsi" w:cs="Segoe UI"/>
              </w:rPr>
            </w:pPr>
            <w:r w:rsidRPr="008A0812">
              <w:t xml:space="preserve"> $100,000 </w:t>
            </w:r>
          </w:p>
        </w:tc>
        <w:tc>
          <w:tcPr>
            <w:tcW w:w="1530" w:type="dxa"/>
            <w:shd w:val="clear" w:color="auto" w:fill="auto"/>
            <w:tcMar>
              <w:right w:w="144" w:type="dxa"/>
            </w:tcMar>
            <w:vAlign w:val="center"/>
          </w:tcPr>
          <w:p w14:paraId="5ECA931C" w14:textId="06DC06DA"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$500,000 </w:t>
            </w:r>
          </w:p>
        </w:tc>
      </w:tr>
      <w:tr w:rsidR="003C5F9D" w:rsidRPr="008A0812" w14:paraId="5007AF78" w14:textId="77777777" w:rsidTr="003C5F9D">
        <w:trPr>
          <w:trHeight w:val="331"/>
          <w:jc w:val="center"/>
        </w:trPr>
        <w:tc>
          <w:tcPr>
            <w:tcW w:w="1795" w:type="dxa"/>
            <w:shd w:val="clear" w:color="auto" w:fill="auto"/>
            <w:tcMar>
              <w:left w:w="72" w:type="dxa"/>
            </w:tcMar>
            <w:vAlign w:val="center"/>
          </w:tcPr>
          <w:p w14:paraId="20D1A94F"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Instrumentation R&amp;R</w:t>
            </w:r>
          </w:p>
        </w:tc>
        <w:tc>
          <w:tcPr>
            <w:tcW w:w="1188" w:type="dxa"/>
            <w:tcMar>
              <w:right w:w="144" w:type="dxa"/>
            </w:tcMar>
            <w:vAlign w:val="center"/>
          </w:tcPr>
          <w:p w14:paraId="2658ED27" w14:textId="59285F27"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3C8EC683" w14:textId="691BE83F" w:rsidR="003C5F9D" w:rsidRPr="008A0812" w:rsidRDefault="003C5F9D" w:rsidP="003C5F9D">
            <w:pPr>
              <w:overflowPunct/>
              <w:autoSpaceDE/>
              <w:autoSpaceDN/>
              <w:adjustRightInd/>
              <w:jc w:val="right"/>
              <w:rPr>
                <w:rFonts w:asciiTheme="majorHAnsi" w:hAnsiTheme="majorHAnsi" w:cs="Segoe UI"/>
              </w:rPr>
            </w:pPr>
            <w:r w:rsidRPr="008A0812">
              <w:t xml:space="preserve"> $225,000 </w:t>
            </w:r>
          </w:p>
        </w:tc>
        <w:tc>
          <w:tcPr>
            <w:tcW w:w="1188" w:type="dxa"/>
            <w:tcMar>
              <w:right w:w="144" w:type="dxa"/>
            </w:tcMar>
            <w:vAlign w:val="center"/>
          </w:tcPr>
          <w:p w14:paraId="4C626528" w14:textId="7ECFC8CD" w:rsidR="003C5F9D" w:rsidRPr="008A0812" w:rsidRDefault="003C5F9D" w:rsidP="003C5F9D">
            <w:pPr>
              <w:overflowPunct/>
              <w:autoSpaceDE/>
              <w:autoSpaceDN/>
              <w:adjustRightInd/>
              <w:jc w:val="right"/>
              <w:rPr>
                <w:rFonts w:asciiTheme="majorHAnsi" w:hAnsiTheme="majorHAnsi" w:cs="Segoe UI"/>
              </w:rPr>
            </w:pPr>
            <w:r w:rsidRPr="008A0812">
              <w:t xml:space="preserve"> $225,000 </w:t>
            </w:r>
          </w:p>
        </w:tc>
        <w:tc>
          <w:tcPr>
            <w:tcW w:w="1188" w:type="dxa"/>
            <w:shd w:val="clear" w:color="auto" w:fill="auto"/>
            <w:tcMar>
              <w:right w:w="144" w:type="dxa"/>
            </w:tcMar>
            <w:vAlign w:val="center"/>
          </w:tcPr>
          <w:p w14:paraId="75CF9A00" w14:textId="27AE9863"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3853F679" w14:textId="0695BA9B"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530" w:type="dxa"/>
            <w:shd w:val="clear" w:color="auto" w:fill="auto"/>
            <w:tcMar>
              <w:right w:w="144" w:type="dxa"/>
            </w:tcMar>
            <w:vAlign w:val="center"/>
          </w:tcPr>
          <w:p w14:paraId="08235F32" w14:textId="01910D82"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$450,000 </w:t>
            </w:r>
          </w:p>
        </w:tc>
      </w:tr>
      <w:tr w:rsidR="003C5F9D" w:rsidRPr="008A0812" w14:paraId="5B47CF83" w14:textId="77777777" w:rsidTr="003C5F9D">
        <w:trPr>
          <w:trHeight w:val="331"/>
          <w:jc w:val="center"/>
        </w:trPr>
        <w:tc>
          <w:tcPr>
            <w:tcW w:w="1795" w:type="dxa"/>
            <w:shd w:val="clear" w:color="auto" w:fill="auto"/>
            <w:tcMar>
              <w:left w:w="72" w:type="dxa"/>
            </w:tcMar>
            <w:vAlign w:val="center"/>
          </w:tcPr>
          <w:p w14:paraId="51E3722C"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Liner and Containment Structure R&amp;R</w:t>
            </w:r>
          </w:p>
        </w:tc>
        <w:tc>
          <w:tcPr>
            <w:tcW w:w="1188" w:type="dxa"/>
            <w:tcMar>
              <w:right w:w="144" w:type="dxa"/>
            </w:tcMar>
            <w:vAlign w:val="center"/>
          </w:tcPr>
          <w:p w14:paraId="1D9FEB30" w14:textId="392488ED"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1B0E44D1" w14:textId="49A5C3EA"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0D72B822" w14:textId="7759BD59"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050E984B" w14:textId="48C1FB43"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1BF5219B" w14:textId="765D8069" w:rsidR="003C5F9D" w:rsidRPr="008A0812" w:rsidRDefault="003C5F9D" w:rsidP="003C5F9D">
            <w:pPr>
              <w:overflowPunct/>
              <w:autoSpaceDE/>
              <w:autoSpaceDN/>
              <w:adjustRightInd/>
              <w:jc w:val="right"/>
              <w:rPr>
                <w:rFonts w:asciiTheme="majorHAnsi" w:hAnsiTheme="majorHAnsi" w:cs="Segoe UI"/>
              </w:rPr>
            </w:pPr>
            <w:r w:rsidRPr="008A0812">
              <w:t xml:space="preserve"> $240,000 </w:t>
            </w:r>
          </w:p>
        </w:tc>
        <w:tc>
          <w:tcPr>
            <w:tcW w:w="1530" w:type="dxa"/>
            <w:shd w:val="clear" w:color="auto" w:fill="auto"/>
            <w:tcMar>
              <w:right w:w="144" w:type="dxa"/>
            </w:tcMar>
            <w:vAlign w:val="center"/>
          </w:tcPr>
          <w:p w14:paraId="2616FF2B" w14:textId="4167F338"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$240,000 </w:t>
            </w:r>
          </w:p>
        </w:tc>
      </w:tr>
      <w:tr w:rsidR="003C5F9D" w:rsidRPr="008A0812" w14:paraId="4DD31D27" w14:textId="77777777" w:rsidTr="003C5F9D">
        <w:trPr>
          <w:trHeight w:val="331"/>
          <w:jc w:val="center"/>
        </w:trPr>
        <w:tc>
          <w:tcPr>
            <w:tcW w:w="1795" w:type="dxa"/>
            <w:shd w:val="clear" w:color="auto" w:fill="auto"/>
            <w:tcMar>
              <w:left w:w="72" w:type="dxa"/>
            </w:tcMar>
            <w:vAlign w:val="center"/>
          </w:tcPr>
          <w:p w14:paraId="6CF0CBF3"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Solids Handling and Digester A R&amp;R</w:t>
            </w:r>
          </w:p>
        </w:tc>
        <w:tc>
          <w:tcPr>
            <w:tcW w:w="1188" w:type="dxa"/>
            <w:tcMar>
              <w:right w:w="144" w:type="dxa"/>
            </w:tcMar>
            <w:vAlign w:val="center"/>
          </w:tcPr>
          <w:p w14:paraId="6CCD10AD" w14:textId="7C14397F"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1205B02A" w14:textId="2EEEB8FF"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7F4403B6" w14:textId="6C085364" w:rsidR="003C5F9D" w:rsidRPr="008A0812" w:rsidRDefault="003C5F9D" w:rsidP="003C5F9D">
            <w:pPr>
              <w:overflowPunct/>
              <w:autoSpaceDE/>
              <w:autoSpaceDN/>
              <w:adjustRightInd/>
              <w:jc w:val="right"/>
              <w:rPr>
                <w:rFonts w:asciiTheme="majorHAnsi" w:hAnsiTheme="majorHAnsi" w:cs="Segoe UI"/>
              </w:rPr>
            </w:pPr>
            <w:r w:rsidRPr="008A0812">
              <w:t xml:space="preserve"> $469,000 </w:t>
            </w:r>
          </w:p>
        </w:tc>
        <w:tc>
          <w:tcPr>
            <w:tcW w:w="1188" w:type="dxa"/>
            <w:shd w:val="clear" w:color="auto" w:fill="auto"/>
            <w:tcMar>
              <w:right w:w="144" w:type="dxa"/>
            </w:tcMar>
            <w:vAlign w:val="center"/>
          </w:tcPr>
          <w:p w14:paraId="6F4F4FC1" w14:textId="00A6689B" w:rsidR="003C5F9D" w:rsidRPr="008A0812" w:rsidRDefault="003C5F9D" w:rsidP="003C5F9D">
            <w:pPr>
              <w:overflowPunct/>
              <w:autoSpaceDE/>
              <w:autoSpaceDN/>
              <w:adjustRightInd/>
              <w:jc w:val="right"/>
              <w:rPr>
                <w:rFonts w:asciiTheme="majorHAnsi" w:hAnsiTheme="majorHAnsi" w:cs="Segoe UI"/>
              </w:rPr>
            </w:pPr>
            <w:r w:rsidRPr="008A0812">
              <w:t xml:space="preserve"> $2,110,500 </w:t>
            </w:r>
          </w:p>
        </w:tc>
        <w:tc>
          <w:tcPr>
            <w:tcW w:w="1188" w:type="dxa"/>
            <w:shd w:val="clear" w:color="auto" w:fill="auto"/>
            <w:tcMar>
              <w:right w:w="144" w:type="dxa"/>
            </w:tcMar>
            <w:vAlign w:val="center"/>
          </w:tcPr>
          <w:p w14:paraId="50B39C05" w14:textId="41265995" w:rsidR="003C5F9D" w:rsidRPr="008A0812" w:rsidRDefault="003C5F9D" w:rsidP="003C5F9D">
            <w:pPr>
              <w:overflowPunct/>
              <w:autoSpaceDE/>
              <w:autoSpaceDN/>
              <w:adjustRightInd/>
              <w:jc w:val="right"/>
              <w:rPr>
                <w:rFonts w:asciiTheme="majorHAnsi" w:hAnsiTheme="majorHAnsi" w:cs="Segoe UI"/>
              </w:rPr>
            </w:pPr>
            <w:r w:rsidRPr="008A0812">
              <w:t xml:space="preserve"> $2,110,500 </w:t>
            </w:r>
          </w:p>
        </w:tc>
        <w:tc>
          <w:tcPr>
            <w:tcW w:w="1530" w:type="dxa"/>
            <w:shd w:val="clear" w:color="auto" w:fill="auto"/>
            <w:tcMar>
              <w:right w:w="144" w:type="dxa"/>
            </w:tcMar>
            <w:vAlign w:val="center"/>
          </w:tcPr>
          <w:p w14:paraId="15753DDE" w14:textId="7E9582C2"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$4,690,000 </w:t>
            </w:r>
          </w:p>
        </w:tc>
      </w:tr>
      <w:tr w:rsidR="003C5F9D" w:rsidRPr="008A0812" w14:paraId="5189108F" w14:textId="77777777" w:rsidTr="003C5F9D">
        <w:trPr>
          <w:trHeight w:val="331"/>
          <w:jc w:val="center"/>
        </w:trPr>
        <w:tc>
          <w:tcPr>
            <w:tcW w:w="1795" w:type="dxa"/>
            <w:shd w:val="clear" w:color="auto" w:fill="auto"/>
            <w:tcMar>
              <w:left w:w="72" w:type="dxa"/>
            </w:tcMar>
            <w:vAlign w:val="center"/>
          </w:tcPr>
          <w:p w14:paraId="37124127"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Digester C &amp; D R&amp;R</w:t>
            </w:r>
          </w:p>
        </w:tc>
        <w:tc>
          <w:tcPr>
            <w:tcW w:w="1188" w:type="dxa"/>
            <w:tcMar>
              <w:right w:w="144" w:type="dxa"/>
            </w:tcMar>
            <w:vAlign w:val="center"/>
          </w:tcPr>
          <w:p w14:paraId="525A42CB" w14:textId="77477CDC"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6BC1467A" w14:textId="0C8DF046"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70B9A343" w14:textId="693CFB12" w:rsidR="003C5F9D" w:rsidRPr="008A0812" w:rsidRDefault="00B600AE" w:rsidP="003C5F9D">
            <w:pPr>
              <w:overflowPunct/>
              <w:autoSpaceDE/>
              <w:autoSpaceDN/>
              <w:adjustRightInd/>
              <w:jc w:val="right"/>
              <w:rPr>
                <w:rFonts w:asciiTheme="majorHAnsi" w:hAnsiTheme="majorHAnsi" w:cs="Segoe UI"/>
              </w:rPr>
            </w:pPr>
            <w:r w:rsidRPr="008A0812">
              <w:t xml:space="preserve">$220,000 </w:t>
            </w:r>
            <w:r w:rsidR="003C5F9D" w:rsidRPr="008A0812">
              <w:t xml:space="preserve">  </w:t>
            </w:r>
          </w:p>
        </w:tc>
        <w:tc>
          <w:tcPr>
            <w:tcW w:w="1188" w:type="dxa"/>
            <w:shd w:val="clear" w:color="auto" w:fill="auto"/>
            <w:tcMar>
              <w:right w:w="144" w:type="dxa"/>
            </w:tcMar>
            <w:vAlign w:val="center"/>
          </w:tcPr>
          <w:p w14:paraId="1CB945BE" w14:textId="7CA88D2D" w:rsidR="003C5F9D" w:rsidRPr="008A0812" w:rsidRDefault="003C5F9D" w:rsidP="003C5F9D">
            <w:pPr>
              <w:overflowPunct/>
              <w:autoSpaceDE/>
              <w:autoSpaceDN/>
              <w:adjustRightInd/>
              <w:jc w:val="right"/>
              <w:rPr>
                <w:rFonts w:asciiTheme="majorHAnsi" w:hAnsiTheme="majorHAnsi" w:cs="Segoe UI"/>
              </w:rPr>
            </w:pPr>
          </w:p>
        </w:tc>
        <w:tc>
          <w:tcPr>
            <w:tcW w:w="1188" w:type="dxa"/>
            <w:shd w:val="clear" w:color="auto" w:fill="auto"/>
            <w:tcMar>
              <w:right w:w="144" w:type="dxa"/>
            </w:tcMar>
            <w:vAlign w:val="center"/>
          </w:tcPr>
          <w:p w14:paraId="0AB53C01" w14:textId="42083C72"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530" w:type="dxa"/>
            <w:shd w:val="clear" w:color="auto" w:fill="auto"/>
            <w:tcMar>
              <w:right w:w="144" w:type="dxa"/>
            </w:tcMar>
            <w:vAlign w:val="center"/>
          </w:tcPr>
          <w:p w14:paraId="65CBABC2" w14:textId="7BB4B2BB"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$220,000 </w:t>
            </w:r>
          </w:p>
        </w:tc>
      </w:tr>
      <w:tr w:rsidR="003C5F9D" w:rsidRPr="008A0812" w14:paraId="3E571037" w14:textId="77777777" w:rsidTr="003C5F9D">
        <w:trPr>
          <w:trHeight w:val="331"/>
          <w:jc w:val="center"/>
        </w:trPr>
        <w:tc>
          <w:tcPr>
            <w:tcW w:w="1795" w:type="dxa"/>
            <w:shd w:val="clear" w:color="auto" w:fill="auto"/>
            <w:tcMar>
              <w:left w:w="72" w:type="dxa"/>
            </w:tcMar>
            <w:vAlign w:val="center"/>
          </w:tcPr>
          <w:p w14:paraId="124D2B0C"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Pavement R&amp;R</w:t>
            </w:r>
          </w:p>
        </w:tc>
        <w:tc>
          <w:tcPr>
            <w:tcW w:w="1188" w:type="dxa"/>
            <w:tcMar>
              <w:right w:w="144" w:type="dxa"/>
            </w:tcMar>
            <w:vAlign w:val="center"/>
          </w:tcPr>
          <w:p w14:paraId="357930D2" w14:textId="15FD0C41" w:rsidR="003C5F9D" w:rsidRPr="008A0812" w:rsidRDefault="003C5F9D" w:rsidP="003C5F9D">
            <w:pPr>
              <w:overflowPunct/>
              <w:autoSpaceDE/>
              <w:autoSpaceDN/>
              <w:adjustRightInd/>
              <w:jc w:val="right"/>
              <w:rPr>
                <w:rFonts w:asciiTheme="majorHAnsi" w:hAnsiTheme="majorHAnsi" w:cs="Segoe UI"/>
              </w:rPr>
            </w:pPr>
            <w:r w:rsidRPr="008A0812">
              <w:t xml:space="preserve"> $364,000 </w:t>
            </w:r>
          </w:p>
        </w:tc>
        <w:tc>
          <w:tcPr>
            <w:tcW w:w="1188" w:type="dxa"/>
            <w:tcMar>
              <w:right w:w="144" w:type="dxa"/>
            </w:tcMar>
            <w:vAlign w:val="center"/>
          </w:tcPr>
          <w:p w14:paraId="0552AA61" w14:textId="53EBD5F8" w:rsidR="003C5F9D" w:rsidRPr="008A0812" w:rsidRDefault="003C5F9D" w:rsidP="003C5F9D">
            <w:pPr>
              <w:overflowPunct/>
              <w:autoSpaceDE/>
              <w:autoSpaceDN/>
              <w:adjustRightInd/>
              <w:jc w:val="right"/>
              <w:rPr>
                <w:rFonts w:asciiTheme="majorHAnsi" w:hAnsiTheme="majorHAnsi" w:cs="Segoe UI"/>
              </w:rPr>
            </w:pPr>
            <w:r w:rsidRPr="008A0812">
              <w:t xml:space="preserve"> $364,000 </w:t>
            </w:r>
          </w:p>
        </w:tc>
        <w:tc>
          <w:tcPr>
            <w:tcW w:w="1188" w:type="dxa"/>
            <w:tcMar>
              <w:right w:w="144" w:type="dxa"/>
            </w:tcMar>
            <w:vAlign w:val="center"/>
          </w:tcPr>
          <w:p w14:paraId="4F5F06A8" w14:textId="575DD249" w:rsidR="003C5F9D" w:rsidRPr="008A0812" w:rsidRDefault="003C5F9D" w:rsidP="003C5F9D">
            <w:pPr>
              <w:overflowPunct/>
              <w:autoSpaceDE/>
              <w:autoSpaceDN/>
              <w:adjustRightInd/>
              <w:jc w:val="right"/>
              <w:rPr>
                <w:rFonts w:asciiTheme="majorHAnsi" w:hAnsiTheme="majorHAnsi" w:cs="Segoe UI"/>
              </w:rPr>
            </w:pPr>
            <w:r w:rsidRPr="008A0812">
              <w:t xml:space="preserve"> $364,000 </w:t>
            </w:r>
          </w:p>
        </w:tc>
        <w:tc>
          <w:tcPr>
            <w:tcW w:w="1188" w:type="dxa"/>
            <w:shd w:val="clear" w:color="auto" w:fill="auto"/>
            <w:tcMar>
              <w:right w:w="144" w:type="dxa"/>
            </w:tcMar>
            <w:vAlign w:val="center"/>
          </w:tcPr>
          <w:p w14:paraId="0B8F3673" w14:textId="04EAA50C" w:rsidR="003C5F9D" w:rsidRPr="008A0812" w:rsidRDefault="003C5F9D" w:rsidP="003C5F9D">
            <w:pPr>
              <w:overflowPunct/>
              <w:autoSpaceDE/>
              <w:autoSpaceDN/>
              <w:adjustRightInd/>
              <w:jc w:val="right"/>
              <w:rPr>
                <w:rFonts w:asciiTheme="majorHAnsi" w:hAnsiTheme="majorHAnsi" w:cs="Segoe UI"/>
              </w:rPr>
            </w:pPr>
            <w:r w:rsidRPr="008A0812">
              <w:t xml:space="preserve"> $364,000 </w:t>
            </w:r>
          </w:p>
        </w:tc>
        <w:tc>
          <w:tcPr>
            <w:tcW w:w="1188" w:type="dxa"/>
            <w:shd w:val="clear" w:color="auto" w:fill="auto"/>
            <w:tcMar>
              <w:right w:w="144" w:type="dxa"/>
            </w:tcMar>
            <w:vAlign w:val="center"/>
          </w:tcPr>
          <w:p w14:paraId="10287DF9" w14:textId="48F01812" w:rsidR="003C5F9D" w:rsidRPr="008A0812" w:rsidRDefault="003C5F9D" w:rsidP="003C5F9D">
            <w:pPr>
              <w:overflowPunct/>
              <w:autoSpaceDE/>
              <w:autoSpaceDN/>
              <w:adjustRightInd/>
              <w:jc w:val="right"/>
              <w:rPr>
                <w:rFonts w:asciiTheme="majorHAnsi" w:hAnsiTheme="majorHAnsi" w:cs="Segoe UI"/>
              </w:rPr>
            </w:pPr>
            <w:r w:rsidRPr="008A0812">
              <w:t xml:space="preserve"> $364,000 </w:t>
            </w:r>
          </w:p>
        </w:tc>
        <w:tc>
          <w:tcPr>
            <w:tcW w:w="1530" w:type="dxa"/>
            <w:shd w:val="clear" w:color="auto" w:fill="auto"/>
            <w:tcMar>
              <w:right w:w="144" w:type="dxa"/>
            </w:tcMar>
            <w:vAlign w:val="center"/>
          </w:tcPr>
          <w:p w14:paraId="7C7562AA" w14:textId="626F8B31"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$3,640,000 </w:t>
            </w:r>
          </w:p>
        </w:tc>
      </w:tr>
      <w:tr w:rsidR="003C5F9D" w:rsidRPr="008A0812" w14:paraId="5F16AD2A" w14:textId="77777777" w:rsidTr="003C5F9D">
        <w:trPr>
          <w:trHeight w:val="331"/>
          <w:jc w:val="center"/>
        </w:trPr>
        <w:tc>
          <w:tcPr>
            <w:tcW w:w="1795" w:type="dxa"/>
            <w:shd w:val="clear" w:color="auto" w:fill="auto"/>
            <w:tcMar>
              <w:left w:w="72" w:type="dxa"/>
            </w:tcMar>
            <w:vAlign w:val="center"/>
          </w:tcPr>
          <w:p w14:paraId="2D15DC95"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Grit Removal System R&amp;R</w:t>
            </w:r>
          </w:p>
        </w:tc>
        <w:tc>
          <w:tcPr>
            <w:tcW w:w="1188" w:type="dxa"/>
            <w:tcMar>
              <w:right w:w="144" w:type="dxa"/>
            </w:tcMar>
            <w:vAlign w:val="center"/>
          </w:tcPr>
          <w:p w14:paraId="3ABC085C" w14:textId="2BEF587B" w:rsidR="003C5F9D" w:rsidRPr="008A0812" w:rsidRDefault="003C5F9D" w:rsidP="003C5F9D">
            <w:pPr>
              <w:overflowPunct/>
              <w:autoSpaceDE/>
              <w:autoSpaceDN/>
              <w:adjustRightInd/>
              <w:jc w:val="right"/>
              <w:rPr>
                <w:rFonts w:asciiTheme="majorHAnsi" w:hAnsiTheme="majorHAnsi" w:cs="Segoe UI"/>
              </w:rPr>
            </w:pPr>
            <w:r w:rsidRPr="008A0812">
              <w:t xml:space="preserve"> $2,520,000 </w:t>
            </w:r>
          </w:p>
        </w:tc>
        <w:tc>
          <w:tcPr>
            <w:tcW w:w="1188" w:type="dxa"/>
            <w:tcMar>
              <w:right w:w="144" w:type="dxa"/>
            </w:tcMar>
            <w:vAlign w:val="center"/>
          </w:tcPr>
          <w:p w14:paraId="5A998F28" w14:textId="18223E21"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5015D449" w14:textId="74B62A7D"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707DDDCB" w14:textId="0B88E796"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27B29674" w14:textId="1E2927CE"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530" w:type="dxa"/>
            <w:shd w:val="clear" w:color="auto" w:fill="auto"/>
            <w:tcMar>
              <w:right w:w="144" w:type="dxa"/>
            </w:tcMar>
            <w:vAlign w:val="center"/>
          </w:tcPr>
          <w:p w14:paraId="0942B497" w14:textId="4C16512B"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$2,520,000 </w:t>
            </w:r>
          </w:p>
        </w:tc>
      </w:tr>
      <w:tr w:rsidR="003C5F9D" w:rsidRPr="008A0812" w14:paraId="1FF04A6A" w14:textId="77777777" w:rsidTr="003C5F9D">
        <w:trPr>
          <w:trHeight w:val="331"/>
          <w:jc w:val="center"/>
        </w:trPr>
        <w:tc>
          <w:tcPr>
            <w:tcW w:w="1795" w:type="dxa"/>
            <w:shd w:val="clear" w:color="auto" w:fill="auto"/>
            <w:tcMar>
              <w:left w:w="72" w:type="dxa"/>
            </w:tcMar>
            <w:vAlign w:val="center"/>
          </w:tcPr>
          <w:p w14:paraId="03FE19D3"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Nitrogen Removal Carousel R&amp;R</w:t>
            </w:r>
          </w:p>
        </w:tc>
        <w:tc>
          <w:tcPr>
            <w:tcW w:w="1188" w:type="dxa"/>
            <w:tcMar>
              <w:right w:w="144" w:type="dxa"/>
            </w:tcMar>
            <w:vAlign w:val="center"/>
          </w:tcPr>
          <w:p w14:paraId="463166E7" w14:textId="1F0625F2" w:rsidR="003C5F9D" w:rsidRPr="008A0812" w:rsidRDefault="003C5F9D" w:rsidP="003C5F9D">
            <w:pPr>
              <w:overflowPunct/>
              <w:autoSpaceDE/>
              <w:autoSpaceDN/>
              <w:adjustRightInd/>
              <w:jc w:val="right"/>
              <w:rPr>
                <w:rFonts w:asciiTheme="majorHAnsi" w:hAnsiTheme="majorHAnsi" w:cs="Segoe UI"/>
              </w:rPr>
            </w:pPr>
            <w:r w:rsidRPr="008A0812">
              <w:t xml:space="preserve"> $1,915,000 </w:t>
            </w:r>
          </w:p>
        </w:tc>
        <w:tc>
          <w:tcPr>
            <w:tcW w:w="1188" w:type="dxa"/>
            <w:tcMar>
              <w:right w:w="144" w:type="dxa"/>
            </w:tcMar>
            <w:vAlign w:val="center"/>
          </w:tcPr>
          <w:p w14:paraId="70458F0C" w14:textId="44540C3A" w:rsidR="003C5F9D" w:rsidRPr="008A0812" w:rsidRDefault="003C5F9D" w:rsidP="003C5F9D">
            <w:pPr>
              <w:overflowPunct/>
              <w:autoSpaceDE/>
              <w:autoSpaceDN/>
              <w:adjustRightInd/>
              <w:jc w:val="right"/>
              <w:rPr>
                <w:rFonts w:asciiTheme="majorHAnsi" w:hAnsiTheme="majorHAnsi" w:cs="Segoe UI"/>
              </w:rPr>
            </w:pPr>
            <w:r w:rsidRPr="008A0812">
              <w:t xml:space="preserve"> $1,915,000 </w:t>
            </w:r>
          </w:p>
        </w:tc>
        <w:tc>
          <w:tcPr>
            <w:tcW w:w="1188" w:type="dxa"/>
            <w:tcMar>
              <w:right w:w="144" w:type="dxa"/>
            </w:tcMar>
            <w:vAlign w:val="center"/>
          </w:tcPr>
          <w:p w14:paraId="378DA51D" w14:textId="6765F212"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500416C9" w14:textId="4D04970C"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47EB0146" w14:textId="44238086"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530" w:type="dxa"/>
            <w:shd w:val="clear" w:color="auto" w:fill="auto"/>
            <w:tcMar>
              <w:right w:w="144" w:type="dxa"/>
            </w:tcMar>
            <w:vAlign w:val="center"/>
          </w:tcPr>
          <w:p w14:paraId="1D9CB59F" w14:textId="74B2173E"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$3,830,000 </w:t>
            </w:r>
          </w:p>
        </w:tc>
      </w:tr>
      <w:tr w:rsidR="003C5F9D" w:rsidRPr="008A0812" w14:paraId="721D1CD0" w14:textId="77777777" w:rsidTr="003C5F9D">
        <w:trPr>
          <w:trHeight w:val="331"/>
          <w:jc w:val="center"/>
        </w:trPr>
        <w:tc>
          <w:tcPr>
            <w:tcW w:w="1795" w:type="dxa"/>
            <w:shd w:val="clear" w:color="auto" w:fill="auto"/>
            <w:tcMar>
              <w:left w:w="72" w:type="dxa"/>
            </w:tcMar>
            <w:vAlign w:val="center"/>
          </w:tcPr>
          <w:p w14:paraId="60637A14"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VFD Replacement Project</w:t>
            </w:r>
          </w:p>
        </w:tc>
        <w:tc>
          <w:tcPr>
            <w:tcW w:w="1188" w:type="dxa"/>
            <w:tcMar>
              <w:right w:w="144" w:type="dxa"/>
            </w:tcMar>
            <w:vAlign w:val="center"/>
          </w:tcPr>
          <w:p w14:paraId="634F4C99" w14:textId="0FAAEBE7"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743A62AB" w14:textId="5684BC03" w:rsidR="003C5F9D" w:rsidRPr="008A0812" w:rsidRDefault="003C5F9D" w:rsidP="003C5F9D">
            <w:pPr>
              <w:overflowPunct/>
              <w:autoSpaceDE/>
              <w:autoSpaceDN/>
              <w:adjustRightInd/>
              <w:jc w:val="right"/>
              <w:rPr>
                <w:rFonts w:asciiTheme="majorHAnsi" w:hAnsiTheme="majorHAnsi" w:cs="Segoe UI"/>
              </w:rPr>
            </w:pPr>
            <w:r w:rsidRPr="008A0812">
              <w:t xml:space="preserve"> $2,470,000 </w:t>
            </w:r>
          </w:p>
        </w:tc>
        <w:tc>
          <w:tcPr>
            <w:tcW w:w="1188" w:type="dxa"/>
            <w:tcMar>
              <w:right w:w="144" w:type="dxa"/>
            </w:tcMar>
            <w:vAlign w:val="center"/>
          </w:tcPr>
          <w:p w14:paraId="7EE83932" w14:textId="1C0854D7" w:rsidR="003C5F9D" w:rsidRPr="008A0812" w:rsidRDefault="003C5F9D" w:rsidP="003C5F9D">
            <w:pPr>
              <w:overflowPunct/>
              <w:autoSpaceDE/>
              <w:autoSpaceDN/>
              <w:adjustRightInd/>
              <w:jc w:val="right"/>
              <w:rPr>
                <w:rFonts w:asciiTheme="majorHAnsi" w:hAnsiTheme="majorHAnsi" w:cs="Segoe UI"/>
              </w:rPr>
            </w:pPr>
            <w:r w:rsidRPr="008A0812">
              <w:t xml:space="preserve"> $2,470,000 </w:t>
            </w:r>
          </w:p>
        </w:tc>
        <w:tc>
          <w:tcPr>
            <w:tcW w:w="1188" w:type="dxa"/>
            <w:shd w:val="clear" w:color="auto" w:fill="auto"/>
            <w:tcMar>
              <w:right w:w="144" w:type="dxa"/>
            </w:tcMar>
            <w:vAlign w:val="center"/>
          </w:tcPr>
          <w:p w14:paraId="2DE735C4" w14:textId="79D8F951"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1A066AC2" w14:textId="13E1824D"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530" w:type="dxa"/>
            <w:shd w:val="clear" w:color="auto" w:fill="auto"/>
            <w:tcMar>
              <w:right w:w="144" w:type="dxa"/>
            </w:tcMar>
            <w:vAlign w:val="center"/>
          </w:tcPr>
          <w:p w14:paraId="033A640E" w14:textId="048E2803"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$4,940,000 </w:t>
            </w:r>
          </w:p>
        </w:tc>
      </w:tr>
      <w:tr w:rsidR="003C5F9D" w:rsidRPr="008A0812" w14:paraId="5353FBB1" w14:textId="77777777" w:rsidTr="003C5F9D">
        <w:trPr>
          <w:trHeight w:val="331"/>
          <w:jc w:val="center"/>
        </w:trPr>
        <w:tc>
          <w:tcPr>
            <w:tcW w:w="1795" w:type="dxa"/>
            <w:shd w:val="clear" w:color="auto" w:fill="auto"/>
            <w:tcMar>
              <w:left w:w="72" w:type="dxa"/>
            </w:tcMar>
            <w:vAlign w:val="center"/>
          </w:tcPr>
          <w:p w14:paraId="61E74C74"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Units 1 and 2 R&amp;R</w:t>
            </w:r>
          </w:p>
        </w:tc>
        <w:tc>
          <w:tcPr>
            <w:tcW w:w="1188" w:type="dxa"/>
            <w:tcMar>
              <w:right w:w="144" w:type="dxa"/>
            </w:tcMar>
            <w:vAlign w:val="center"/>
          </w:tcPr>
          <w:p w14:paraId="016CD67C" w14:textId="4D5090C6"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476D0C71" w14:textId="68F70C35" w:rsidR="003C5F9D" w:rsidRPr="008A0812" w:rsidRDefault="003C5F9D" w:rsidP="003C5F9D">
            <w:pPr>
              <w:overflowPunct/>
              <w:autoSpaceDE/>
              <w:autoSpaceDN/>
              <w:adjustRightInd/>
              <w:jc w:val="right"/>
              <w:rPr>
                <w:rFonts w:asciiTheme="majorHAnsi" w:hAnsiTheme="majorHAnsi" w:cs="Segoe UI"/>
              </w:rPr>
            </w:pPr>
            <w:r w:rsidRPr="008A0812">
              <w:t xml:space="preserve"> $877,500 </w:t>
            </w:r>
          </w:p>
        </w:tc>
        <w:tc>
          <w:tcPr>
            <w:tcW w:w="1188" w:type="dxa"/>
            <w:tcMar>
              <w:right w:w="144" w:type="dxa"/>
            </w:tcMar>
            <w:vAlign w:val="center"/>
          </w:tcPr>
          <w:p w14:paraId="3D832A23" w14:textId="4F51734E" w:rsidR="003C5F9D" w:rsidRPr="008A0812" w:rsidRDefault="003C5F9D" w:rsidP="003C5F9D">
            <w:pPr>
              <w:overflowPunct/>
              <w:autoSpaceDE/>
              <w:autoSpaceDN/>
              <w:adjustRightInd/>
              <w:jc w:val="right"/>
              <w:rPr>
                <w:rFonts w:asciiTheme="majorHAnsi" w:hAnsiTheme="majorHAnsi" w:cs="Segoe UI"/>
              </w:rPr>
            </w:pPr>
            <w:r w:rsidRPr="008A0812">
              <w:t xml:space="preserve"> $877,500 </w:t>
            </w:r>
          </w:p>
        </w:tc>
        <w:tc>
          <w:tcPr>
            <w:tcW w:w="1188" w:type="dxa"/>
            <w:shd w:val="clear" w:color="auto" w:fill="auto"/>
            <w:tcMar>
              <w:right w:w="144" w:type="dxa"/>
            </w:tcMar>
            <w:vAlign w:val="center"/>
          </w:tcPr>
          <w:p w14:paraId="6BF452E9" w14:textId="02C154DA" w:rsidR="003C5F9D" w:rsidRPr="008A0812" w:rsidRDefault="003C5F9D" w:rsidP="003C5F9D">
            <w:pPr>
              <w:overflowPunct/>
              <w:autoSpaceDE/>
              <w:autoSpaceDN/>
              <w:adjustRightInd/>
              <w:jc w:val="right"/>
              <w:rPr>
                <w:rFonts w:asciiTheme="majorHAnsi" w:hAnsiTheme="majorHAnsi" w:cs="Segoe UI"/>
              </w:rPr>
            </w:pPr>
            <w:r w:rsidRPr="008A0812">
              <w:t xml:space="preserve"> $877,500 </w:t>
            </w:r>
          </w:p>
        </w:tc>
        <w:tc>
          <w:tcPr>
            <w:tcW w:w="1188" w:type="dxa"/>
            <w:shd w:val="clear" w:color="auto" w:fill="auto"/>
            <w:tcMar>
              <w:right w:w="144" w:type="dxa"/>
            </w:tcMar>
            <w:vAlign w:val="center"/>
          </w:tcPr>
          <w:p w14:paraId="171D9874" w14:textId="4DE0D6AF" w:rsidR="003C5F9D" w:rsidRPr="008A0812" w:rsidRDefault="003C5F9D" w:rsidP="003C5F9D">
            <w:pPr>
              <w:overflowPunct/>
              <w:autoSpaceDE/>
              <w:autoSpaceDN/>
              <w:adjustRightInd/>
              <w:jc w:val="right"/>
              <w:rPr>
                <w:rFonts w:asciiTheme="majorHAnsi" w:hAnsiTheme="majorHAnsi" w:cs="Segoe UI"/>
              </w:rPr>
            </w:pPr>
            <w:r w:rsidRPr="008A0812">
              <w:t xml:space="preserve"> $877,500 </w:t>
            </w:r>
          </w:p>
        </w:tc>
        <w:tc>
          <w:tcPr>
            <w:tcW w:w="1530" w:type="dxa"/>
            <w:shd w:val="clear" w:color="auto" w:fill="auto"/>
            <w:tcMar>
              <w:right w:w="144" w:type="dxa"/>
            </w:tcMar>
            <w:vAlign w:val="center"/>
          </w:tcPr>
          <w:p w14:paraId="656E4B84" w14:textId="411D4913"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$3,510,000 </w:t>
            </w:r>
          </w:p>
        </w:tc>
      </w:tr>
      <w:tr w:rsidR="003C5F9D" w:rsidRPr="008A0812" w14:paraId="75D6BBA1" w14:textId="77777777" w:rsidTr="003C5F9D">
        <w:trPr>
          <w:trHeight w:val="331"/>
          <w:jc w:val="center"/>
        </w:trPr>
        <w:tc>
          <w:tcPr>
            <w:tcW w:w="1795" w:type="dxa"/>
            <w:shd w:val="clear" w:color="auto" w:fill="auto"/>
            <w:tcMar>
              <w:left w:w="72" w:type="dxa"/>
            </w:tcMar>
            <w:vAlign w:val="center"/>
          </w:tcPr>
          <w:p w14:paraId="57EB8EFD" w14:textId="77777777" w:rsidR="003C5F9D" w:rsidRPr="008A0812" w:rsidRDefault="003C5F9D" w:rsidP="003C5F9D">
            <w:pPr>
              <w:overflowPunct/>
              <w:autoSpaceDE/>
              <w:autoSpaceDN/>
              <w:adjustRightInd/>
              <w:rPr>
                <w:rFonts w:asciiTheme="majorHAnsi" w:hAnsiTheme="majorHAnsi" w:cs="Segoe UI"/>
              </w:rPr>
            </w:pPr>
            <w:r w:rsidRPr="008A0812">
              <w:rPr>
                <w:rFonts w:asciiTheme="majorHAnsi" w:hAnsiTheme="majorHAnsi" w:cs="Segoe UI"/>
              </w:rPr>
              <w:t>Unit 3 R&amp;R</w:t>
            </w:r>
          </w:p>
        </w:tc>
        <w:tc>
          <w:tcPr>
            <w:tcW w:w="1188" w:type="dxa"/>
            <w:tcMar>
              <w:right w:w="144" w:type="dxa"/>
            </w:tcMar>
            <w:vAlign w:val="center"/>
          </w:tcPr>
          <w:p w14:paraId="02D96A03" w14:textId="4598C6DA"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69C4B05B" w14:textId="11116A6C"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tcMar>
              <w:right w:w="144" w:type="dxa"/>
            </w:tcMar>
            <w:vAlign w:val="center"/>
          </w:tcPr>
          <w:p w14:paraId="39AE86E7" w14:textId="642C60D0"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777A0F5A" w14:textId="158AF284" w:rsidR="003C5F9D" w:rsidRPr="008A0812" w:rsidRDefault="003C5F9D" w:rsidP="003C5F9D">
            <w:pPr>
              <w:overflowPunct/>
              <w:autoSpaceDE/>
              <w:autoSpaceDN/>
              <w:adjustRightInd/>
              <w:jc w:val="right"/>
              <w:rPr>
                <w:rFonts w:asciiTheme="majorHAnsi" w:hAnsiTheme="majorHAnsi" w:cs="Segoe UI"/>
              </w:rPr>
            </w:pPr>
            <w:r w:rsidRPr="008A0812">
              <w:t xml:space="preserve">  </w:t>
            </w:r>
          </w:p>
        </w:tc>
        <w:tc>
          <w:tcPr>
            <w:tcW w:w="1188" w:type="dxa"/>
            <w:shd w:val="clear" w:color="auto" w:fill="auto"/>
            <w:tcMar>
              <w:right w:w="144" w:type="dxa"/>
            </w:tcMar>
            <w:vAlign w:val="center"/>
          </w:tcPr>
          <w:p w14:paraId="20ABDBD2" w14:textId="583B189C" w:rsidR="003C5F9D" w:rsidRPr="008A0812" w:rsidRDefault="003C5F9D" w:rsidP="003C5F9D">
            <w:pPr>
              <w:overflowPunct/>
              <w:autoSpaceDE/>
              <w:autoSpaceDN/>
              <w:adjustRightInd/>
              <w:jc w:val="right"/>
              <w:rPr>
                <w:rFonts w:asciiTheme="majorHAnsi" w:hAnsiTheme="majorHAnsi" w:cs="Segoe UI"/>
              </w:rPr>
            </w:pPr>
            <w:r w:rsidRPr="008A0812">
              <w:t xml:space="preserve"> $1,720,000 </w:t>
            </w:r>
          </w:p>
        </w:tc>
        <w:tc>
          <w:tcPr>
            <w:tcW w:w="1530" w:type="dxa"/>
            <w:shd w:val="clear" w:color="auto" w:fill="auto"/>
            <w:tcMar>
              <w:right w:w="144" w:type="dxa"/>
            </w:tcMar>
            <w:vAlign w:val="center"/>
          </w:tcPr>
          <w:p w14:paraId="7C1CBEF5" w14:textId="77B9A1E3" w:rsidR="003C5F9D" w:rsidRPr="008A0812" w:rsidRDefault="003C5F9D" w:rsidP="003C5F9D">
            <w:pPr>
              <w:overflowPunct/>
              <w:autoSpaceDE/>
              <w:autoSpaceDN/>
              <w:adjustRightInd/>
              <w:jc w:val="right"/>
              <w:rPr>
                <w:rFonts w:asciiTheme="majorHAnsi" w:hAnsiTheme="majorHAnsi" w:cs="Segoe UI"/>
                <w:b/>
                <w:bCs/>
              </w:rPr>
            </w:pPr>
            <w:r w:rsidRPr="008A0812">
              <w:rPr>
                <w:b/>
                <w:bCs/>
              </w:rPr>
              <w:t xml:space="preserve"> $1,720,000 </w:t>
            </w:r>
          </w:p>
        </w:tc>
      </w:tr>
      <w:tr w:rsidR="00CC61D6" w:rsidRPr="008A0812" w14:paraId="010B0B36" w14:textId="77777777" w:rsidTr="00CC61D6">
        <w:trPr>
          <w:trHeight w:val="331"/>
          <w:jc w:val="center"/>
        </w:trPr>
        <w:tc>
          <w:tcPr>
            <w:tcW w:w="1795" w:type="dxa"/>
            <w:shd w:val="clear" w:color="auto" w:fill="BFBFBF" w:themeFill="background1" w:themeFillShade="BF"/>
            <w:tcMar>
              <w:left w:w="72" w:type="dxa"/>
            </w:tcMar>
            <w:vAlign w:val="center"/>
          </w:tcPr>
          <w:p w14:paraId="49E90ECB" w14:textId="77777777" w:rsidR="00CC61D6" w:rsidRPr="008A0812" w:rsidRDefault="00CC61D6" w:rsidP="00CC61D6">
            <w:pPr>
              <w:overflowPunct/>
              <w:autoSpaceDE/>
              <w:autoSpaceDN/>
              <w:adjustRightInd/>
              <w:rPr>
                <w:rFonts w:asciiTheme="majorHAnsi" w:hAnsiTheme="majorHAnsi" w:cs="Segoe UI"/>
                <w:b/>
                <w:bCs/>
              </w:rPr>
            </w:pPr>
            <w:r w:rsidRPr="008A0812">
              <w:rPr>
                <w:rFonts w:asciiTheme="majorHAnsi" w:hAnsiTheme="majorHAnsi" w:cs="Segoe UI"/>
                <w:b/>
                <w:bCs/>
              </w:rPr>
              <w:t>Total</w:t>
            </w:r>
          </w:p>
        </w:tc>
        <w:tc>
          <w:tcPr>
            <w:tcW w:w="1188" w:type="dxa"/>
            <w:shd w:val="clear" w:color="auto" w:fill="BFBFBF" w:themeFill="background1" w:themeFillShade="BF"/>
            <w:tcMar>
              <w:right w:w="144" w:type="dxa"/>
            </w:tcMar>
            <w:vAlign w:val="center"/>
          </w:tcPr>
          <w:p w14:paraId="0CE94C9A" w14:textId="65EACB24" w:rsidR="00CC61D6" w:rsidRPr="00CC61D6" w:rsidRDefault="00CC61D6" w:rsidP="00CC61D6">
            <w:pPr>
              <w:overflowPunct/>
              <w:autoSpaceDE/>
              <w:autoSpaceDN/>
              <w:adjustRightInd/>
              <w:jc w:val="right"/>
              <w:rPr>
                <w:rFonts w:asciiTheme="majorHAnsi" w:hAnsiTheme="majorHAnsi" w:cs="Segoe UI"/>
                <w:b/>
                <w:bCs/>
              </w:rPr>
            </w:pPr>
            <w:r w:rsidRPr="00CC61D6">
              <w:rPr>
                <w:b/>
                <w:bCs/>
              </w:rPr>
              <w:t>$7,399,000</w:t>
            </w:r>
          </w:p>
        </w:tc>
        <w:tc>
          <w:tcPr>
            <w:tcW w:w="1188" w:type="dxa"/>
            <w:shd w:val="clear" w:color="auto" w:fill="BFBFBF" w:themeFill="background1" w:themeFillShade="BF"/>
            <w:tcMar>
              <w:right w:w="144" w:type="dxa"/>
            </w:tcMar>
            <w:vAlign w:val="center"/>
          </w:tcPr>
          <w:p w14:paraId="6D2C7507" w14:textId="7D58D732" w:rsidR="00CC61D6" w:rsidRPr="00CC61D6" w:rsidRDefault="00CC61D6" w:rsidP="00CC61D6">
            <w:pPr>
              <w:overflowPunct/>
              <w:autoSpaceDE/>
              <w:autoSpaceDN/>
              <w:adjustRightInd/>
              <w:jc w:val="right"/>
              <w:rPr>
                <w:rFonts w:asciiTheme="majorHAnsi" w:hAnsiTheme="majorHAnsi" w:cs="Segoe UI"/>
                <w:b/>
                <w:bCs/>
              </w:rPr>
            </w:pPr>
            <w:r w:rsidRPr="00CC61D6">
              <w:rPr>
                <w:b/>
                <w:bCs/>
              </w:rPr>
              <w:t>$18,861,500</w:t>
            </w:r>
          </w:p>
        </w:tc>
        <w:tc>
          <w:tcPr>
            <w:tcW w:w="1188" w:type="dxa"/>
            <w:shd w:val="clear" w:color="auto" w:fill="BFBFBF" w:themeFill="background1" w:themeFillShade="BF"/>
            <w:tcMar>
              <w:right w:w="144" w:type="dxa"/>
            </w:tcMar>
            <w:vAlign w:val="center"/>
          </w:tcPr>
          <w:p w14:paraId="5D927983" w14:textId="67633564" w:rsidR="00CC61D6" w:rsidRPr="00CC61D6" w:rsidRDefault="00CC61D6" w:rsidP="00CC61D6">
            <w:pPr>
              <w:overflowPunct/>
              <w:autoSpaceDE/>
              <w:autoSpaceDN/>
              <w:adjustRightInd/>
              <w:jc w:val="right"/>
              <w:rPr>
                <w:rFonts w:asciiTheme="majorHAnsi" w:hAnsiTheme="majorHAnsi" w:cs="Segoe UI"/>
                <w:b/>
                <w:bCs/>
              </w:rPr>
            </w:pPr>
            <w:r w:rsidRPr="00CC61D6">
              <w:rPr>
                <w:b/>
                <w:bCs/>
              </w:rPr>
              <w:t>$17,635,500</w:t>
            </w:r>
          </w:p>
        </w:tc>
        <w:tc>
          <w:tcPr>
            <w:tcW w:w="1188" w:type="dxa"/>
            <w:shd w:val="clear" w:color="auto" w:fill="BFBFBF" w:themeFill="background1" w:themeFillShade="BF"/>
            <w:tcMar>
              <w:right w:w="144" w:type="dxa"/>
            </w:tcMar>
            <w:vAlign w:val="center"/>
          </w:tcPr>
          <w:p w14:paraId="574C8D0D" w14:textId="11604017" w:rsidR="00CC61D6" w:rsidRPr="00CC61D6" w:rsidRDefault="00CC61D6" w:rsidP="00CC61D6">
            <w:pPr>
              <w:overflowPunct/>
              <w:autoSpaceDE/>
              <w:autoSpaceDN/>
              <w:adjustRightInd/>
              <w:jc w:val="right"/>
              <w:rPr>
                <w:rFonts w:asciiTheme="majorHAnsi" w:hAnsiTheme="majorHAnsi" w:cs="Segoe UI"/>
                <w:b/>
                <w:bCs/>
              </w:rPr>
            </w:pPr>
            <w:r w:rsidRPr="00CC61D6">
              <w:rPr>
                <w:b/>
                <w:bCs/>
              </w:rPr>
              <w:t>$7,027,000</w:t>
            </w:r>
          </w:p>
        </w:tc>
        <w:tc>
          <w:tcPr>
            <w:tcW w:w="1188" w:type="dxa"/>
            <w:shd w:val="clear" w:color="auto" w:fill="BFBFBF" w:themeFill="background1" w:themeFillShade="BF"/>
            <w:tcMar>
              <w:right w:w="144" w:type="dxa"/>
            </w:tcMar>
            <w:vAlign w:val="center"/>
          </w:tcPr>
          <w:p w14:paraId="2ECC0C3B" w14:textId="4B2EF8F8" w:rsidR="00CC61D6" w:rsidRPr="00CC61D6" w:rsidRDefault="00CC61D6" w:rsidP="00CC61D6">
            <w:pPr>
              <w:overflowPunct/>
              <w:autoSpaceDE/>
              <w:autoSpaceDN/>
              <w:adjustRightInd/>
              <w:jc w:val="right"/>
              <w:rPr>
                <w:rFonts w:asciiTheme="majorHAnsi" w:hAnsiTheme="majorHAnsi" w:cs="Segoe UI"/>
                <w:b/>
                <w:bCs/>
              </w:rPr>
            </w:pPr>
            <w:r w:rsidRPr="00CC61D6">
              <w:rPr>
                <w:b/>
                <w:bCs/>
              </w:rPr>
              <w:t>$5,787,000</w:t>
            </w:r>
          </w:p>
        </w:tc>
        <w:tc>
          <w:tcPr>
            <w:tcW w:w="1530" w:type="dxa"/>
            <w:shd w:val="clear" w:color="auto" w:fill="BFBFBF" w:themeFill="background1" w:themeFillShade="BF"/>
            <w:tcMar>
              <w:right w:w="144" w:type="dxa"/>
            </w:tcMar>
            <w:vAlign w:val="center"/>
          </w:tcPr>
          <w:p w14:paraId="64FE0B79" w14:textId="32A6BCC7" w:rsidR="00CC61D6" w:rsidRPr="00CC61D6" w:rsidRDefault="00CC61D6" w:rsidP="00CC61D6">
            <w:pPr>
              <w:overflowPunct/>
              <w:autoSpaceDE/>
              <w:autoSpaceDN/>
              <w:adjustRightInd/>
              <w:jc w:val="right"/>
              <w:rPr>
                <w:rFonts w:asciiTheme="majorHAnsi" w:hAnsiTheme="majorHAnsi" w:cs="Segoe UI"/>
                <w:b/>
                <w:bCs/>
              </w:rPr>
            </w:pPr>
            <w:r w:rsidRPr="00CC61D6">
              <w:rPr>
                <w:rFonts w:asciiTheme="majorHAnsi" w:hAnsiTheme="majorHAnsi" w:cs="Segoe UI"/>
                <w:b/>
                <w:bCs/>
              </w:rPr>
              <w:t>56,710,000</w:t>
            </w:r>
          </w:p>
        </w:tc>
      </w:tr>
    </w:tbl>
    <w:p w14:paraId="330CA91A" w14:textId="1EBC0539" w:rsidR="004776AB" w:rsidRPr="008A0812" w:rsidRDefault="00AE02AD" w:rsidP="00AE02AD">
      <w:pPr>
        <w:pStyle w:val="BodyText"/>
      </w:pPr>
      <w:r w:rsidRPr="008A0812">
        <w:fldChar w:fldCharType="begin"/>
      </w:r>
      <w:r w:rsidRPr="008A0812">
        <w:instrText xml:space="preserve"> REF _Ref36403522 \h </w:instrText>
      </w:r>
      <w:r w:rsidR="008A0812">
        <w:instrText xml:space="preserve"> \* MERGEFORMAT </w:instrText>
      </w:r>
      <w:r w:rsidRPr="008A0812">
        <w:fldChar w:fldCharType="separate"/>
      </w:r>
      <w:r w:rsidR="00AA68F8" w:rsidRPr="008A0812">
        <w:t xml:space="preserve">Figure </w:t>
      </w:r>
      <w:r w:rsidR="00AA68F8">
        <w:rPr>
          <w:noProof/>
        </w:rPr>
        <w:t>11</w:t>
      </w:r>
      <w:r w:rsidR="00AA68F8">
        <w:rPr>
          <w:noProof/>
        </w:rPr>
        <w:noBreakHyphen/>
        <w:t>4</w:t>
      </w:r>
      <w:r w:rsidRPr="008A0812">
        <w:fldChar w:fldCharType="end"/>
      </w:r>
      <w:r w:rsidR="004776AB" w:rsidRPr="008A0812">
        <w:t xml:space="preserve"> provides a graphical visualization of the 5-year annual and cumulative costs as recommended in this Master Plan.</w:t>
      </w:r>
    </w:p>
    <w:p w14:paraId="4D585A36" w14:textId="3066C6CF" w:rsidR="00AE02AD" w:rsidRPr="008A0812" w:rsidRDefault="00AE02AD" w:rsidP="00AF40CB">
      <w:pPr>
        <w:pStyle w:val="FigureHeading"/>
      </w:pPr>
      <w:bookmarkStart w:id="728" w:name="_Ref36403522"/>
      <w:bookmarkStart w:id="729" w:name="_Toc36414126"/>
      <w:bookmarkStart w:id="730" w:name="_Toc41684719"/>
      <w:bookmarkStart w:id="731" w:name="_Hlk41684620"/>
      <w:r w:rsidRPr="008A0812">
        <w:t xml:space="preserve">Figure </w:t>
      </w:r>
      <w:fldSimple w:instr=" STYLEREF 1 \s ">
        <w:r w:rsidR="00AA68F8">
          <w:rPr>
            <w:noProof/>
          </w:rPr>
          <w:t>11</w:t>
        </w:r>
      </w:fldSimple>
      <w:r w:rsidR="00B233D1">
        <w:noBreakHyphen/>
      </w:r>
      <w:fldSimple w:instr=" SEQ Figure \* ARABIC \s 1 ">
        <w:r w:rsidR="00AA68F8">
          <w:rPr>
            <w:noProof/>
          </w:rPr>
          <w:t>4</w:t>
        </w:r>
      </w:fldSimple>
      <w:bookmarkEnd w:id="728"/>
      <w:r w:rsidRPr="008A0812">
        <w:t>: Total Near-Term Recommended Project and R&amp;R Costs – 5 Year</w:t>
      </w:r>
      <w:bookmarkEnd w:id="729"/>
      <w:bookmarkEnd w:id="730"/>
    </w:p>
    <w:bookmarkEnd w:id="731"/>
    <w:p w14:paraId="179D153B" w14:textId="2250F560" w:rsidR="00ED28BC" w:rsidRPr="008A0812" w:rsidRDefault="00ED28BC" w:rsidP="00ED28BC">
      <w:pPr>
        <w:pStyle w:val="BodyText"/>
      </w:pPr>
      <w:r>
        <w:rPr>
          <w:noProof/>
        </w:rPr>
        <w:drawing>
          <wp:inline distT="0" distB="0" distL="0" distR="0" wp14:anchorId="49A21A1F" wp14:editId="5CD60C2A">
            <wp:extent cx="5915025" cy="4459326"/>
            <wp:effectExtent l="0" t="0" r="0" b="0"/>
            <wp:docPr id="2060776822" name="Picture 206077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1381" cy="4471657"/>
                    </a:xfrm>
                    <a:prstGeom prst="rect">
                      <a:avLst/>
                    </a:prstGeom>
                    <a:noFill/>
                  </pic:spPr>
                </pic:pic>
              </a:graphicData>
            </a:graphic>
          </wp:inline>
        </w:drawing>
      </w:r>
    </w:p>
    <w:p w14:paraId="72049D33" w14:textId="09596879" w:rsidR="004776AB" w:rsidRPr="008A0812" w:rsidRDefault="004776AB" w:rsidP="00ED28BC">
      <w:pPr>
        <w:pStyle w:val="Heading3"/>
        <w:numPr>
          <w:ilvl w:val="2"/>
          <w:numId w:val="1"/>
        </w:numPr>
        <w:tabs>
          <w:tab w:val="clear" w:pos="720"/>
          <w:tab w:val="num" w:pos="360"/>
          <w:tab w:val="num" w:pos="1260"/>
        </w:tabs>
        <w:overflowPunct/>
        <w:autoSpaceDE/>
        <w:autoSpaceDN/>
        <w:adjustRightInd/>
        <w:ind w:left="986" w:hanging="446"/>
        <w:textAlignment w:val="auto"/>
      </w:pPr>
      <w:bookmarkStart w:id="732" w:name="_Toc23931773"/>
      <w:bookmarkStart w:id="733" w:name="_Toc41680952"/>
      <w:bookmarkEnd w:id="725"/>
      <w:r w:rsidRPr="008A0812">
        <w:t>Recommended Medium-Term Projects (6 to 10 Years)</w:t>
      </w:r>
      <w:bookmarkEnd w:id="732"/>
      <w:bookmarkEnd w:id="733"/>
    </w:p>
    <w:p w14:paraId="12A9BF3C" w14:textId="10B6CD70" w:rsidR="004776AB" w:rsidRPr="008A0812" w:rsidRDefault="004776AB" w:rsidP="00ED28BC">
      <w:pPr>
        <w:pStyle w:val="BodyText"/>
        <w:keepNext/>
      </w:pPr>
      <w:r w:rsidRPr="008A0812">
        <w:t xml:space="preserve">This section describes projects that are recommended within the 6- to 10-year period (FY 2025/2026 through FY 2029/2030). </w:t>
      </w:r>
      <w:r w:rsidR="00AE02AD" w:rsidRPr="008A0812">
        <w:fldChar w:fldCharType="begin"/>
      </w:r>
      <w:r w:rsidR="00AE02AD" w:rsidRPr="008A0812">
        <w:instrText xml:space="preserve"> REF _Ref36403126 \h </w:instrText>
      </w:r>
      <w:r w:rsidR="008A0812">
        <w:instrText xml:space="preserve"> \* MERGEFORMAT </w:instrText>
      </w:r>
      <w:r w:rsidR="00AE02AD" w:rsidRPr="008A0812">
        <w:fldChar w:fldCharType="separate"/>
      </w:r>
      <w:r w:rsidR="00AA68F8" w:rsidRPr="008A0812">
        <w:t xml:space="preserve">Table </w:t>
      </w:r>
      <w:r w:rsidR="00AA68F8">
        <w:rPr>
          <w:noProof/>
        </w:rPr>
        <w:t>11</w:t>
      </w:r>
      <w:r w:rsidR="00AA68F8" w:rsidRPr="008A0812">
        <w:rPr>
          <w:noProof/>
        </w:rPr>
        <w:noBreakHyphen/>
      </w:r>
      <w:r w:rsidR="00AA68F8">
        <w:rPr>
          <w:noProof/>
        </w:rPr>
        <w:t>3</w:t>
      </w:r>
      <w:r w:rsidR="00AE02AD" w:rsidRPr="008A0812">
        <w:fldChar w:fldCharType="end"/>
      </w:r>
      <w:r w:rsidRPr="008A0812">
        <w:t xml:space="preserve"> provides project descriptions, along with construction and implementation costs for the projects over the 6- to 10-year time period. R&amp;R projects and costs were determined by compiling assets from the asset registry with less than 10 years of remaining useful life remaining that were not addressed in the short-term projects.</w:t>
      </w:r>
    </w:p>
    <w:p w14:paraId="7195B0DE" w14:textId="285C8E3F" w:rsidR="00AE02AD" w:rsidRPr="008A0812" w:rsidRDefault="00AE02AD" w:rsidP="00AE02AD">
      <w:pPr>
        <w:pStyle w:val="TableHeading"/>
      </w:pPr>
      <w:bookmarkStart w:id="734" w:name="_Ref36403126"/>
      <w:bookmarkStart w:id="735" w:name="_Toc36414127"/>
      <w:bookmarkStart w:id="736" w:name="_Toc41684811"/>
      <w:r w:rsidRPr="008A0812">
        <w:t xml:space="preserve">Table </w:t>
      </w:r>
      <w:r>
        <w:fldChar w:fldCharType="begin"/>
      </w:r>
      <w:r>
        <w:instrText>STYLEREF 1 \s</w:instrText>
      </w:r>
      <w:r>
        <w:fldChar w:fldCharType="separate"/>
      </w:r>
      <w:r w:rsidR="00AA68F8">
        <w:rPr>
          <w:noProof/>
        </w:rPr>
        <w:t>11</w:t>
      </w:r>
      <w:r>
        <w:fldChar w:fldCharType="end"/>
      </w:r>
      <w:r w:rsidR="00524B10" w:rsidRPr="008A0812">
        <w:noBreakHyphen/>
      </w:r>
      <w:r>
        <w:fldChar w:fldCharType="begin"/>
      </w:r>
      <w:r>
        <w:instrText>SEQ Table \* ARABIC \s 1</w:instrText>
      </w:r>
      <w:r>
        <w:fldChar w:fldCharType="separate"/>
      </w:r>
      <w:r w:rsidR="00AA68F8">
        <w:rPr>
          <w:noProof/>
        </w:rPr>
        <w:t>3</w:t>
      </w:r>
      <w:r>
        <w:fldChar w:fldCharType="end"/>
      </w:r>
      <w:bookmarkEnd w:id="734"/>
      <w:r w:rsidRPr="008A0812">
        <w:t>: Recommended Medium-Term Capital Improvement Projects</w:t>
      </w:r>
      <w:bookmarkEnd w:id="735"/>
      <w:bookmarkEnd w:id="736"/>
    </w:p>
    <w:tbl>
      <w:tblPr>
        <w:tblW w:w="933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26"/>
        <w:gridCol w:w="3967"/>
        <w:gridCol w:w="1442"/>
        <w:gridCol w:w="1496"/>
      </w:tblGrid>
      <w:tr w:rsidR="004776AB" w:rsidRPr="008A0812" w14:paraId="6AB1F5A4" w14:textId="77777777" w:rsidTr="004776AB">
        <w:trPr>
          <w:cantSplit/>
          <w:trHeight w:val="331"/>
          <w:tblHeader/>
          <w:jc w:val="center"/>
        </w:trPr>
        <w:tc>
          <w:tcPr>
            <w:tcW w:w="2426"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bottom"/>
            <w:hideMark/>
          </w:tcPr>
          <w:p w14:paraId="151A1540" w14:textId="77777777" w:rsidR="004776AB" w:rsidRPr="008A0812" w:rsidRDefault="004776AB" w:rsidP="004776AB">
            <w:pPr>
              <w:keepNext/>
              <w:overflowPunct/>
              <w:autoSpaceDE/>
              <w:autoSpaceDN/>
              <w:adjustRightInd/>
              <w:rPr>
                <w:rFonts w:asciiTheme="majorHAnsi" w:hAnsiTheme="majorHAnsi" w:cs="Segoe UI"/>
                <w:b/>
                <w:bCs/>
              </w:rPr>
            </w:pPr>
            <w:r w:rsidRPr="008A0812">
              <w:rPr>
                <w:rFonts w:asciiTheme="majorHAnsi" w:hAnsiTheme="majorHAnsi" w:cs="Segoe UI"/>
                <w:b/>
                <w:bCs/>
              </w:rPr>
              <w:t>CIP Project</w:t>
            </w:r>
          </w:p>
        </w:tc>
        <w:tc>
          <w:tcPr>
            <w:tcW w:w="3967" w:type="dxa"/>
            <w:tcBorders>
              <w:top w:val="single" w:sz="6" w:space="0" w:color="auto"/>
              <w:left w:val="nil"/>
              <w:bottom w:val="single" w:sz="6" w:space="0" w:color="auto"/>
              <w:right w:val="single" w:sz="6" w:space="0" w:color="auto"/>
            </w:tcBorders>
            <w:shd w:val="clear" w:color="auto" w:fill="BFBFBF"/>
            <w:vAlign w:val="bottom"/>
            <w:hideMark/>
          </w:tcPr>
          <w:p w14:paraId="24ADF16C" w14:textId="77777777" w:rsidR="004776AB" w:rsidRPr="008A0812" w:rsidRDefault="004776AB" w:rsidP="00DB4BB5">
            <w:pPr>
              <w:keepNext/>
              <w:overflowPunct/>
              <w:autoSpaceDE/>
              <w:autoSpaceDN/>
              <w:adjustRightInd/>
              <w:spacing w:before="60" w:after="60"/>
              <w:ind w:left="90"/>
              <w:rPr>
                <w:rFonts w:asciiTheme="majorHAnsi" w:hAnsiTheme="majorHAnsi" w:cs="Segoe UI"/>
                <w:b/>
                <w:bCs/>
              </w:rPr>
            </w:pPr>
            <w:r w:rsidRPr="008A0812">
              <w:rPr>
                <w:rFonts w:asciiTheme="majorHAnsi" w:hAnsiTheme="majorHAnsi" w:cs="Segoe UI"/>
                <w:b/>
                <w:bCs/>
              </w:rPr>
              <w:t>Project Description</w:t>
            </w:r>
          </w:p>
        </w:tc>
        <w:tc>
          <w:tcPr>
            <w:tcW w:w="1442" w:type="dxa"/>
            <w:tcBorders>
              <w:top w:val="single" w:sz="6" w:space="0" w:color="auto"/>
              <w:left w:val="nil"/>
              <w:bottom w:val="single" w:sz="6" w:space="0" w:color="auto"/>
              <w:right w:val="single" w:sz="6" w:space="0" w:color="auto"/>
            </w:tcBorders>
            <w:shd w:val="clear" w:color="auto" w:fill="BFBFBF"/>
            <w:vAlign w:val="bottom"/>
          </w:tcPr>
          <w:p w14:paraId="4013866A" w14:textId="77777777" w:rsidR="004776AB" w:rsidRPr="008A0812" w:rsidRDefault="004776AB" w:rsidP="00DB4BB5">
            <w:pPr>
              <w:keepNext/>
              <w:overflowPunct/>
              <w:autoSpaceDE/>
              <w:autoSpaceDN/>
              <w:adjustRightInd/>
              <w:spacing w:before="60" w:after="60"/>
              <w:jc w:val="center"/>
              <w:rPr>
                <w:rFonts w:asciiTheme="majorHAnsi" w:hAnsiTheme="majorHAnsi" w:cs="Segoe UI"/>
                <w:b/>
                <w:bCs/>
              </w:rPr>
            </w:pPr>
            <w:r w:rsidRPr="008A0812">
              <w:rPr>
                <w:rFonts w:asciiTheme="majorHAnsi" w:hAnsiTheme="majorHAnsi" w:cs="Segoe UI"/>
                <w:b/>
                <w:bCs/>
              </w:rPr>
              <w:t>Construction Cost</w:t>
            </w:r>
          </w:p>
        </w:tc>
        <w:tc>
          <w:tcPr>
            <w:tcW w:w="1496" w:type="dxa"/>
            <w:tcBorders>
              <w:top w:val="single" w:sz="6" w:space="0" w:color="auto"/>
              <w:left w:val="nil"/>
              <w:bottom w:val="single" w:sz="6" w:space="0" w:color="auto"/>
              <w:right w:val="single" w:sz="6" w:space="0" w:color="auto"/>
            </w:tcBorders>
            <w:shd w:val="clear" w:color="auto" w:fill="BFBFBF"/>
            <w:vAlign w:val="bottom"/>
          </w:tcPr>
          <w:p w14:paraId="4818639A" w14:textId="77777777" w:rsidR="004776AB" w:rsidRPr="008A0812" w:rsidRDefault="004776AB" w:rsidP="00DB4BB5">
            <w:pPr>
              <w:keepNext/>
              <w:overflowPunct/>
              <w:autoSpaceDE/>
              <w:autoSpaceDN/>
              <w:adjustRightInd/>
              <w:spacing w:before="60" w:after="60"/>
              <w:jc w:val="center"/>
              <w:rPr>
                <w:rFonts w:asciiTheme="majorHAnsi" w:hAnsiTheme="majorHAnsi" w:cs="Segoe UI"/>
                <w:b/>
                <w:bCs/>
              </w:rPr>
            </w:pPr>
            <w:r w:rsidRPr="008A0812">
              <w:rPr>
                <w:rFonts w:asciiTheme="majorHAnsi" w:hAnsiTheme="majorHAnsi" w:cs="Segoe UI"/>
                <w:b/>
                <w:bCs/>
              </w:rPr>
              <w:t>Project          Cost</w:t>
            </w:r>
          </w:p>
        </w:tc>
      </w:tr>
      <w:tr w:rsidR="004776AB" w:rsidRPr="008A0812" w14:paraId="7C43A516" w14:textId="77777777" w:rsidTr="004776AB">
        <w:trPr>
          <w:cantSplit/>
          <w:trHeight w:hRule="exact" w:val="331"/>
          <w:jc w:val="center"/>
        </w:trPr>
        <w:tc>
          <w:tcPr>
            <w:tcW w:w="9331" w:type="dxa"/>
            <w:gridSpan w:val="4"/>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48298798" w14:textId="77777777" w:rsidR="004776AB" w:rsidRPr="008A0812" w:rsidRDefault="004776AB" w:rsidP="004776AB">
            <w:pPr>
              <w:keepNext/>
              <w:overflowPunct/>
              <w:autoSpaceDE/>
              <w:autoSpaceDN/>
              <w:adjustRightInd/>
              <w:rPr>
                <w:i/>
                <w:iCs/>
                <w:u w:val="single"/>
              </w:rPr>
            </w:pPr>
            <w:r w:rsidRPr="008A0812">
              <w:rPr>
                <w:rFonts w:asciiTheme="majorHAnsi" w:hAnsiTheme="majorHAnsi" w:cs="Segoe UI"/>
                <w:b/>
                <w:bCs/>
              </w:rPr>
              <w:t>Recommended Improvement Projects</w:t>
            </w:r>
          </w:p>
        </w:tc>
      </w:tr>
      <w:tr w:rsidR="004776AB" w:rsidRPr="008A0812" w14:paraId="11B544E0" w14:textId="77777777" w:rsidTr="0071434D">
        <w:trPr>
          <w:cantSplit/>
          <w:trHeight w:val="331"/>
          <w:jc w:val="center"/>
        </w:trPr>
        <w:tc>
          <w:tcPr>
            <w:tcW w:w="2426"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4A213926" w14:textId="09CF6182" w:rsidR="004776AB" w:rsidRPr="008A0812" w:rsidRDefault="005A5E88" w:rsidP="0071434D">
            <w:pPr>
              <w:overflowPunct/>
              <w:autoSpaceDE/>
              <w:autoSpaceDN/>
              <w:adjustRightInd/>
              <w:spacing w:before="60" w:after="60"/>
              <w:rPr>
                <w:rFonts w:asciiTheme="majorHAnsi" w:hAnsiTheme="majorHAnsi" w:cs="Segoe UI"/>
              </w:rPr>
            </w:pPr>
            <w:r w:rsidRPr="008A0812">
              <w:t xml:space="preserve">Unit 3 Expansion and Completion </w:t>
            </w:r>
            <w:r w:rsidR="00CC61D6">
              <w:t xml:space="preserve">Phase I </w:t>
            </w:r>
            <w:r w:rsidR="004776AB" w:rsidRPr="008A0812">
              <w:rPr>
                <w:rFonts w:asciiTheme="majorHAnsi" w:hAnsiTheme="majorHAnsi" w:cs="Segoe UI"/>
              </w:rPr>
              <w:t xml:space="preserve">– Design </w:t>
            </w:r>
            <w:r w:rsidR="00CC61D6">
              <w:rPr>
                <w:rFonts w:asciiTheme="majorHAnsi" w:hAnsiTheme="majorHAnsi" w:cs="Segoe UI"/>
              </w:rPr>
              <w:t>and CEQA</w:t>
            </w:r>
          </w:p>
        </w:tc>
        <w:tc>
          <w:tcPr>
            <w:tcW w:w="3967" w:type="dxa"/>
            <w:tcBorders>
              <w:top w:val="single" w:sz="6" w:space="0" w:color="auto"/>
              <w:left w:val="nil"/>
              <w:bottom w:val="single" w:sz="6" w:space="0" w:color="auto"/>
              <w:right w:val="single" w:sz="6" w:space="0" w:color="auto"/>
            </w:tcBorders>
            <w:shd w:val="clear" w:color="auto" w:fill="auto"/>
            <w:hideMark/>
          </w:tcPr>
          <w:p w14:paraId="779A3FE4" w14:textId="63A46FF3" w:rsidR="004776AB" w:rsidRPr="008A0812" w:rsidRDefault="004776AB" w:rsidP="00DB4BB5">
            <w:pPr>
              <w:overflowPunct/>
              <w:autoSpaceDE/>
              <w:autoSpaceDN/>
              <w:adjustRightInd/>
              <w:spacing w:before="60" w:after="60"/>
              <w:ind w:left="90"/>
              <w:rPr>
                <w:rFonts w:asciiTheme="majorHAnsi" w:hAnsiTheme="majorHAnsi" w:cs="Segoe UI"/>
              </w:rPr>
            </w:pPr>
            <w:r w:rsidRPr="008A0812">
              <w:rPr>
                <w:rFonts w:asciiTheme="majorHAnsi" w:hAnsiTheme="majorHAnsi" w:cs="Segoe UI"/>
              </w:rPr>
              <w:t xml:space="preserve">Design of </w:t>
            </w:r>
            <w:r w:rsidR="005A5E88" w:rsidRPr="008A0812">
              <w:rPr>
                <w:rFonts w:asciiTheme="majorHAnsi" w:hAnsiTheme="majorHAnsi" w:cs="Segoe UI"/>
              </w:rPr>
              <w:t>the expanded Unit 3</w:t>
            </w:r>
            <w:r w:rsidRPr="008A0812">
              <w:rPr>
                <w:rFonts w:asciiTheme="majorHAnsi" w:hAnsiTheme="majorHAnsi" w:cs="Segoe UI"/>
              </w:rPr>
              <w:t xml:space="preserve"> treatment process to replace aging Unit 1, Unit 2 North and Unit 2 South primary and secondary process trains while keeping Unit 3 primaries in service. Evaluation would utilize multiple years of influent flow and load data following the </w:t>
            </w:r>
            <w:r w:rsidR="000A69A2">
              <w:rPr>
                <w:rFonts w:asciiTheme="majorHAnsi" w:hAnsiTheme="majorHAnsi" w:cs="Segoe UI"/>
              </w:rPr>
              <w:t>departure</w:t>
            </w:r>
            <w:r w:rsidRPr="008A0812">
              <w:rPr>
                <w:rFonts w:asciiTheme="majorHAnsi" w:hAnsiTheme="majorHAnsi" w:cs="Segoe UI"/>
              </w:rPr>
              <w:t xml:space="preserve"> of EVWD source flow to SBWRP, with design process beginning after the evaluation phase. </w:t>
            </w:r>
            <w:r w:rsidR="00D51DD0">
              <w:rPr>
                <w:rFonts w:asciiTheme="majorHAnsi" w:hAnsiTheme="majorHAnsi" w:cs="Segoe UI"/>
              </w:rPr>
              <w:t xml:space="preserve">The CEQA process would also take place during this phase. </w:t>
            </w:r>
          </w:p>
        </w:tc>
        <w:tc>
          <w:tcPr>
            <w:tcW w:w="1442" w:type="dxa"/>
            <w:tcBorders>
              <w:top w:val="single" w:sz="6" w:space="0" w:color="auto"/>
              <w:left w:val="nil"/>
              <w:bottom w:val="single" w:sz="6" w:space="0" w:color="auto"/>
              <w:right w:val="single" w:sz="6" w:space="0" w:color="auto"/>
            </w:tcBorders>
            <w:tcMar>
              <w:right w:w="144" w:type="dxa"/>
            </w:tcMar>
            <w:vAlign w:val="center"/>
          </w:tcPr>
          <w:p w14:paraId="73920CE7" w14:textId="77777777" w:rsidR="004776AB" w:rsidRPr="008A0812" w:rsidRDefault="004776AB" w:rsidP="0071434D">
            <w:pPr>
              <w:overflowPunct/>
              <w:autoSpaceDE/>
              <w:autoSpaceDN/>
              <w:adjustRightInd/>
              <w:spacing w:before="60" w:after="60"/>
              <w:jc w:val="right"/>
            </w:pPr>
            <w:r w:rsidRPr="008A0812">
              <w:t>$ -</w:t>
            </w:r>
          </w:p>
        </w:tc>
        <w:tc>
          <w:tcPr>
            <w:tcW w:w="1496" w:type="dxa"/>
            <w:tcBorders>
              <w:top w:val="single" w:sz="6" w:space="0" w:color="auto"/>
              <w:left w:val="nil"/>
              <w:bottom w:val="single" w:sz="6" w:space="0" w:color="auto"/>
              <w:right w:val="single" w:sz="6" w:space="0" w:color="auto"/>
            </w:tcBorders>
            <w:tcMar>
              <w:right w:w="144" w:type="dxa"/>
            </w:tcMar>
            <w:vAlign w:val="center"/>
          </w:tcPr>
          <w:p w14:paraId="4505FC85" w14:textId="29AA0AD6" w:rsidR="004776AB" w:rsidRPr="008A0812" w:rsidRDefault="00886623" w:rsidP="0071434D">
            <w:pPr>
              <w:overflowPunct/>
              <w:autoSpaceDE/>
              <w:autoSpaceDN/>
              <w:adjustRightInd/>
              <w:spacing w:before="60" w:after="60"/>
              <w:jc w:val="right"/>
            </w:pPr>
            <w:r w:rsidRPr="00886623">
              <w:t>$9,354,000</w:t>
            </w:r>
          </w:p>
        </w:tc>
      </w:tr>
      <w:tr w:rsidR="0071434D" w:rsidRPr="008A0812" w14:paraId="026FBF62" w14:textId="77777777" w:rsidTr="0071434D">
        <w:trPr>
          <w:cantSplit/>
          <w:trHeight w:val="331"/>
          <w:jc w:val="center"/>
        </w:trPr>
        <w:tc>
          <w:tcPr>
            <w:tcW w:w="2426"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tcPr>
          <w:p w14:paraId="101C2AA1" w14:textId="28741637" w:rsidR="0071434D" w:rsidRPr="008A0812" w:rsidRDefault="0071434D" w:rsidP="0071434D">
            <w:pPr>
              <w:overflowPunct/>
              <w:autoSpaceDE/>
              <w:autoSpaceDN/>
              <w:adjustRightInd/>
              <w:spacing w:before="60" w:after="60"/>
            </w:pPr>
            <w:r w:rsidRPr="008A0812">
              <w:t>Unit 3 Expansion and Completion</w:t>
            </w:r>
            <w:r>
              <w:t xml:space="preserve"> Phase I</w:t>
            </w:r>
            <w:r w:rsidRPr="008A0812">
              <w:t xml:space="preserve"> </w:t>
            </w:r>
            <w:r w:rsidRPr="008A0812">
              <w:rPr>
                <w:rFonts w:asciiTheme="majorHAnsi" w:hAnsiTheme="majorHAnsi" w:cs="Segoe UI"/>
              </w:rPr>
              <w:t xml:space="preserve">– </w:t>
            </w:r>
            <w:r>
              <w:rPr>
                <w:rFonts w:asciiTheme="majorHAnsi" w:hAnsiTheme="majorHAnsi" w:cs="Segoe UI"/>
              </w:rPr>
              <w:t>Construction</w:t>
            </w:r>
            <w:r w:rsidRPr="00886623">
              <w:rPr>
                <w:rFonts w:asciiTheme="majorHAnsi" w:hAnsiTheme="majorHAnsi" w:cs="Segoe UI"/>
                <w:vertAlign w:val="superscript"/>
              </w:rPr>
              <w:t>1</w:t>
            </w:r>
          </w:p>
        </w:tc>
        <w:tc>
          <w:tcPr>
            <w:tcW w:w="3967" w:type="dxa"/>
            <w:tcBorders>
              <w:top w:val="single" w:sz="6" w:space="0" w:color="auto"/>
              <w:left w:val="nil"/>
              <w:bottom w:val="single" w:sz="6" w:space="0" w:color="auto"/>
              <w:right w:val="single" w:sz="6" w:space="0" w:color="auto"/>
            </w:tcBorders>
            <w:shd w:val="clear" w:color="auto" w:fill="auto"/>
          </w:tcPr>
          <w:p w14:paraId="239C0F4C" w14:textId="2D2EFE3C" w:rsidR="0071434D" w:rsidRPr="008A0812" w:rsidRDefault="0071434D" w:rsidP="0071434D">
            <w:pPr>
              <w:overflowPunct/>
              <w:autoSpaceDE/>
              <w:autoSpaceDN/>
              <w:adjustRightInd/>
              <w:spacing w:before="60" w:after="60"/>
              <w:ind w:left="90"/>
              <w:rPr>
                <w:rFonts w:asciiTheme="majorHAnsi" w:hAnsiTheme="majorHAnsi" w:cs="Segoe UI"/>
              </w:rPr>
            </w:pPr>
            <w:r>
              <w:rPr>
                <w:rFonts w:asciiTheme="majorHAnsi" w:hAnsiTheme="majorHAnsi" w:cs="Segoe UI"/>
              </w:rPr>
              <w:t xml:space="preserve">Construction </w:t>
            </w:r>
            <w:r w:rsidRPr="008A0812">
              <w:rPr>
                <w:rFonts w:asciiTheme="majorHAnsi" w:hAnsiTheme="majorHAnsi" w:cs="Segoe UI"/>
              </w:rPr>
              <w:t>of the expanded Unit 3 treatment process to replace aging Unit 1, Unit 2 North and Unit 2 South primary and secondary process trains while keeping Unit 3 primaries in service.</w:t>
            </w:r>
            <w:r>
              <w:rPr>
                <w:rFonts w:asciiTheme="majorHAnsi" w:hAnsiTheme="majorHAnsi" w:cs="Segoe UI"/>
              </w:rPr>
              <w:t xml:space="preserve"> </w:t>
            </w:r>
            <w:r w:rsidRPr="008A0812">
              <w:rPr>
                <w:rFonts w:asciiTheme="majorHAnsi" w:hAnsiTheme="majorHAnsi" w:cs="Segoe UI"/>
              </w:rPr>
              <w:t xml:space="preserve">Construction of a new process train would begin in </w:t>
            </w:r>
            <w:r>
              <w:rPr>
                <w:rFonts w:asciiTheme="majorHAnsi" w:hAnsiTheme="majorHAnsi" w:cs="Segoe UI"/>
              </w:rPr>
              <w:t>the 2028/29 financial year and continue until 2031/32.</w:t>
            </w:r>
          </w:p>
        </w:tc>
        <w:tc>
          <w:tcPr>
            <w:tcW w:w="1442" w:type="dxa"/>
            <w:tcBorders>
              <w:top w:val="single" w:sz="6" w:space="0" w:color="auto"/>
              <w:left w:val="nil"/>
              <w:bottom w:val="single" w:sz="6" w:space="0" w:color="auto"/>
              <w:right w:val="single" w:sz="6" w:space="0" w:color="auto"/>
            </w:tcBorders>
            <w:tcMar>
              <w:right w:w="144" w:type="dxa"/>
            </w:tcMar>
            <w:vAlign w:val="center"/>
          </w:tcPr>
          <w:p w14:paraId="3503A1EA" w14:textId="31B56717" w:rsidR="0071434D" w:rsidRPr="008A0812" w:rsidRDefault="0071434D" w:rsidP="0071434D">
            <w:pPr>
              <w:overflowPunct/>
              <w:autoSpaceDE/>
              <w:autoSpaceDN/>
              <w:adjustRightInd/>
              <w:spacing w:before="60" w:after="60"/>
              <w:jc w:val="right"/>
            </w:pPr>
            <w:r w:rsidRPr="00CF59B8">
              <w:t xml:space="preserve"> $31,250,000 </w:t>
            </w:r>
          </w:p>
        </w:tc>
        <w:tc>
          <w:tcPr>
            <w:tcW w:w="1496" w:type="dxa"/>
            <w:tcBorders>
              <w:top w:val="single" w:sz="6" w:space="0" w:color="auto"/>
              <w:left w:val="nil"/>
              <w:bottom w:val="single" w:sz="6" w:space="0" w:color="auto"/>
              <w:right w:val="single" w:sz="6" w:space="0" w:color="auto"/>
            </w:tcBorders>
            <w:tcMar>
              <w:right w:w="144" w:type="dxa"/>
            </w:tcMar>
            <w:vAlign w:val="center"/>
          </w:tcPr>
          <w:p w14:paraId="67675689" w14:textId="299B4102" w:rsidR="0071434D" w:rsidRPr="00D51DD0" w:rsidRDefault="0071434D" w:rsidP="0071434D">
            <w:pPr>
              <w:overflowPunct/>
              <w:autoSpaceDE/>
              <w:autoSpaceDN/>
              <w:adjustRightInd/>
              <w:spacing w:before="60" w:after="60"/>
              <w:jc w:val="right"/>
            </w:pPr>
            <w:r w:rsidRPr="00CF59B8">
              <w:t xml:space="preserve"> $35,937,000 </w:t>
            </w:r>
          </w:p>
        </w:tc>
      </w:tr>
      <w:tr w:rsidR="004776AB" w:rsidRPr="008A0812" w14:paraId="4E10C696" w14:textId="77777777" w:rsidTr="0071434D">
        <w:trPr>
          <w:cantSplit/>
          <w:trHeight w:hRule="exact" w:val="331"/>
          <w:jc w:val="center"/>
        </w:trPr>
        <w:tc>
          <w:tcPr>
            <w:tcW w:w="9331" w:type="dxa"/>
            <w:gridSpan w:val="4"/>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721FEE95" w14:textId="77777777" w:rsidR="004776AB" w:rsidRPr="008A0812" w:rsidRDefault="004776AB" w:rsidP="0071434D">
            <w:pPr>
              <w:overflowPunct/>
              <w:autoSpaceDE/>
              <w:autoSpaceDN/>
              <w:adjustRightInd/>
              <w:rPr>
                <w:i/>
                <w:iCs/>
                <w:u w:val="single"/>
              </w:rPr>
            </w:pPr>
            <w:r w:rsidRPr="008A0812">
              <w:rPr>
                <w:rFonts w:asciiTheme="majorHAnsi" w:hAnsiTheme="majorHAnsi" w:cs="Segoe UI"/>
                <w:b/>
                <w:bCs/>
              </w:rPr>
              <w:t>R&amp;R Projects</w:t>
            </w:r>
          </w:p>
        </w:tc>
      </w:tr>
      <w:tr w:rsidR="004776AB" w:rsidRPr="008A0812" w14:paraId="74EB77BD"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49F3717"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HVAC and Misc. Mechanical Asset R&amp;R</w:t>
            </w:r>
          </w:p>
        </w:tc>
        <w:tc>
          <w:tcPr>
            <w:tcW w:w="3967" w:type="dxa"/>
            <w:tcBorders>
              <w:top w:val="nil"/>
              <w:left w:val="nil"/>
              <w:bottom w:val="single" w:sz="6" w:space="0" w:color="auto"/>
              <w:right w:val="single" w:sz="6" w:space="0" w:color="auto"/>
            </w:tcBorders>
            <w:shd w:val="clear" w:color="auto" w:fill="auto"/>
            <w:hideMark/>
          </w:tcPr>
          <w:p w14:paraId="1B115BF4" w14:textId="1F905DCA"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HVAC and miscellaneous mechanical assets. Assets to</w:t>
            </w:r>
            <w:r w:rsidR="00520392" w:rsidRPr="008A0812">
              <w:t xml:space="preserve"> be</w:t>
            </w:r>
            <w:r w:rsidRPr="008A0812">
              <w:t xml:space="preserve"> replaced include HVAC and various valves located in Electrical Administration Building, Boiler Building, and Headworks Tunnel and Splitter box.</w:t>
            </w:r>
          </w:p>
        </w:tc>
        <w:tc>
          <w:tcPr>
            <w:tcW w:w="1442" w:type="dxa"/>
            <w:tcBorders>
              <w:top w:val="nil"/>
              <w:left w:val="nil"/>
              <w:bottom w:val="single" w:sz="6" w:space="0" w:color="auto"/>
              <w:right w:val="single" w:sz="6" w:space="0" w:color="auto"/>
            </w:tcBorders>
            <w:tcMar>
              <w:right w:w="144" w:type="dxa"/>
            </w:tcMar>
            <w:vAlign w:val="center"/>
          </w:tcPr>
          <w:p w14:paraId="04015704" w14:textId="77777777" w:rsidR="004776AB" w:rsidRPr="008A0812" w:rsidRDefault="004776AB" w:rsidP="00DB4BB5">
            <w:pPr>
              <w:keepNext/>
              <w:keepLines/>
              <w:overflowPunct/>
              <w:autoSpaceDE/>
              <w:autoSpaceDN/>
              <w:adjustRightInd/>
              <w:spacing w:before="60" w:after="60"/>
              <w:jc w:val="right"/>
            </w:pPr>
            <w:r w:rsidRPr="008A0812">
              <w:t>$998,000</w:t>
            </w:r>
          </w:p>
        </w:tc>
        <w:tc>
          <w:tcPr>
            <w:tcW w:w="1496" w:type="dxa"/>
            <w:tcBorders>
              <w:top w:val="nil"/>
              <w:left w:val="nil"/>
              <w:bottom w:val="single" w:sz="6" w:space="0" w:color="auto"/>
              <w:right w:val="single" w:sz="6" w:space="0" w:color="auto"/>
            </w:tcBorders>
            <w:tcMar>
              <w:right w:w="144" w:type="dxa"/>
            </w:tcMar>
            <w:vAlign w:val="center"/>
          </w:tcPr>
          <w:p w14:paraId="4273F0D8" w14:textId="77777777" w:rsidR="004776AB" w:rsidRPr="008A0812" w:rsidRDefault="004776AB" w:rsidP="00DB4BB5">
            <w:pPr>
              <w:keepNext/>
              <w:keepLines/>
              <w:overflowPunct/>
              <w:autoSpaceDE/>
              <w:autoSpaceDN/>
              <w:adjustRightInd/>
              <w:spacing w:before="60" w:after="60"/>
              <w:jc w:val="right"/>
            </w:pPr>
            <w:r w:rsidRPr="008A0812">
              <w:t>$1,671,000</w:t>
            </w:r>
          </w:p>
        </w:tc>
      </w:tr>
      <w:tr w:rsidR="004776AB" w:rsidRPr="008A0812" w14:paraId="32E160DF" w14:textId="77777777" w:rsidTr="0071434D">
        <w:trPr>
          <w:cantSplit/>
          <w:trHeight w:val="331"/>
          <w:jc w:val="center"/>
        </w:trPr>
        <w:tc>
          <w:tcPr>
            <w:tcW w:w="2426"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085D95BC"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Instrumentation R&amp;R</w:t>
            </w:r>
          </w:p>
        </w:tc>
        <w:tc>
          <w:tcPr>
            <w:tcW w:w="3967" w:type="dxa"/>
            <w:tcBorders>
              <w:top w:val="single" w:sz="6" w:space="0" w:color="auto"/>
              <w:left w:val="nil"/>
              <w:bottom w:val="single" w:sz="6" w:space="0" w:color="auto"/>
              <w:right w:val="single" w:sz="6" w:space="0" w:color="auto"/>
            </w:tcBorders>
            <w:shd w:val="clear" w:color="auto" w:fill="auto"/>
            <w:hideMark/>
          </w:tcPr>
          <w:p w14:paraId="0945FB62"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instrumentation assets. Instrumentation to be replaced include meters, sensors and probes located at the onsite wells, bar screen building and outfall sample stations.</w:t>
            </w:r>
          </w:p>
        </w:tc>
        <w:tc>
          <w:tcPr>
            <w:tcW w:w="1442" w:type="dxa"/>
            <w:tcBorders>
              <w:top w:val="single" w:sz="6" w:space="0" w:color="auto"/>
              <w:left w:val="nil"/>
              <w:bottom w:val="single" w:sz="6" w:space="0" w:color="auto"/>
              <w:right w:val="single" w:sz="6" w:space="0" w:color="auto"/>
            </w:tcBorders>
            <w:tcMar>
              <w:right w:w="144" w:type="dxa"/>
            </w:tcMar>
            <w:vAlign w:val="center"/>
          </w:tcPr>
          <w:p w14:paraId="5CC986E9" w14:textId="77777777" w:rsidR="004776AB" w:rsidRPr="008A0812" w:rsidRDefault="004776AB" w:rsidP="00DB4BB5">
            <w:pPr>
              <w:overflowPunct/>
              <w:autoSpaceDE/>
              <w:autoSpaceDN/>
              <w:adjustRightInd/>
              <w:spacing w:before="60" w:after="60"/>
              <w:jc w:val="right"/>
            </w:pPr>
            <w:r w:rsidRPr="008A0812">
              <w:t>$3,316,000</w:t>
            </w:r>
          </w:p>
        </w:tc>
        <w:tc>
          <w:tcPr>
            <w:tcW w:w="1496" w:type="dxa"/>
            <w:tcBorders>
              <w:top w:val="single" w:sz="6" w:space="0" w:color="auto"/>
              <w:left w:val="nil"/>
              <w:bottom w:val="single" w:sz="6" w:space="0" w:color="auto"/>
              <w:right w:val="single" w:sz="6" w:space="0" w:color="auto"/>
            </w:tcBorders>
            <w:tcMar>
              <w:right w:w="144" w:type="dxa"/>
            </w:tcMar>
            <w:vAlign w:val="center"/>
          </w:tcPr>
          <w:p w14:paraId="3A498E35" w14:textId="77777777" w:rsidR="004776AB" w:rsidRPr="008A0812" w:rsidRDefault="004776AB" w:rsidP="00DB4BB5">
            <w:pPr>
              <w:overflowPunct/>
              <w:autoSpaceDE/>
              <w:autoSpaceDN/>
              <w:adjustRightInd/>
              <w:spacing w:before="60" w:after="60"/>
              <w:jc w:val="right"/>
            </w:pPr>
            <w:r w:rsidRPr="008A0812">
              <w:t>$5,552,000</w:t>
            </w:r>
          </w:p>
        </w:tc>
      </w:tr>
      <w:tr w:rsidR="004776AB" w:rsidRPr="008A0812" w14:paraId="386DAF81"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B4E07C8"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General Site Civil</w:t>
            </w:r>
          </w:p>
        </w:tc>
        <w:tc>
          <w:tcPr>
            <w:tcW w:w="3967" w:type="dxa"/>
            <w:tcBorders>
              <w:top w:val="nil"/>
              <w:left w:val="nil"/>
              <w:bottom w:val="single" w:sz="6" w:space="0" w:color="auto"/>
              <w:right w:val="single" w:sz="6" w:space="0" w:color="auto"/>
            </w:tcBorders>
            <w:shd w:val="clear" w:color="auto" w:fill="auto"/>
            <w:hideMark/>
          </w:tcPr>
          <w:p w14:paraId="4B8D430C"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at the Septage and Brine Receiving Station, Irrigation Control Building and Brine Ponds</w:t>
            </w:r>
          </w:p>
        </w:tc>
        <w:tc>
          <w:tcPr>
            <w:tcW w:w="1442" w:type="dxa"/>
            <w:tcBorders>
              <w:top w:val="nil"/>
              <w:left w:val="nil"/>
              <w:bottom w:val="single" w:sz="6" w:space="0" w:color="auto"/>
              <w:right w:val="single" w:sz="6" w:space="0" w:color="auto"/>
            </w:tcBorders>
            <w:tcMar>
              <w:right w:w="144" w:type="dxa"/>
            </w:tcMar>
            <w:vAlign w:val="center"/>
          </w:tcPr>
          <w:p w14:paraId="0551F077" w14:textId="77777777" w:rsidR="004776AB" w:rsidRPr="008A0812" w:rsidRDefault="004776AB" w:rsidP="00DB4BB5">
            <w:pPr>
              <w:overflowPunct/>
              <w:autoSpaceDE/>
              <w:autoSpaceDN/>
              <w:adjustRightInd/>
              <w:spacing w:before="60" w:after="60"/>
              <w:jc w:val="right"/>
            </w:pPr>
            <w:r w:rsidRPr="008A0812">
              <w:t>$203,000</w:t>
            </w:r>
          </w:p>
        </w:tc>
        <w:tc>
          <w:tcPr>
            <w:tcW w:w="1496" w:type="dxa"/>
            <w:tcBorders>
              <w:top w:val="nil"/>
              <w:left w:val="nil"/>
              <w:bottom w:val="single" w:sz="6" w:space="0" w:color="auto"/>
              <w:right w:val="single" w:sz="6" w:space="0" w:color="auto"/>
            </w:tcBorders>
            <w:tcMar>
              <w:right w:w="144" w:type="dxa"/>
            </w:tcMar>
            <w:vAlign w:val="center"/>
          </w:tcPr>
          <w:p w14:paraId="3382B530" w14:textId="77777777" w:rsidR="004776AB" w:rsidRPr="008A0812" w:rsidRDefault="004776AB" w:rsidP="00DB4BB5">
            <w:pPr>
              <w:overflowPunct/>
              <w:autoSpaceDE/>
              <w:autoSpaceDN/>
              <w:adjustRightInd/>
              <w:spacing w:before="60" w:after="60"/>
              <w:jc w:val="right"/>
            </w:pPr>
            <w:r w:rsidRPr="008A0812">
              <w:t>$340,000</w:t>
            </w:r>
          </w:p>
        </w:tc>
      </w:tr>
      <w:tr w:rsidR="004776AB" w:rsidRPr="008A0812" w14:paraId="02E3DABE"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2F2C320"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Solids Handling R&amp;R</w:t>
            </w:r>
          </w:p>
        </w:tc>
        <w:tc>
          <w:tcPr>
            <w:tcW w:w="3967" w:type="dxa"/>
            <w:tcBorders>
              <w:top w:val="nil"/>
              <w:left w:val="nil"/>
              <w:bottom w:val="single" w:sz="6" w:space="0" w:color="auto"/>
              <w:right w:val="single" w:sz="6" w:space="0" w:color="auto"/>
            </w:tcBorders>
            <w:shd w:val="clear" w:color="auto" w:fill="auto"/>
            <w:hideMark/>
          </w:tcPr>
          <w:p w14:paraId="1634859C"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dewatering and digester assets. Assets to be replaced include various sludge handling, dewatering and odor control equipment located at the dewatering building, DAFTs, Digester A and sludge storage.</w:t>
            </w:r>
          </w:p>
        </w:tc>
        <w:tc>
          <w:tcPr>
            <w:tcW w:w="1442" w:type="dxa"/>
            <w:tcBorders>
              <w:top w:val="nil"/>
              <w:left w:val="nil"/>
              <w:bottom w:val="single" w:sz="6" w:space="0" w:color="auto"/>
              <w:right w:val="single" w:sz="6" w:space="0" w:color="auto"/>
            </w:tcBorders>
            <w:tcMar>
              <w:right w:w="144" w:type="dxa"/>
            </w:tcMar>
            <w:vAlign w:val="center"/>
          </w:tcPr>
          <w:p w14:paraId="77F6631F" w14:textId="77777777" w:rsidR="004776AB" w:rsidRPr="008A0812" w:rsidRDefault="004776AB" w:rsidP="00DB4BB5">
            <w:pPr>
              <w:overflowPunct/>
              <w:autoSpaceDE/>
              <w:autoSpaceDN/>
              <w:adjustRightInd/>
              <w:spacing w:before="60" w:after="60"/>
              <w:jc w:val="right"/>
            </w:pPr>
            <w:r w:rsidRPr="008A0812">
              <w:t>$6,733,000</w:t>
            </w:r>
          </w:p>
        </w:tc>
        <w:tc>
          <w:tcPr>
            <w:tcW w:w="1496" w:type="dxa"/>
            <w:tcBorders>
              <w:top w:val="nil"/>
              <w:left w:val="nil"/>
              <w:bottom w:val="single" w:sz="6" w:space="0" w:color="auto"/>
              <w:right w:val="single" w:sz="6" w:space="0" w:color="auto"/>
            </w:tcBorders>
            <w:tcMar>
              <w:right w:w="144" w:type="dxa"/>
            </w:tcMar>
            <w:vAlign w:val="center"/>
          </w:tcPr>
          <w:p w14:paraId="424597F8" w14:textId="77777777" w:rsidR="004776AB" w:rsidRPr="008A0812" w:rsidRDefault="004776AB" w:rsidP="00DB4BB5">
            <w:pPr>
              <w:overflowPunct/>
              <w:autoSpaceDE/>
              <w:autoSpaceDN/>
              <w:adjustRightInd/>
              <w:spacing w:before="60" w:after="60"/>
              <w:jc w:val="right"/>
            </w:pPr>
            <w:r w:rsidRPr="008A0812">
              <w:t>$11,274,000</w:t>
            </w:r>
          </w:p>
        </w:tc>
      </w:tr>
      <w:tr w:rsidR="00962BB2" w:rsidRPr="008A0812" w14:paraId="5AC1C165"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tcPr>
          <w:p w14:paraId="37FA6967" w14:textId="56252465" w:rsidR="00962BB2" w:rsidRPr="008A0812" w:rsidRDefault="00962BB2"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Pavement R&amp;R</w:t>
            </w:r>
          </w:p>
        </w:tc>
        <w:tc>
          <w:tcPr>
            <w:tcW w:w="3967" w:type="dxa"/>
            <w:tcBorders>
              <w:top w:val="nil"/>
              <w:left w:val="nil"/>
              <w:bottom w:val="single" w:sz="6" w:space="0" w:color="auto"/>
              <w:right w:val="single" w:sz="6" w:space="0" w:color="auto"/>
            </w:tcBorders>
            <w:shd w:val="clear" w:color="auto" w:fill="auto"/>
          </w:tcPr>
          <w:p w14:paraId="1CAA560F" w14:textId="40D05D58" w:rsidR="00962BB2" w:rsidRPr="008A0812" w:rsidRDefault="00962BB2" w:rsidP="00DB4BB5">
            <w:pPr>
              <w:overflowPunct/>
              <w:autoSpaceDE/>
              <w:autoSpaceDN/>
              <w:adjustRightInd/>
              <w:spacing w:before="60" w:after="60"/>
              <w:ind w:left="90"/>
            </w:pPr>
            <w:r w:rsidRPr="008A0812">
              <w:rPr>
                <w:rFonts w:asciiTheme="majorHAnsi" w:hAnsiTheme="majorHAnsi" w:cs="Segoe UI"/>
              </w:rPr>
              <w:t>R&amp;R of pavement throughout the treatment plant site. This cost has been spread over a 10-year period.</w:t>
            </w:r>
          </w:p>
        </w:tc>
        <w:tc>
          <w:tcPr>
            <w:tcW w:w="1442" w:type="dxa"/>
            <w:tcBorders>
              <w:top w:val="nil"/>
              <w:left w:val="nil"/>
              <w:bottom w:val="single" w:sz="6" w:space="0" w:color="auto"/>
              <w:right w:val="single" w:sz="6" w:space="0" w:color="auto"/>
            </w:tcBorders>
            <w:tcMar>
              <w:right w:w="144" w:type="dxa"/>
            </w:tcMar>
            <w:vAlign w:val="center"/>
          </w:tcPr>
          <w:p w14:paraId="4DB4356C" w14:textId="22CF79C4" w:rsidR="00962BB2" w:rsidRPr="008A0812" w:rsidRDefault="00962BB2" w:rsidP="00DB4BB5">
            <w:pPr>
              <w:overflowPunct/>
              <w:autoSpaceDE/>
              <w:autoSpaceDN/>
              <w:adjustRightInd/>
              <w:spacing w:before="60" w:after="60"/>
              <w:jc w:val="right"/>
            </w:pPr>
            <w:r w:rsidRPr="008A0812">
              <w:t xml:space="preserve"> $2,864,000 </w:t>
            </w:r>
          </w:p>
        </w:tc>
        <w:tc>
          <w:tcPr>
            <w:tcW w:w="1496" w:type="dxa"/>
            <w:tcBorders>
              <w:top w:val="nil"/>
              <w:left w:val="nil"/>
              <w:bottom w:val="single" w:sz="6" w:space="0" w:color="auto"/>
              <w:right w:val="single" w:sz="6" w:space="0" w:color="auto"/>
            </w:tcBorders>
            <w:tcMar>
              <w:right w:w="144" w:type="dxa"/>
            </w:tcMar>
            <w:vAlign w:val="center"/>
          </w:tcPr>
          <w:p w14:paraId="15723E03" w14:textId="0C7F19AA" w:rsidR="00962BB2" w:rsidRPr="008A0812" w:rsidRDefault="00962BB2" w:rsidP="00DB4BB5">
            <w:pPr>
              <w:overflowPunct/>
              <w:autoSpaceDE/>
              <w:autoSpaceDN/>
              <w:adjustRightInd/>
              <w:spacing w:before="60" w:after="60"/>
              <w:jc w:val="right"/>
            </w:pPr>
            <w:r w:rsidRPr="008A0812">
              <w:t xml:space="preserve"> $3,640,000 </w:t>
            </w:r>
          </w:p>
        </w:tc>
      </w:tr>
      <w:tr w:rsidR="004776AB" w:rsidRPr="008A0812" w14:paraId="7F8D35F0"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A4B4FBC"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Lift Station R&amp;R</w:t>
            </w:r>
          </w:p>
        </w:tc>
        <w:tc>
          <w:tcPr>
            <w:tcW w:w="3967" w:type="dxa"/>
            <w:tcBorders>
              <w:top w:val="nil"/>
              <w:left w:val="nil"/>
              <w:bottom w:val="single" w:sz="6" w:space="0" w:color="auto"/>
              <w:right w:val="single" w:sz="6" w:space="0" w:color="auto"/>
            </w:tcBorders>
            <w:shd w:val="clear" w:color="auto" w:fill="auto"/>
            <w:hideMark/>
          </w:tcPr>
          <w:p w14:paraId="363EDFA7" w14:textId="56BDA035" w:rsidR="004776AB" w:rsidRPr="008A0812" w:rsidRDefault="004776AB" w:rsidP="00DB4BB5">
            <w:pPr>
              <w:overflowPunct/>
              <w:autoSpaceDE/>
              <w:autoSpaceDN/>
              <w:adjustRightInd/>
              <w:spacing w:before="60" w:after="60"/>
              <w:ind w:left="90"/>
              <w:rPr>
                <w:rFonts w:asciiTheme="majorHAnsi" w:hAnsiTheme="majorHAnsi" w:cs="Segoe UI"/>
              </w:rPr>
            </w:pPr>
            <w:r w:rsidRPr="008A0812">
              <w:t xml:space="preserve">R&amp;R of aging assets associated with Arrowhead and East </w:t>
            </w:r>
            <w:r w:rsidR="00CC2A20">
              <w:t xml:space="preserve">Influent </w:t>
            </w:r>
            <w:r w:rsidRPr="008A0812">
              <w:t>Lift Stations. Assets to be replaced include pumps, motors, and sensors.</w:t>
            </w:r>
          </w:p>
        </w:tc>
        <w:tc>
          <w:tcPr>
            <w:tcW w:w="1442" w:type="dxa"/>
            <w:tcBorders>
              <w:top w:val="nil"/>
              <w:left w:val="nil"/>
              <w:bottom w:val="single" w:sz="6" w:space="0" w:color="auto"/>
              <w:right w:val="single" w:sz="6" w:space="0" w:color="auto"/>
            </w:tcBorders>
            <w:tcMar>
              <w:right w:w="144" w:type="dxa"/>
            </w:tcMar>
            <w:vAlign w:val="center"/>
          </w:tcPr>
          <w:p w14:paraId="2516D9EB" w14:textId="77777777" w:rsidR="004776AB" w:rsidRPr="008A0812" w:rsidRDefault="004776AB" w:rsidP="00DB4BB5">
            <w:pPr>
              <w:overflowPunct/>
              <w:autoSpaceDE/>
              <w:autoSpaceDN/>
              <w:adjustRightInd/>
              <w:spacing w:before="60" w:after="60"/>
              <w:jc w:val="right"/>
            </w:pPr>
            <w:r w:rsidRPr="008A0812">
              <w:t>$1,700,000</w:t>
            </w:r>
          </w:p>
        </w:tc>
        <w:tc>
          <w:tcPr>
            <w:tcW w:w="1496" w:type="dxa"/>
            <w:tcBorders>
              <w:top w:val="nil"/>
              <w:left w:val="nil"/>
              <w:bottom w:val="single" w:sz="6" w:space="0" w:color="auto"/>
              <w:right w:val="single" w:sz="6" w:space="0" w:color="auto"/>
            </w:tcBorders>
            <w:tcMar>
              <w:right w:w="144" w:type="dxa"/>
            </w:tcMar>
            <w:vAlign w:val="center"/>
          </w:tcPr>
          <w:p w14:paraId="78B2D473" w14:textId="77777777" w:rsidR="004776AB" w:rsidRPr="008A0812" w:rsidRDefault="004776AB" w:rsidP="00DB4BB5">
            <w:pPr>
              <w:overflowPunct/>
              <w:autoSpaceDE/>
              <w:autoSpaceDN/>
              <w:adjustRightInd/>
              <w:spacing w:before="60" w:after="60"/>
              <w:jc w:val="right"/>
            </w:pPr>
            <w:r w:rsidRPr="008A0812">
              <w:t>$2,846,000</w:t>
            </w:r>
          </w:p>
        </w:tc>
      </w:tr>
      <w:tr w:rsidR="004776AB" w:rsidRPr="008A0812" w14:paraId="0A1CA67D"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675B2342"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Headworks R&amp;R</w:t>
            </w:r>
          </w:p>
        </w:tc>
        <w:tc>
          <w:tcPr>
            <w:tcW w:w="3967" w:type="dxa"/>
            <w:tcBorders>
              <w:top w:val="nil"/>
              <w:left w:val="nil"/>
              <w:bottom w:val="single" w:sz="6" w:space="0" w:color="auto"/>
              <w:right w:val="single" w:sz="6" w:space="0" w:color="auto"/>
            </w:tcBorders>
            <w:shd w:val="clear" w:color="auto" w:fill="auto"/>
            <w:hideMark/>
          </w:tcPr>
          <w:p w14:paraId="2E648A8C"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headworks including grit removal and odor control systems.</w:t>
            </w:r>
          </w:p>
        </w:tc>
        <w:tc>
          <w:tcPr>
            <w:tcW w:w="1442" w:type="dxa"/>
            <w:tcBorders>
              <w:top w:val="nil"/>
              <w:left w:val="nil"/>
              <w:bottom w:val="single" w:sz="6" w:space="0" w:color="auto"/>
              <w:right w:val="single" w:sz="6" w:space="0" w:color="auto"/>
            </w:tcBorders>
            <w:tcMar>
              <w:right w:w="144" w:type="dxa"/>
            </w:tcMar>
            <w:vAlign w:val="center"/>
          </w:tcPr>
          <w:p w14:paraId="6223E217" w14:textId="77777777" w:rsidR="004776AB" w:rsidRPr="008A0812" w:rsidRDefault="004776AB" w:rsidP="00DB4BB5">
            <w:pPr>
              <w:overflowPunct/>
              <w:autoSpaceDE/>
              <w:autoSpaceDN/>
              <w:adjustRightInd/>
              <w:spacing w:before="60" w:after="60"/>
              <w:jc w:val="right"/>
            </w:pPr>
            <w:r w:rsidRPr="008A0812">
              <w:t>$2,301,000</w:t>
            </w:r>
          </w:p>
        </w:tc>
        <w:tc>
          <w:tcPr>
            <w:tcW w:w="1496" w:type="dxa"/>
            <w:tcBorders>
              <w:top w:val="nil"/>
              <w:left w:val="nil"/>
              <w:bottom w:val="single" w:sz="6" w:space="0" w:color="auto"/>
              <w:right w:val="single" w:sz="6" w:space="0" w:color="auto"/>
            </w:tcBorders>
            <w:tcMar>
              <w:right w:w="144" w:type="dxa"/>
            </w:tcMar>
            <w:vAlign w:val="center"/>
          </w:tcPr>
          <w:p w14:paraId="15A58644" w14:textId="77777777" w:rsidR="004776AB" w:rsidRPr="008A0812" w:rsidRDefault="004776AB" w:rsidP="00DB4BB5">
            <w:pPr>
              <w:overflowPunct/>
              <w:autoSpaceDE/>
              <w:autoSpaceDN/>
              <w:adjustRightInd/>
              <w:spacing w:before="60" w:after="60"/>
              <w:jc w:val="right"/>
            </w:pPr>
            <w:r w:rsidRPr="008A0812">
              <w:t>$3,853,000</w:t>
            </w:r>
          </w:p>
        </w:tc>
      </w:tr>
      <w:tr w:rsidR="004776AB" w:rsidRPr="008A0812" w14:paraId="62ADE562"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082BBD57"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Nitrogen Removal Carousel R&amp;R</w:t>
            </w:r>
          </w:p>
        </w:tc>
        <w:tc>
          <w:tcPr>
            <w:tcW w:w="3967" w:type="dxa"/>
            <w:tcBorders>
              <w:top w:val="nil"/>
              <w:left w:val="nil"/>
              <w:bottom w:val="single" w:sz="6" w:space="0" w:color="auto"/>
              <w:right w:val="single" w:sz="6" w:space="0" w:color="auto"/>
            </w:tcBorders>
            <w:shd w:val="clear" w:color="auto" w:fill="auto"/>
            <w:hideMark/>
          </w:tcPr>
          <w:p w14:paraId="110B615D"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Nitrogen Removal Carousel. Assets to be replaced include RAS/WAS pumps and motors, and various mechanical equipment.</w:t>
            </w:r>
          </w:p>
        </w:tc>
        <w:tc>
          <w:tcPr>
            <w:tcW w:w="1442" w:type="dxa"/>
            <w:tcBorders>
              <w:top w:val="nil"/>
              <w:left w:val="nil"/>
              <w:bottom w:val="single" w:sz="6" w:space="0" w:color="auto"/>
              <w:right w:val="single" w:sz="6" w:space="0" w:color="auto"/>
            </w:tcBorders>
            <w:tcMar>
              <w:right w:w="144" w:type="dxa"/>
            </w:tcMar>
            <w:vAlign w:val="center"/>
          </w:tcPr>
          <w:p w14:paraId="7CA2ED72" w14:textId="77777777" w:rsidR="004776AB" w:rsidRPr="008A0812" w:rsidRDefault="004776AB" w:rsidP="00DB4BB5">
            <w:pPr>
              <w:overflowPunct/>
              <w:autoSpaceDE/>
              <w:autoSpaceDN/>
              <w:adjustRightInd/>
              <w:spacing w:before="60" w:after="60"/>
              <w:jc w:val="right"/>
            </w:pPr>
            <w:r w:rsidRPr="008A0812">
              <w:t>$1,135,000</w:t>
            </w:r>
          </w:p>
        </w:tc>
        <w:tc>
          <w:tcPr>
            <w:tcW w:w="1496" w:type="dxa"/>
            <w:tcBorders>
              <w:top w:val="nil"/>
              <w:left w:val="nil"/>
              <w:bottom w:val="single" w:sz="6" w:space="0" w:color="auto"/>
              <w:right w:val="single" w:sz="6" w:space="0" w:color="auto"/>
            </w:tcBorders>
            <w:tcMar>
              <w:right w:w="144" w:type="dxa"/>
            </w:tcMar>
            <w:vAlign w:val="center"/>
          </w:tcPr>
          <w:p w14:paraId="117C2541" w14:textId="77777777" w:rsidR="004776AB" w:rsidRPr="008A0812" w:rsidRDefault="004776AB" w:rsidP="00DB4BB5">
            <w:pPr>
              <w:overflowPunct/>
              <w:autoSpaceDE/>
              <w:autoSpaceDN/>
              <w:adjustRightInd/>
              <w:spacing w:before="60" w:after="60"/>
              <w:jc w:val="right"/>
            </w:pPr>
            <w:r w:rsidRPr="008A0812">
              <w:t>$1,900,000</w:t>
            </w:r>
          </w:p>
        </w:tc>
      </w:tr>
      <w:tr w:rsidR="004776AB" w:rsidRPr="008A0812" w14:paraId="5E94A82E"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445D856"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VFD R&amp;R</w:t>
            </w:r>
          </w:p>
        </w:tc>
        <w:tc>
          <w:tcPr>
            <w:tcW w:w="3967" w:type="dxa"/>
            <w:tcBorders>
              <w:top w:val="nil"/>
              <w:left w:val="nil"/>
              <w:bottom w:val="single" w:sz="6" w:space="0" w:color="auto"/>
              <w:right w:val="single" w:sz="6" w:space="0" w:color="auto"/>
            </w:tcBorders>
            <w:shd w:val="clear" w:color="auto" w:fill="auto"/>
            <w:hideMark/>
          </w:tcPr>
          <w:p w14:paraId="46893F1F"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Variable Frequency Drives. Assets to be replaced include VFD and instrumentation located at the Roots Blower Building and Tertiary Reservoir.</w:t>
            </w:r>
          </w:p>
        </w:tc>
        <w:tc>
          <w:tcPr>
            <w:tcW w:w="1442" w:type="dxa"/>
            <w:tcBorders>
              <w:top w:val="nil"/>
              <w:left w:val="nil"/>
              <w:bottom w:val="single" w:sz="6" w:space="0" w:color="auto"/>
              <w:right w:val="single" w:sz="6" w:space="0" w:color="auto"/>
            </w:tcBorders>
            <w:tcMar>
              <w:right w:w="144" w:type="dxa"/>
            </w:tcMar>
            <w:vAlign w:val="center"/>
          </w:tcPr>
          <w:p w14:paraId="1A4766F9" w14:textId="77777777" w:rsidR="004776AB" w:rsidRPr="008A0812" w:rsidRDefault="004776AB" w:rsidP="00DB4BB5">
            <w:pPr>
              <w:overflowPunct/>
              <w:autoSpaceDE/>
              <w:autoSpaceDN/>
              <w:adjustRightInd/>
              <w:spacing w:before="60" w:after="60"/>
              <w:jc w:val="right"/>
            </w:pPr>
            <w:r w:rsidRPr="008A0812">
              <w:t>$1,949,000</w:t>
            </w:r>
          </w:p>
        </w:tc>
        <w:tc>
          <w:tcPr>
            <w:tcW w:w="1496" w:type="dxa"/>
            <w:tcBorders>
              <w:top w:val="nil"/>
              <w:left w:val="nil"/>
              <w:bottom w:val="single" w:sz="6" w:space="0" w:color="auto"/>
              <w:right w:val="single" w:sz="6" w:space="0" w:color="auto"/>
            </w:tcBorders>
            <w:tcMar>
              <w:right w:w="144" w:type="dxa"/>
            </w:tcMar>
            <w:vAlign w:val="center"/>
          </w:tcPr>
          <w:p w14:paraId="404628B6" w14:textId="77777777" w:rsidR="004776AB" w:rsidRPr="008A0812" w:rsidRDefault="004776AB" w:rsidP="00DB4BB5">
            <w:pPr>
              <w:overflowPunct/>
              <w:autoSpaceDE/>
              <w:autoSpaceDN/>
              <w:adjustRightInd/>
              <w:spacing w:before="60" w:after="60"/>
              <w:jc w:val="right"/>
            </w:pPr>
            <w:r w:rsidRPr="008A0812">
              <w:t>$3,263,000</w:t>
            </w:r>
          </w:p>
        </w:tc>
      </w:tr>
      <w:tr w:rsidR="004776AB" w:rsidRPr="008A0812" w14:paraId="4F0C278A" w14:textId="77777777" w:rsidTr="0071434D">
        <w:trPr>
          <w:cantSplit/>
          <w:trHeight w:val="331"/>
          <w:jc w:val="center"/>
        </w:trPr>
        <w:tc>
          <w:tcPr>
            <w:tcW w:w="2426" w:type="dxa"/>
            <w:tcBorders>
              <w:top w:val="nil"/>
              <w:left w:val="single" w:sz="6" w:space="0" w:color="auto"/>
              <w:bottom w:val="single" w:sz="6" w:space="0" w:color="auto"/>
              <w:right w:val="single" w:sz="6" w:space="0" w:color="auto"/>
            </w:tcBorders>
            <w:shd w:val="clear" w:color="auto" w:fill="auto"/>
            <w:tcMar>
              <w:left w:w="72" w:type="dxa"/>
            </w:tcMar>
            <w:vAlign w:val="center"/>
          </w:tcPr>
          <w:p w14:paraId="0804D34B"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Units 1 and 2 R&amp;R</w:t>
            </w:r>
          </w:p>
        </w:tc>
        <w:tc>
          <w:tcPr>
            <w:tcW w:w="3967" w:type="dxa"/>
            <w:tcBorders>
              <w:top w:val="nil"/>
              <w:left w:val="nil"/>
              <w:bottom w:val="single" w:sz="6" w:space="0" w:color="auto"/>
              <w:right w:val="single" w:sz="6" w:space="0" w:color="auto"/>
            </w:tcBorders>
            <w:shd w:val="clear" w:color="auto" w:fill="auto"/>
          </w:tcPr>
          <w:p w14:paraId="3C2A8AE9"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Unit 1 and Unit 2 process. Assets to be replaced include diffusers, mixers, motors and miscellaneous mechanical equipment and instrumentation.</w:t>
            </w:r>
          </w:p>
        </w:tc>
        <w:tc>
          <w:tcPr>
            <w:tcW w:w="1442" w:type="dxa"/>
            <w:tcBorders>
              <w:top w:val="nil"/>
              <w:left w:val="nil"/>
              <w:bottom w:val="single" w:sz="6" w:space="0" w:color="auto"/>
              <w:right w:val="single" w:sz="6" w:space="0" w:color="auto"/>
            </w:tcBorders>
            <w:tcMar>
              <w:right w:w="144" w:type="dxa"/>
            </w:tcMar>
            <w:vAlign w:val="center"/>
          </w:tcPr>
          <w:p w14:paraId="471FDBFE" w14:textId="77777777" w:rsidR="004776AB" w:rsidRPr="008A0812" w:rsidRDefault="004776AB" w:rsidP="00DB4BB5">
            <w:pPr>
              <w:overflowPunct/>
              <w:autoSpaceDE/>
              <w:autoSpaceDN/>
              <w:adjustRightInd/>
              <w:spacing w:before="60" w:after="60"/>
              <w:jc w:val="right"/>
            </w:pPr>
            <w:r w:rsidRPr="008A0812">
              <w:t>$3,760,000</w:t>
            </w:r>
          </w:p>
        </w:tc>
        <w:tc>
          <w:tcPr>
            <w:tcW w:w="1496" w:type="dxa"/>
            <w:tcBorders>
              <w:top w:val="nil"/>
              <w:left w:val="nil"/>
              <w:bottom w:val="single" w:sz="6" w:space="0" w:color="auto"/>
              <w:right w:val="single" w:sz="6" w:space="0" w:color="auto"/>
            </w:tcBorders>
            <w:tcMar>
              <w:right w:w="144" w:type="dxa"/>
            </w:tcMar>
            <w:vAlign w:val="center"/>
          </w:tcPr>
          <w:p w14:paraId="2C4786D3" w14:textId="77777777" w:rsidR="004776AB" w:rsidRPr="008A0812" w:rsidRDefault="004776AB" w:rsidP="00DB4BB5">
            <w:pPr>
              <w:overflowPunct/>
              <w:autoSpaceDE/>
              <w:autoSpaceDN/>
              <w:adjustRightInd/>
              <w:spacing w:before="60" w:after="60"/>
              <w:jc w:val="right"/>
            </w:pPr>
            <w:r w:rsidRPr="008A0812">
              <w:t>$6,296,000</w:t>
            </w:r>
          </w:p>
        </w:tc>
      </w:tr>
      <w:tr w:rsidR="004776AB" w:rsidRPr="008A0812" w14:paraId="151BC859" w14:textId="77777777" w:rsidTr="0071434D">
        <w:trPr>
          <w:cantSplit/>
          <w:trHeight w:val="331"/>
          <w:jc w:val="center"/>
        </w:trPr>
        <w:tc>
          <w:tcPr>
            <w:tcW w:w="2426" w:type="dxa"/>
            <w:tcBorders>
              <w:top w:val="nil"/>
              <w:left w:val="single" w:sz="6" w:space="0" w:color="auto"/>
              <w:bottom w:val="single" w:sz="4" w:space="0" w:color="auto"/>
              <w:right w:val="single" w:sz="6" w:space="0" w:color="auto"/>
            </w:tcBorders>
            <w:shd w:val="clear" w:color="auto" w:fill="auto"/>
            <w:tcMar>
              <w:left w:w="72" w:type="dxa"/>
            </w:tcMar>
            <w:vAlign w:val="center"/>
          </w:tcPr>
          <w:p w14:paraId="2055BFA3" w14:textId="77777777" w:rsidR="004776AB" w:rsidRPr="008A0812" w:rsidRDefault="004776AB" w:rsidP="0071434D">
            <w:pPr>
              <w:overflowPunct/>
              <w:autoSpaceDE/>
              <w:autoSpaceDN/>
              <w:adjustRightInd/>
              <w:spacing w:before="60" w:after="60"/>
              <w:rPr>
                <w:rFonts w:asciiTheme="majorHAnsi" w:hAnsiTheme="majorHAnsi" w:cs="Segoe UI"/>
              </w:rPr>
            </w:pPr>
            <w:r w:rsidRPr="008A0812">
              <w:rPr>
                <w:rFonts w:asciiTheme="majorHAnsi" w:hAnsiTheme="majorHAnsi" w:cs="Segoe UI"/>
              </w:rPr>
              <w:t>Unit 3 R&amp;R</w:t>
            </w:r>
          </w:p>
        </w:tc>
        <w:tc>
          <w:tcPr>
            <w:tcW w:w="3967" w:type="dxa"/>
            <w:tcBorders>
              <w:top w:val="nil"/>
              <w:left w:val="nil"/>
              <w:bottom w:val="single" w:sz="4" w:space="0" w:color="auto"/>
              <w:right w:val="single" w:sz="6" w:space="0" w:color="auto"/>
            </w:tcBorders>
            <w:shd w:val="clear" w:color="auto" w:fill="auto"/>
          </w:tcPr>
          <w:p w14:paraId="14A59647" w14:textId="77777777" w:rsidR="004776AB" w:rsidRPr="008A0812" w:rsidRDefault="004776AB" w:rsidP="00DB4BB5">
            <w:pPr>
              <w:overflowPunct/>
              <w:autoSpaceDE/>
              <w:autoSpaceDN/>
              <w:adjustRightInd/>
              <w:spacing w:before="60" w:after="60"/>
              <w:ind w:left="90"/>
              <w:rPr>
                <w:rFonts w:asciiTheme="majorHAnsi" w:hAnsiTheme="majorHAnsi" w:cs="Segoe UI"/>
              </w:rPr>
            </w:pPr>
            <w:r w:rsidRPr="008A0812">
              <w:t>R&amp;R of aging assets associated with the Unit 3 primary process. Assets to be replaced include scum pumps, motors, grinders, and miscellaneous mechanical equipment and instrumentation.</w:t>
            </w:r>
          </w:p>
        </w:tc>
        <w:tc>
          <w:tcPr>
            <w:tcW w:w="1442" w:type="dxa"/>
            <w:tcBorders>
              <w:top w:val="nil"/>
              <w:left w:val="nil"/>
              <w:bottom w:val="single" w:sz="4" w:space="0" w:color="auto"/>
              <w:right w:val="single" w:sz="6" w:space="0" w:color="auto"/>
            </w:tcBorders>
            <w:tcMar>
              <w:right w:w="144" w:type="dxa"/>
            </w:tcMar>
            <w:vAlign w:val="center"/>
          </w:tcPr>
          <w:p w14:paraId="2F82CEE7" w14:textId="77777777" w:rsidR="004776AB" w:rsidRPr="008A0812" w:rsidRDefault="004776AB" w:rsidP="00DB4BB5">
            <w:pPr>
              <w:overflowPunct/>
              <w:autoSpaceDE/>
              <w:autoSpaceDN/>
              <w:adjustRightInd/>
              <w:spacing w:before="60" w:after="60"/>
              <w:jc w:val="right"/>
            </w:pPr>
            <w:r w:rsidRPr="008A0812">
              <w:t>$2,264,000</w:t>
            </w:r>
          </w:p>
        </w:tc>
        <w:tc>
          <w:tcPr>
            <w:tcW w:w="1496" w:type="dxa"/>
            <w:tcBorders>
              <w:top w:val="nil"/>
              <w:left w:val="nil"/>
              <w:bottom w:val="single" w:sz="4" w:space="0" w:color="auto"/>
              <w:right w:val="single" w:sz="6" w:space="0" w:color="auto"/>
            </w:tcBorders>
            <w:tcMar>
              <w:right w:w="144" w:type="dxa"/>
            </w:tcMar>
            <w:vAlign w:val="center"/>
          </w:tcPr>
          <w:p w14:paraId="484834BB" w14:textId="77777777" w:rsidR="004776AB" w:rsidRPr="008A0812" w:rsidRDefault="004776AB" w:rsidP="00DB4BB5">
            <w:pPr>
              <w:overflowPunct/>
              <w:autoSpaceDE/>
              <w:autoSpaceDN/>
              <w:adjustRightInd/>
              <w:spacing w:before="60" w:after="60"/>
              <w:jc w:val="right"/>
            </w:pPr>
            <w:r w:rsidRPr="008A0812">
              <w:t>$3,791,000</w:t>
            </w:r>
          </w:p>
        </w:tc>
      </w:tr>
      <w:tr w:rsidR="004776AB" w:rsidRPr="008A0812" w14:paraId="5E0BDAD6" w14:textId="77777777" w:rsidTr="001F6107">
        <w:trPr>
          <w:cantSplit/>
          <w:trHeight w:val="331"/>
          <w:jc w:val="center"/>
        </w:trPr>
        <w:tc>
          <w:tcPr>
            <w:tcW w:w="783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2" w:type="dxa"/>
            </w:tcMar>
          </w:tcPr>
          <w:p w14:paraId="65E1ACB6" w14:textId="77777777" w:rsidR="004776AB" w:rsidRPr="008A0812" w:rsidRDefault="004776AB" w:rsidP="00DB4BB5">
            <w:pPr>
              <w:overflowPunct/>
              <w:autoSpaceDE/>
              <w:autoSpaceDN/>
              <w:adjustRightInd/>
              <w:spacing w:before="60" w:after="60"/>
              <w:rPr>
                <w:b/>
              </w:rPr>
            </w:pPr>
            <w:r w:rsidRPr="008A0812">
              <w:rPr>
                <w:b/>
                <w:bCs/>
              </w:rPr>
              <w:t>Total Medium-Term Project Cost</w:t>
            </w:r>
          </w:p>
        </w:tc>
        <w:tc>
          <w:tcPr>
            <w:tcW w:w="149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right w:w="144" w:type="dxa"/>
            </w:tcMar>
            <w:vAlign w:val="center"/>
          </w:tcPr>
          <w:p w14:paraId="1DABACAB" w14:textId="7EABFDC8" w:rsidR="004776AB" w:rsidRPr="008A0812" w:rsidRDefault="0071434D" w:rsidP="00DB4BB5">
            <w:pPr>
              <w:overflowPunct/>
              <w:autoSpaceDE/>
              <w:autoSpaceDN/>
              <w:adjustRightInd/>
              <w:spacing w:before="60" w:after="60"/>
              <w:jc w:val="right"/>
              <w:rPr>
                <w:b/>
              </w:rPr>
            </w:pPr>
            <w:r w:rsidRPr="0071434D">
              <w:rPr>
                <w:b/>
                <w:bCs/>
              </w:rPr>
              <w:t>$85,919,000</w:t>
            </w:r>
          </w:p>
        </w:tc>
      </w:tr>
    </w:tbl>
    <w:p w14:paraId="4361642E" w14:textId="77777777" w:rsidR="00886623" w:rsidRPr="008A0812" w:rsidRDefault="00886623" w:rsidP="00886623">
      <w:pPr>
        <w:pStyle w:val="BodyText"/>
        <w:spacing w:after="0"/>
        <w:ind w:left="720"/>
        <w:rPr>
          <w:rFonts w:cs="Segoe UI"/>
          <w:sz w:val="20"/>
          <w:szCs w:val="20"/>
        </w:rPr>
      </w:pPr>
      <w:bookmarkStart w:id="737" w:name="_Toc23931774"/>
      <w:r w:rsidRPr="008A0812">
        <w:rPr>
          <w:rFonts w:cs="Segoe UI"/>
          <w:sz w:val="20"/>
          <w:szCs w:val="20"/>
        </w:rPr>
        <w:t>Notes:</w:t>
      </w:r>
    </w:p>
    <w:p w14:paraId="0A4D1540" w14:textId="57ED55E6" w:rsidR="00886623" w:rsidRPr="008A0812" w:rsidRDefault="00886623" w:rsidP="00886623">
      <w:pPr>
        <w:pStyle w:val="BodyText"/>
        <w:numPr>
          <w:ilvl w:val="0"/>
          <w:numId w:val="60"/>
        </w:numPr>
        <w:spacing w:before="0" w:after="0"/>
        <w:rPr>
          <w:rFonts w:cs="Segoe UI"/>
          <w:sz w:val="20"/>
          <w:szCs w:val="20"/>
        </w:rPr>
      </w:pPr>
      <w:r>
        <w:rPr>
          <w:rFonts w:cs="Segoe UI"/>
          <w:sz w:val="20"/>
          <w:szCs w:val="20"/>
        </w:rPr>
        <w:t xml:space="preserve">The Unit 3 Expansion and Completion </w:t>
      </w:r>
      <w:r w:rsidR="00CC61D6">
        <w:rPr>
          <w:rFonts w:cs="Segoe UI"/>
          <w:sz w:val="20"/>
          <w:szCs w:val="20"/>
        </w:rPr>
        <w:t xml:space="preserve">Phase I Construction </w:t>
      </w:r>
      <w:r>
        <w:rPr>
          <w:rFonts w:cs="Segoe UI"/>
          <w:sz w:val="20"/>
          <w:szCs w:val="20"/>
        </w:rPr>
        <w:t>spans the medium- and long-term ranges. The values in the table only present the costs from FY 2025/26 to 2029/30.</w:t>
      </w:r>
    </w:p>
    <w:p w14:paraId="07D71EDC" w14:textId="50403715" w:rsidR="004776AB" w:rsidRPr="008A0812" w:rsidRDefault="004776AB" w:rsidP="004776AB">
      <w:pPr>
        <w:pStyle w:val="Heading3"/>
        <w:keepNext w:val="0"/>
        <w:numPr>
          <w:ilvl w:val="2"/>
          <w:numId w:val="1"/>
        </w:numPr>
        <w:tabs>
          <w:tab w:val="clear" w:pos="720"/>
          <w:tab w:val="num" w:pos="360"/>
          <w:tab w:val="num" w:pos="1260"/>
        </w:tabs>
        <w:overflowPunct/>
        <w:autoSpaceDE/>
        <w:autoSpaceDN/>
        <w:adjustRightInd/>
        <w:ind w:left="986" w:hanging="446"/>
        <w:textAlignment w:val="auto"/>
      </w:pPr>
      <w:bookmarkStart w:id="738" w:name="_Toc41680953"/>
      <w:r w:rsidRPr="008A0812">
        <w:t>Recommended Long-Term Projects (11 to 20 Years)</w:t>
      </w:r>
      <w:bookmarkEnd w:id="737"/>
      <w:bookmarkEnd w:id="738"/>
    </w:p>
    <w:p w14:paraId="62C78C9A" w14:textId="5C75FBA3" w:rsidR="004776AB" w:rsidRPr="008A0812" w:rsidRDefault="004776AB" w:rsidP="004776AB">
      <w:pPr>
        <w:pStyle w:val="BodyText"/>
      </w:pPr>
      <w:r w:rsidRPr="008A0812">
        <w:t xml:space="preserve">This section lists projects that are recommended within the 11- to 20-year period (2030 through 2039). The cost for the </w:t>
      </w:r>
      <w:r w:rsidR="005A5E88" w:rsidRPr="008A0812">
        <w:t xml:space="preserve">Unit 3 Expansion and Completion </w:t>
      </w:r>
      <w:r w:rsidR="00780E13" w:rsidRPr="008A0812">
        <w:t>p</w:t>
      </w:r>
      <w:r w:rsidR="005A5E88" w:rsidRPr="008A0812">
        <w:t xml:space="preserve">roject </w:t>
      </w:r>
      <w:r w:rsidRPr="008A0812">
        <w:t xml:space="preserve">cost is discussed in Section </w:t>
      </w:r>
      <w:r w:rsidR="00245903" w:rsidRPr="008A0812">
        <w:fldChar w:fldCharType="begin"/>
      </w:r>
      <w:r w:rsidR="00245903" w:rsidRPr="008A0812">
        <w:instrText xml:space="preserve"> REF _Ref36403803 \r \h </w:instrText>
      </w:r>
      <w:r w:rsidR="008A0812">
        <w:instrText xml:space="preserve"> \* MERGEFORMAT </w:instrText>
      </w:r>
      <w:r w:rsidR="00245903" w:rsidRPr="008A0812">
        <w:fldChar w:fldCharType="separate"/>
      </w:r>
      <w:r w:rsidR="00AA68F8">
        <w:t></w:t>
      </w:r>
      <w:r w:rsidR="00245903" w:rsidRPr="008A0812">
        <w:fldChar w:fldCharType="end"/>
      </w:r>
      <w:r w:rsidRPr="008A0812">
        <w:t xml:space="preserve"> and outlined in CIP Sheet 2.4.</w:t>
      </w:r>
    </w:p>
    <w:p w14:paraId="225D8AF6" w14:textId="2CDF7C07" w:rsidR="004776AB" w:rsidRPr="008A0812" w:rsidRDefault="00AE02AD" w:rsidP="00AE02AD">
      <w:pPr>
        <w:pStyle w:val="BodyText"/>
      </w:pPr>
      <w:r w:rsidRPr="008A0812">
        <w:fldChar w:fldCharType="begin"/>
      </w:r>
      <w:r w:rsidRPr="008A0812">
        <w:instrText xml:space="preserve"> REF _Ref36403159 \h </w:instrText>
      </w:r>
      <w:r w:rsidR="008A0812">
        <w:instrText xml:space="preserve"> \* MERGEFORMAT </w:instrText>
      </w:r>
      <w:r w:rsidRPr="008A0812">
        <w:fldChar w:fldCharType="separate"/>
      </w:r>
      <w:r w:rsidR="00AA68F8" w:rsidRPr="008A0812">
        <w:t xml:space="preserve">Table </w:t>
      </w:r>
      <w:r w:rsidR="00AA68F8">
        <w:rPr>
          <w:noProof/>
        </w:rPr>
        <w:t>11</w:t>
      </w:r>
      <w:r w:rsidR="00AA68F8" w:rsidRPr="008A0812">
        <w:rPr>
          <w:noProof/>
        </w:rPr>
        <w:noBreakHyphen/>
      </w:r>
      <w:r w:rsidR="00AA68F8">
        <w:rPr>
          <w:noProof/>
        </w:rPr>
        <w:t>4</w:t>
      </w:r>
      <w:r w:rsidRPr="008A0812">
        <w:fldChar w:fldCharType="end"/>
      </w:r>
      <w:r w:rsidR="004776AB" w:rsidRPr="008A0812">
        <w:t xml:space="preserve"> provides construction and implementation costs for the projects over the 11- to 20-year time period. R&amp;R projects and costs were determined by compiling assets from the asset registry with less than 20 years of remaining useful life remaining that were not addressed in the short-term or medium-term projects. R&amp;R costs for Unit 1, Unit 2 North, Unit 2 South, and the NRC have been excluded from the long-term CIP recommended projects, since they are recommended to be abandoned </w:t>
      </w:r>
      <w:r w:rsidR="00780E13" w:rsidRPr="008A0812">
        <w:t>after completion of</w:t>
      </w:r>
      <w:r w:rsidR="004776AB" w:rsidRPr="008A0812">
        <w:t xml:space="preserve"> </w:t>
      </w:r>
      <w:r w:rsidR="005A5E88" w:rsidRPr="008A0812">
        <w:t xml:space="preserve">the Unit 3 Expansion and Completion </w:t>
      </w:r>
      <w:r w:rsidR="004776AB" w:rsidRPr="008A0812">
        <w:t>p</w:t>
      </w:r>
      <w:r w:rsidR="00780E13" w:rsidRPr="008A0812">
        <w:t>roject</w:t>
      </w:r>
      <w:r w:rsidR="004776AB" w:rsidRPr="008A0812">
        <w:t xml:space="preserve">. </w:t>
      </w:r>
    </w:p>
    <w:p w14:paraId="37DAFE8F" w14:textId="5A952D93" w:rsidR="00AE02AD" w:rsidRPr="008A0812" w:rsidRDefault="00AE02AD" w:rsidP="00AE02AD">
      <w:pPr>
        <w:pStyle w:val="TableHeading"/>
      </w:pPr>
      <w:bookmarkStart w:id="739" w:name="_Ref36403159"/>
      <w:bookmarkStart w:id="740" w:name="_Toc36414128"/>
      <w:bookmarkStart w:id="741" w:name="_Toc41684812"/>
      <w:r w:rsidRPr="008A0812">
        <w:t xml:space="preserve">Table </w:t>
      </w:r>
      <w:r>
        <w:fldChar w:fldCharType="begin"/>
      </w:r>
      <w:r>
        <w:instrText>STYLEREF 1 \s</w:instrText>
      </w:r>
      <w:r>
        <w:fldChar w:fldCharType="separate"/>
      </w:r>
      <w:r w:rsidR="00AA68F8">
        <w:rPr>
          <w:noProof/>
        </w:rPr>
        <w:t>11</w:t>
      </w:r>
      <w:r>
        <w:fldChar w:fldCharType="end"/>
      </w:r>
      <w:r w:rsidR="00524B10" w:rsidRPr="008A0812">
        <w:noBreakHyphen/>
      </w:r>
      <w:r>
        <w:fldChar w:fldCharType="begin"/>
      </w:r>
      <w:r>
        <w:instrText>SEQ Table \* ARABIC \s 1</w:instrText>
      </w:r>
      <w:r>
        <w:fldChar w:fldCharType="separate"/>
      </w:r>
      <w:r w:rsidR="00AA68F8">
        <w:rPr>
          <w:noProof/>
        </w:rPr>
        <w:t>4</w:t>
      </w:r>
      <w:r>
        <w:fldChar w:fldCharType="end"/>
      </w:r>
      <w:bookmarkEnd w:id="739"/>
      <w:r w:rsidRPr="008A0812">
        <w:t>: Recommended Long-Term Capital Improvement Projects</w:t>
      </w:r>
      <w:bookmarkEnd w:id="740"/>
      <w:bookmarkEnd w:id="741"/>
    </w:p>
    <w:tbl>
      <w:tblPr>
        <w:tblW w:w="93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49"/>
        <w:gridCol w:w="1541"/>
        <w:gridCol w:w="1541"/>
      </w:tblGrid>
      <w:tr w:rsidR="004776AB" w:rsidRPr="008A0812" w14:paraId="0443F132" w14:textId="77777777" w:rsidTr="004776AB">
        <w:trPr>
          <w:trHeight w:val="331"/>
          <w:tblHeader/>
        </w:trPr>
        <w:tc>
          <w:tcPr>
            <w:tcW w:w="6249" w:type="dxa"/>
            <w:tcBorders>
              <w:top w:val="single" w:sz="6" w:space="0" w:color="auto"/>
              <w:left w:val="single" w:sz="6" w:space="0" w:color="auto"/>
              <w:bottom w:val="single" w:sz="6" w:space="0" w:color="auto"/>
              <w:right w:val="single" w:sz="6" w:space="0" w:color="auto"/>
            </w:tcBorders>
            <w:shd w:val="clear" w:color="auto" w:fill="BFBFBF"/>
            <w:tcMar>
              <w:left w:w="72" w:type="dxa"/>
            </w:tcMar>
            <w:vAlign w:val="bottom"/>
            <w:hideMark/>
          </w:tcPr>
          <w:p w14:paraId="79A8B59D" w14:textId="77777777" w:rsidR="004776AB" w:rsidRPr="008A0812" w:rsidRDefault="004776AB" w:rsidP="004776AB">
            <w:pPr>
              <w:keepNext/>
              <w:overflowPunct/>
              <w:autoSpaceDE/>
              <w:autoSpaceDN/>
              <w:adjustRightInd/>
              <w:rPr>
                <w:rFonts w:asciiTheme="majorHAnsi" w:hAnsiTheme="majorHAnsi" w:cs="Segoe UI"/>
                <w:b/>
                <w:bCs/>
              </w:rPr>
            </w:pPr>
            <w:r w:rsidRPr="008A0812">
              <w:rPr>
                <w:rFonts w:asciiTheme="majorHAnsi" w:hAnsiTheme="majorHAnsi" w:cs="Segoe UI"/>
                <w:b/>
                <w:bCs/>
              </w:rPr>
              <w:t>CIP Project</w:t>
            </w:r>
          </w:p>
        </w:tc>
        <w:tc>
          <w:tcPr>
            <w:tcW w:w="1541" w:type="dxa"/>
            <w:tcBorders>
              <w:top w:val="single" w:sz="6" w:space="0" w:color="auto"/>
              <w:left w:val="nil"/>
              <w:bottom w:val="single" w:sz="6" w:space="0" w:color="auto"/>
              <w:right w:val="single" w:sz="6" w:space="0" w:color="auto"/>
            </w:tcBorders>
            <w:shd w:val="clear" w:color="auto" w:fill="BFBFBF"/>
            <w:vAlign w:val="bottom"/>
          </w:tcPr>
          <w:p w14:paraId="584C355B"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Construction Cost</w:t>
            </w:r>
          </w:p>
        </w:tc>
        <w:tc>
          <w:tcPr>
            <w:tcW w:w="1541" w:type="dxa"/>
            <w:tcBorders>
              <w:top w:val="single" w:sz="6" w:space="0" w:color="auto"/>
              <w:left w:val="nil"/>
              <w:bottom w:val="single" w:sz="6" w:space="0" w:color="auto"/>
              <w:right w:val="single" w:sz="6" w:space="0" w:color="auto"/>
            </w:tcBorders>
            <w:shd w:val="clear" w:color="auto" w:fill="BFBFBF"/>
            <w:vAlign w:val="bottom"/>
          </w:tcPr>
          <w:p w14:paraId="7EA7BE7E" w14:textId="77777777" w:rsidR="004776AB" w:rsidRPr="008A0812" w:rsidRDefault="004776AB" w:rsidP="004776AB">
            <w:pPr>
              <w:overflowPunct/>
              <w:autoSpaceDE/>
              <w:autoSpaceDN/>
              <w:adjustRightInd/>
              <w:jc w:val="center"/>
              <w:rPr>
                <w:rFonts w:asciiTheme="majorHAnsi" w:hAnsiTheme="majorHAnsi" w:cs="Segoe UI"/>
                <w:b/>
                <w:bCs/>
              </w:rPr>
            </w:pPr>
            <w:r w:rsidRPr="008A0812">
              <w:rPr>
                <w:rFonts w:asciiTheme="majorHAnsi" w:hAnsiTheme="majorHAnsi" w:cs="Segoe UI"/>
                <w:b/>
                <w:bCs/>
              </w:rPr>
              <w:t>Project           Cost</w:t>
            </w:r>
          </w:p>
        </w:tc>
      </w:tr>
      <w:tr w:rsidR="004776AB" w:rsidRPr="008A0812" w14:paraId="42C9E275" w14:textId="77777777" w:rsidTr="004776AB">
        <w:trPr>
          <w:trHeight w:hRule="exact" w:val="331"/>
        </w:trPr>
        <w:tc>
          <w:tcPr>
            <w:tcW w:w="9331"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3D88C3BC" w14:textId="77777777" w:rsidR="004776AB" w:rsidRPr="008A0812" w:rsidRDefault="004776AB" w:rsidP="004776AB">
            <w:pPr>
              <w:keepNext/>
              <w:overflowPunct/>
              <w:autoSpaceDE/>
              <w:autoSpaceDN/>
              <w:adjustRightInd/>
              <w:rPr>
                <w:rFonts w:asciiTheme="majorHAnsi" w:hAnsiTheme="majorHAnsi"/>
                <w:i/>
                <w:iCs/>
                <w:u w:val="single"/>
              </w:rPr>
            </w:pPr>
            <w:r w:rsidRPr="008A0812">
              <w:rPr>
                <w:rFonts w:asciiTheme="majorHAnsi" w:hAnsiTheme="majorHAnsi" w:cs="Segoe UI"/>
                <w:b/>
                <w:bCs/>
              </w:rPr>
              <w:t>Recommended Improvement Projects</w:t>
            </w:r>
          </w:p>
        </w:tc>
      </w:tr>
      <w:tr w:rsidR="0071434D" w:rsidRPr="008A0812" w14:paraId="3396A879" w14:textId="77777777" w:rsidTr="00B233D1">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6017034" w14:textId="37DD9AC1" w:rsidR="0071434D" w:rsidRPr="008A0812" w:rsidRDefault="0071434D" w:rsidP="0071434D">
            <w:pPr>
              <w:keepNext/>
              <w:overflowPunct/>
              <w:autoSpaceDE/>
              <w:autoSpaceDN/>
              <w:adjustRightInd/>
              <w:rPr>
                <w:rFonts w:asciiTheme="majorHAnsi" w:hAnsiTheme="majorHAnsi" w:cs="Segoe UI"/>
              </w:rPr>
            </w:pPr>
            <w:r w:rsidRPr="008A0812">
              <w:t>Unit 3 Expansion and Completion</w:t>
            </w:r>
            <w:r>
              <w:t xml:space="preserve"> Phase I</w:t>
            </w:r>
            <w:r w:rsidRPr="008A0812">
              <w:t xml:space="preserve"> </w:t>
            </w:r>
            <w:r w:rsidRPr="008A0812">
              <w:rPr>
                <w:rFonts w:asciiTheme="majorHAnsi" w:hAnsiTheme="majorHAnsi" w:cs="Segoe UI"/>
              </w:rPr>
              <w:t>– Construction</w:t>
            </w:r>
            <w:r w:rsidRPr="00886623">
              <w:rPr>
                <w:rFonts w:asciiTheme="majorHAnsi" w:hAnsiTheme="majorHAnsi" w:cs="Segoe UI"/>
                <w:vertAlign w:val="superscript"/>
              </w:rPr>
              <w:t>1</w:t>
            </w:r>
          </w:p>
        </w:tc>
        <w:tc>
          <w:tcPr>
            <w:tcW w:w="1541" w:type="dxa"/>
            <w:tcBorders>
              <w:top w:val="nil"/>
              <w:left w:val="nil"/>
              <w:bottom w:val="single" w:sz="6" w:space="0" w:color="auto"/>
              <w:right w:val="single" w:sz="6" w:space="0" w:color="auto"/>
            </w:tcBorders>
            <w:tcMar>
              <w:right w:w="144" w:type="dxa"/>
            </w:tcMar>
          </w:tcPr>
          <w:p w14:paraId="103A6298" w14:textId="1CCA4B17" w:rsidR="0071434D" w:rsidRPr="008A0812" w:rsidRDefault="0071434D" w:rsidP="0071434D">
            <w:pPr>
              <w:overflowPunct/>
              <w:autoSpaceDE/>
              <w:autoSpaceDN/>
              <w:adjustRightInd/>
              <w:spacing w:before="60" w:after="60"/>
              <w:jc w:val="right"/>
              <w:rPr>
                <w:rFonts w:asciiTheme="majorHAnsi" w:hAnsiTheme="majorHAnsi"/>
              </w:rPr>
            </w:pPr>
            <w:r w:rsidRPr="00451EF2">
              <w:t xml:space="preserve"> $31,250,000 </w:t>
            </w:r>
          </w:p>
        </w:tc>
        <w:tc>
          <w:tcPr>
            <w:tcW w:w="1541" w:type="dxa"/>
            <w:tcBorders>
              <w:top w:val="nil"/>
              <w:left w:val="nil"/>
              <w:bottom w:val="single" w:sz="6" w:space="0" w:color="auto"/>
              <w:right w:val="single" w:sz="6" w:space="0" w:color="auto"/>
            </w:tcBorders>
            <w:tcMar>
              <w:right w:w="144" w:type="dxa"/>
            </w:tcMar>
          </w:tcPr>
          <w:p w14:paraId="2AE523AF" w14:textId="41907076" w:rsidR="0071434D" w:rsidRPr="008A0812" w:rsidRDefault="0071434D" w:rsidP="0071434D">
            <w:pPr>
              <w:overflowPunct/>
              <w:autoSpaceDE/>
              <w:autoSpaceDN/>
              <w:adjustRightInd/>
              <w:spacing w:before="60" w:after="60"/>
              <w:jc w:val="right"/>
              <w:rPr>
                <w:rFonts w:asciiTheme="majorHAnsi" w:hAnsiTheme="majorHAnsi"/>
              </w:rPr>
            </w:pPr>
            <w:r w:rsidRPr="00451EF2">
              <w:t xml:space="preserve"> $35,937,000 </w:t>
            </w:r>
          </w:p>
        </w:tc>
      </w:tr>
      <w:tr w:rsidR="0071434D" w:rsidRPr="008A0812" w14:paraId="7A32478C" w14:textId="77777777" w:rsidTr="00B233D1">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tcPr>
          <w:p w14:paraId="134D6A5F" w14:textId="05E1AFCD" w:rsidR="0071434D" w:rsidRPr="008A0812" w:rsidRDefault="0071434D" w:rsidP="0071434D">
            <w:pPr>
              <w:keepNext/>
              <w:overflowPunct/>
              <w:autoSpaceDE/>
              <w:autoSpaceDN/>
              <w:adjustRightInd/>
            </w:pPr>
            <w:r w:rsidRPr="008A0812">
              <w:t>Unit 3 Expansion and Completion</w:t>
            </w:r>
            <w:r>
              <w:t xml:space="preserve"> Phase II</w:t>
            </w:r>
            <w:r w:rsidRPr="008A0812">
              <w:t xml:space="preserve"> </w:t>
            </w:r>
            <w:r w:rsidRPr="008A0812">
              <w:rPr>
                <w:rFonts w:asciiTheme="majorHAnsi" w:hAnsiTheme="majorHAnsi" w:cs="Segoe UI"/>
              </w:rPr>
              <w:t xml:space="preserve">– </w:t>
            </w:r>
            <w:r>
              <w:rPr>
                <w:rFonts w:asciiTheme="majorHAnsi" w:hAnsiTheme="majorHAnsi" w:cs="Segoe UI"/>
              </w:rPr>
              <w:t>Design</w:t>
            </w:r>
          </w:p>
        </w:tc>
        <w:tc>
          <w:tcPr>
            <w:tcW w:w="1541" w:type="dxa"/>
            <w:tcBorders>
              <w:top w:val="nil"/>
              <w:left w:val="nil"/>
              <w:bottom w:val="single" w:sz="6" w:space="0" w:color="auto"/>
              <w:right w:val="single" w:sz="6" w:space="0" w:color="auto"/>
            </w:tcBorders>
            <w:tcMar>
              <w:right w:w="144" w:type="dxa"/>
            </w:tcMar>
          </w:tcPr>
          <w:p w14:paraId="1BF67357" w14:textId="7F2BBA5F" w:rsidR="0071434D" w:rsidRPr="009D2DD9" w:rsidRDefault="0071434D" w:rsidP="0071434D">
            <w:pPr>
              <w:overflowPunct/>
              <w:autoSpaceDE/>
              <w:autoSpaceDN/>
              <w:adjustRightInd/>
              <w:spacing w:before="60" w:after="60"/>
              <w:jc w:val="right"/>
            </w:pPr>
            <w:r>
              <w:t>$ -</w:t>
            </w:r>
          </w:p>
        </w:tc>
        <w:tc>
          <w:tcPr>
            <w:tcW w:w="1541" w:type="dxa"/>
            <w:tcBorders>
              <w:top w:val="nil"/>
              <w:left w:val="nil"/>
              <w:bottom w:val="single" w:sz="6" w:space="0" w:color="auto"/>
              <w:right w:val="single" w:sz="6" w:space="0" w:color="auto"/>
            </w:tcBorders>
            <w:tcMar>
              <w:right w:w="144" w:type="dxa"/>
            </w:tcMar>
          </w:tcPr>
          <w:p w14:paraId="58B38641" w14:textId="5D37358F" w:rsidR="0071434D" w:rsidRPr="009D2DD9" w:rsidRDefault="0071434D" w:rsidP="0071434D">
            <w:pPr>
              <w:overflowPunct/>
              <w:autoSpaceDE/>
              <w:autoSpaceDN/>
              <w:adjustRightInd/>
              <w:spacing w:before="60" w:after="60"/>
              <w:jc w:val="right"/>
            </w:pPr>
            <w:r w:rsidRPr="00451EF2">
              <w:t xml:space="preserve"> $3,047,000 </w:t>
            </w:r>
          </w:p>
        </w:tc>
      </w:tr>
      <w:tr w:rsidR="0071434D" w:rsidRPr="008A0812" w14:paraId="2A901C80" w14:textId="77777777" w:rsidTr="00B233D1">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tcPr>
          <w:p w14:paraId="27BA7F4E" w14:textId="65962707" w:rsidR="0071434D" w:rsidRPr="008A0812" w:rsidRDefault="0071434D" w:rsidP="0071434D">
            <w:pPr>
              <w:keepNext/>
              <w:overflowPunct/>
              <w:autoSpaceDE/>
              <w:autoSpaceDN/>
              <w:adjustRightInd/>
            </w:pPr>
            <w:r w:rsidRPr="008A0812">
              <w:t>Unit 3 Expansion and Completion</w:t>
            </w:r>
            <w:r>
              <w:t xml:space="preserve"> Phase II</w:t>
            </w:r>
            <w:r w:rsidRPr="008A0812">
              <w:t xml:space="preserve"> </w:t>
            </w:r>
            <w:r w:rsidRPr="008A0812">
              <w:rPr>
                <w:rFonts w:asciiTheme="majorHAnsi" w:hAnsiTheme="majorHAnsi" w:cs="Segoe UI"/>
              </w:rPr>
              <w:t>– Construction</w:t>
            </w:r>
          </w:p>
        </w:tc>
        <w:tc>
          <w:tcPr>
            <w:tcW w:w="1541" w:type="dxa"/>
            <w:tcBorders>
              <w:top w:val="nil"/>
              <w:left w:val="nil"/>
              <w:bottom w:val="single" w:sz="6" w:space="0" w:color="auto"/>
              <w:right w:val="single" w:sz="6" w:space="0" w:color="auto"/>
            </w:tcBorders>
            <w:tcMar>
              <w:right w:w="144" w:type="dxa"/>
            </w:tcMar>
          </w:tcPr>
          <w:p w14:paraId="38B2A203" w14:textId="2A0E8EDC" w:rsidR="0071434D" w:rsidRPr="009D2DD9" w:rsidRDefault="0071434D" w:rsidP="0071434D">
            <w:pPr>
              <w:overflowPunct/>
              <w:autoSpaceDE/>
              <w:autoSpaceDN/>
              <w:adjustRightInd/>
              <w:spacing w:before="60" w:after="60"/>
              <w:jc w:val="right"/>
            </w:pPr>
            <w:r w:rsidRPr="00451EF2">
              <w:t xml:space="preserve"> $23,437,500 </w:t>
            </w:r>
          </w:p>
        </w:tc>
        <w:tc>
          <w:tcPr>
            <w:tcW w:w="1541" w:type="dxa"/>
            <w:tcBorders>
              <w:top w:val="nil"/>
              <w:left w:val="nil"/>
              <w:bottom w:val="single" w:sz="6" w:space="0" w:color="auto"/>
              <w:right w:val="single" w:sz="6" w:space="0" w:color="auto"/>
            </w:tcBorders>
            <w:tcMar>
              <w:right w:w="144" w:type="dxa"/>
            </w:tcMar>
          </w:tcPr>
          <w:p w14:paraId="37FE1C4A" w14:textId="0B8B5495" w:rsidR="0071434D" w:rsidRPr="009D2DD9" w:rsidRDefault="0071434D" w:rsidP="0071434D">
            <w:pPr>
              <w:overflowPunct/>
              <w:autoSpaceDE/>
              <w:autoSpaceDN/>
              <w:adjustRightInd/>
              <w:spacing w:before="60" w:after="60"/>
              <w:jc w:val="right"/>
            </w:pPr>
            <w:r w:rsidRPr="00451EF2">
              <w:t xml:space="preserve"> $26,953,000 </w:t>
            </w:r>
          </w:p>
        </w:tc>
      </w:tr>
      <w:tr w:rsidR="004776AB" w:rsidRPr="008A0812" w14:paraId="1F265BA2" w14:textId="77777777" w:rsidTr="004776AB">
        <w:trPr>
          <w:trHeight w:hRule="exact" w:val="331"/>
        </w:trPr>
        <w:tc>
          <w:tcPr>
            <w:tcW w:w="9331"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72" w:type="dxa"/>
            </w:tcMar>
            <w:vAlign w:val="center"/>
            <w:hideMark/>
          </w:tcPr>
          <w:p w14:paraId="35C9F0C4" w14:textId="77777777" w:rsidR="004776AB" w:rsidRPr="008A0812" w:rsidRDefault="004776AB" w:rsidP="004776AB">
            <w:pPr>
              <w:overflowPunct/>
              <w:autoSpaceDE/>
              <w:autoSpaceDN/>
              <w:adjustRightInd/>
              <w:rPr>
                <w:rFonts w:asciiTheme="majorHAnsi" w:hAnsiTheme="majorHAnsi" w:cs="Segoe UI"/>
                <w:b/>
                <w:bCs/>
              </w:rPr>
            </w:pPr>
            <w:r w:rsidRPr="008A0812">
              <w:rPr>
                <w:rFonts w:asciiTheme="majorHAnsi" w:hAnsiTheme="majorHAnsi" w:cs="Segoe UI"/>
                <w:b/>
                <w:bCs/>
              </w:rPr>
              <w:t>R&amp;R Projects</w:t>
            </w:r>
          </w:p>
        </w:tc>
      </w:tr>
      <w:tr w:rsidR="004776AB" w:rsidRPr="008A0812" w14:paraId="0F5CE6A2"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1D9613D2"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HVAC and Misc. Mechanical Asset R&amp;R</w:t>
            </w:r>
          </w:p>
        </w:tc>
        <w:tc>
          <w:tcPr>
            <w:tcW w:w="1541" w:type="dxa"/>
            <w:tcBorders>
              <w:top w:val="nil"/>
              <w:left w:val="nil"/>
              <w:bottom w:val="single" w:sz="6" w:space="0" w:color="auto"/>
              <w:right w:val="single" w:sz="6" w:space="0" w:color="auto"/>
            </w:tcBorders>
            <w:tcMar>
              <w:right w:w="144" w:type="dxa"/>
            </w:tcMar>
            <w:vAlign w:val="center"/>
          </w:tcPr>
          <w:p w14:paraId="21831B16" w14:textId="77777777" w:rsidR="004776AB" w:rsidRPr="008A0812" w:rsidRDefault="004776AB" w:rsidP="00DB4BB5">
            <w:pPr>
              <w:keepNext/>
              <w:keepLines/>
              <w:overflowPunct/>
              <w:autoSpaceDE/>
              <w:autoSpaceDN/>
              <w:adjustRightInd/>
              <w:spacing w:before="60" w:after="60"/>
              <w:jc w:val="right"/>
              <w:rPr>
                <w:rFonts w:asciiTheme="majorHAnsi" w:hAnsiTheme="majorHAnsi"/>
              </w:rPr>
            </w:pPr>
            <w:r w:rsidRPr="008A0812">
              <w:rPr>
                <w:rFonts w:asciiTheme="majorHAnsi" w:hAnsiTheme="majorHAnsi"/>
              </w:rPr>
              <w:t>$5,307,000</w:t>
            </w:r>
          </w:p>
        </w:tc>
        <w:tc>
          <w:tcPr>
            <w:tcW w:w="1541" w:type="dxa"/>
            <w:tcBorders>
              <w:top w:val="nil"/>
              <w:left w:val="nil"/>
              <w:bottom w:val="single" w:sz="6" w:space="0" w:color="auto"/>
              <w:right w:val="single" w:sz="6" w:space="0" w:color="auto"/>
            </w:tcBorders>
            <w:tcMar>
              <w:right w:w="144" w:type="dxa"/>
            </w:tcMar>
            <w:vAlign w:val="center"/>
          </w:tcPr>
          <w:p w14:paraId="3DB2CC85" w14:textId="77777777" w:rsidR="004776AB" w:rsidRPr="008A0812" w:rsidRDefault="004776AB" w:rsidP="00DB4BB5">
            <w:pPr>
              <w:keepNext/>
              <w:keepLines/>
              <w:overflowPunct/>
              <w:autoSpaceDE/>
              <w:autoSpaceDN/>
              <w:adjustRightInd/>
              <w:spacing w:before="60" w:after="60"/>
              <w:jc w:val="right"/>
              <w:rPr>
                <w:rFonts w:asciiTheme="majorHAnsi" w:hAnsiTheme="majorHAnsi"/>
              </w:rPr>
            </w:pPr>
            <w:r w:rsidRPr="008A0812">
              <w:rPr>
                <w:rFonts w:asciiTheme="majorHAnsi" w:hAnsiTheme="majorHAnsi"/>
              </w:rPr>
              <w:t>$8,886,000</w:t>
            </w:r>
          </w:p>
        </w:tc>
      </w:tr>
      <w:tr w:rsidR="004776AB" w:rsidRPr="008A0812" w14:paraId="3EB82E46" w14:textId="77777777" w:rsidTr="00780E13">
        <w:trPr>
          <w:trHeight w:hRule="exact" w:val="331"/>
        </w:trPr>
        <w:tc>
          <w:tcPr>
            <w:tcW w:w="6249" w:type="dxa"/>
            <w:tcBorders>
              <w:top w:val="single" w:sz="6" w:space="0" w:color="auto"/>
              <w:left w:val="single" w:sz="6" w:space="0" w:color="auto"/>
              <w:bottom w:val="single" w:sz="6" w:space="0" w:color="auto"/>
              <w:right w:val="single" w:sz="6" w:space="0" w:color="auto"/>
            </w:tcBorders>
            <w:shd w:val="clear" w:color="auto" w:fill="auto"/>
            <w:tcMar>
              <w:left w:w="72" w:type="dxa"/>
            </w:tcMar>
            <w:vAlign w:val="center"/>
            <w:hideMark/>
          </w:tcPr>
          <w:p w14:paraId="7A087FEF"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Instrumentation R&amp;R</w:t>
            </w:r>
          </w:p>
        </w:tc>
        <w:tc>
          <w:tcPr>
            <w:tcW w:w="1541" w:type="dxa"/>
            <w:tcBorders>
              <w:top w:val="single" w:sz="6" w:space="0" w:color="auto"/>
              <w:left w:val="nil"/>
              <w:bottom w:val="single" w:sz="6" w:space="0" w:color="auto"/>
              <w:right w:val="single" w:sz="6" w:space="0" w:color="auto"/>
            </w:tcBorders>
            <w:tcMar>
              <w:right w:w="144" w:type="dxa"/>
            </w:tcMar>
            <w:vAlign w:val="center"/>
          </w:tcPr>
          <w:p w14:paraId="3320DEAC"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$11,424,000</w:t>
            </w:r>
          </w:p>
        </w:tc>
        <w:tc>
          <w:tcPr>
            <w:tcW w:w="1541" w:type="dxa"/>
            <w:tcBorders>
              <w:top w:val="single" w:sz="6" w:space="0" w:color="auto"/>
              <w:left w:val="nil"/>
              <w:bottom w:val="single" w:sz="6" w:space="0" w:color="auto"/>
              <w:right w:val="single" w:sz="6" w:space="0" w:color="auto"/>
            </w:tcBorders>
            <w:tcMar>
              <w:right w:w="144" w:type="dxa"/>
            </w:tcMar>
            <w:vAlign w:val="center"/>
          </w:tcPr>
          <w:p w14:paraId="0F0B473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$19,128,000</w:t>
            </w:r>
          </w:p>
        </w:tc>
      </w:tr>
      <w:tr w:rsidR="004776AB" w:rsidRPr="008A0812" w14:paraId="56A626CC"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AD401BB"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General Site Civil</w:t>
            </w:r>
          </w:p>
        </w:tc>
        <w:tc>
          <w:tcPr>
            <w:tcW w:w="1541" w:type="dxa"/>
            <w:tcBorders>
              <w:top w:val="nil"/>
              <w:left w:val="nil"/>
              <w:bottom w:val="single" w:sz="6" w:space="0" w:color="auto"/>
              <w:right w:val="single" w:sz="6" w:space="0" w:color="auto"/>
            </w:tcBorders>
            <w:tcMar>
              <w:right w:w="144" w:type="dxa"/>
            </w:tcMar>
            <w:vAlign w:val="center"/>
          </w:tcPr>
          <w:p w14:paraId="725335A7"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$571,000</w:t>
            </w:r>
          </w:p>
        </w:tc>
        <w:tc>
          <w:tcPr>
            <w:tcW w:w="1541" w:type="dxa"/>
            <w:tcBorders>
              <w:top w:val="nil"/>
              <w:left w:val="nil"/>
              <w:bottom w:val="single" w:sz="6" w:space="0" w:color="auto"/>
              <w:right w:val="single" w:sz="6" w:space="0" w:color="auto"/>
            </w:tcBorders>
            <w:tcMar>
              <w:right w:w="144" w:type="dxa"/>
            </w:tcMar>
            <w:vAlign w:val="center"/>
          </w:tcPr>
          <w:p w14:paraId="7D3E35E2"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$956,000</w:t>
            </w:r>
          </w:p>
        </w:tc>
      </w:tr>
      <w:tr w:rsidR="004776AB" w:rsidRPr="008A0812" w14:paraId="2F6CB08E"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3F2B3827"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Solids Handling R&amp;R</w:t>
            </w:r>
          </w:p>
        </w:tc>
        <w:tc>
          <w:tcPr>
            <w:tcW w:w="1541" w:type="dxa"/>
            <w:tcBorders>
              <w:top w:val="nil"/>
              <w:left w:val="nil"/>
              <w:bottom w:val="single" w:sz="6" w:space="0" w:color="auto"/>
              <w:right w:val="single" w:sz="6" w:space="0" w:color="auto"/>
            </w:tcBorders>
            <w:tcMar>
              <w:right w:w="144" w:type="dxa"/>
            </w:tcMar>
            <w:vAlign w:val="center"/>
          </w:tcPr>
          <w:p w14:paraId="7815F40D"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$21,945,000</w:t>
            </w:r>
          </w:p>
        </w:tc>
        <w:tc>
          <w:tcPr>
            <w:tcW w:w="1541" w:type="dxa"/>
            <w:tcBorders>
              <w:top w:val="nil"/>
              <w:left w:val="nil"/>
              <w:bottom w:val="single" w:sz="6" w:space="0" w:color="auto"/>
              <w:right w:val="single" w:sz="6" w:space="0" w:color="auto"/>
            </w:tcBorders>
            <w:tcMar>
              <w:right w:w="144" w:type="dxa"/>
            </w:tcMar>
            <w:vAlign w:val="center"/>
          </w:tcPr>
          <w:p w14:paraId="7D40864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$36,745,000</w:t>
            </w:r>
          </w:p>
        </w:tc>
      </w:tr>
      <w:tr w:rsidR="004776AB" w:rsidRPr="008A0812" w14:paraId="4452DCC2"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tcPr>
          <w:p w14:paraId="77BE122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Lift Station R&amp;R</w:t>
            </w:r>
          </w:p>
        </w:tc>
        <w:tc>
          <w:tcPr>
            <w:tcW w:w="1541" w:type="dxa"/>
            <w:tcBorders>
              <w:top w:val="nil"/>
              <w:left w:val="nil"/>
              <w:bottom w:val="single" w:sz="6" w:space="0" w:color="auto"/>
              <w:right w:val="single" w:sz="6" w:space="0" w:color="auto"/>
            </w:tcBorders>
            <w:tcMar>
              <w:right w:w="144" w:type="dxa"/>
            </w:tcMar>
            <w:vAlign w:val="center"/>
          </w:tcPr>
          <w:p w14:paraId="51CC12F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$4,599,000</w:t>
            </w:r>
          </w:p>
        </w:tc>
        <w:tc>
          <w:tcPr>
            <w:tcW w:w="1541" w:type="dxa"/>
            <w:tcBorders>
              <w:top w:val="nil"/>
              <w:left w:val="nil"/>
              <w:bottom w:val="single" w:sz="6" w:space="0" w:color="auto"/>
              <w:right w:val="single" w:sz="6" w:space="0" w:color="auto"/>
            </w:tcBorders>
            <w:tcMar>
              <w:right w:w="144" w:type="dxa"/>
            </w:tcMar>
            <w:vAlign w:val="center"/>
          </w:tcPr>
          <w:p w14:paraId="1D00D75D"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$7,701,000</w:t>
            </w:r>
          </w:p>
        </w:tc>
      </w:tr>
      <w:tr w:rsidR="004776AB" w:rsidRPr="008A0812" w14:paraId="6E04FF93"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tcPr>
          <w:p w14:paraId="39EBCD60"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Digester C &amp; D R&amp;R</w:t>
            </w:r>
          </w:p>
        </w:tc>
        <w:tc>
          <w:tcPr>
            <w:tcW w:w="1541" w:type="dxa"/>
            <w:tcBorders>
              <w:top w:val="nil"/>
              <w:left w:val="nil"/>
              <w:bottom w:val="single" w:sz="6" w:space="0" w:color="auto"/>
              <w:right w:val="single" w:sz="6" w:space="0" w:color="auto"/>
            </w:tcBorders>
            <w:tcMar>
              <w:right w:w="144" w:type="dxa"/>
            </w:tcMar>
            <w:vAlign w:val="center"/>
          </w:tcPr>
          <w:p w14:paraId="2632BFFB"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$1,153,000</w:t>
            </w:r>
          </w:p>
        </w:tc>
        <w:tc>
          <w:tcPr>
            <w:tcW w:w="1541" w:type="dxa"/>
            <w:tcBorders>
              <w:top w:val="nil"/>
              <w:left w:val="nil"/>
              <w:bottom w:val="single" w:sz="6" w:space="0" w:color="auto"/>
              <w:right w:val="single" w:sz="6" w:space="0" w:color="auto"/>
            </w:tcBorders>
            <w:tcMar>
              <w:right w:w="144" w:type="dxa"/>
            </w:tcMar>
            <w:vAlign w:val="center"/>
          </w:tcPr>
          <w:p w14:paraId="03FBCD70"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$1,931,000</w:t>
            </w:r>
          </w:p>
        </w:tc>
      </w:tr>
      <w:tr w:rsidR="004776AB" w:rsidRPr="008A0812" w14:paraId="22DFB62C"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50CDABF4"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Paving R&amp;R</w:t>
            </w:r>
          </w:p>
        </w:tc>
        <w:tc>
          <w:tcPr>
            <w:tcW w:w="1541" w:type="dxa"/>
            <w:tcBorders>
              <w:top w:val="nil"/>
              <w:left w:val="nil"/>
              <w:bottom w:val="single" w:sz="6" w:space="0" w:color="auto"/>
              <w:right w:val="single" w:sz="6" w:space="0" w:color="auto"/>
            </w:tcBorders>
            <w:tcMar>
              <w:right w:w="144" w:type="dxa"/>
            </w:tcMar>
            <w:vAlign w:val="center"/>
          </w:tcPr>
          <w:p w14:paraId="7D4A8BB9"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$661,000</w:t>
            </w:r>
          </w:p>
        </w:tc>
        <w:tc>
          <w:tcPr>
            <w:tcW w:w="1541" w:type="dxa"/>
            <w:tcBorders>
              <w:top w:val="nil"/>
              <w:left w:val="nil"/>
              <w:bottom w:val="single" w:sz="6" w:space="0" w:color="auto"/>
              <w:right w:val="single" w:sz="6" w:space="0" w:color="auto"/>
            </w:tcBorders>
            <w:tcMar>
              <w:right w:w="144" w:type="dxa"/>
            </w:tcMar>
            <w:vAlign w:val="center"/>
          </w:tcPr>
          <w:p w14:paraId="2FDF417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$1,107,000</w:t>
            </w:r>
          </w:p>
        </w:tc>
      </w:tr>
      <w:tr w:rsidR="004776AB" w:rsidRPr="008A0812" w14:paraId="5526C9C3"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7B5C6915"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Headworks R&amp;R</w:t>
            </w:r>
          </w:p>
        </w:tc>
        <w:tc>
          <w:tcPr>
            <w:tcW w:w="1541" w:type="dxa"/>
            <w:tcBorders>
              <w:top w:val="nil"/>
              <w:left w:val="nil"/>
              <w:bottom w:val="single" w:sz="6" w:space="0" w:color="auto"/>
              <w:right w:val="single" w:sz="6" w:space="0" w:color="auto"/>
            </w:tcBorders>
            <w:tcMar>
              <w:right w:w="144" w:type="dxa"/>
            </w:tcMar>
            <w:vAlign w:val="center"/>
          </w:tcPr>
          <w:p w14:paraId="23384630"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$6,032,000</w:t>
            </w:r>
          </w:p>
        </w:tc>
        <w:tc>
          <w:tcPr>
            <w:tcW w:w="1541" w:type="dxa"/>
            <w:tcBorders>
              <w:top w:val="nil"/>
              <w:left w:val="nil"/>
              <w:bottom w:val="single" w:sz="6" w:space="0" w:color="auto"/>
              <w:right w:val="single" w:sz="6" w:space="0" w:color="auto"/>
            </w:tcBorders>
            <w:tcMar>
              <w:right w:w="144" w:type="dxa"/>
            </w:tcMar>
            <w:vAlign w:val="center"/>
          </w:tcPr>
          <w:p w14:paraId="40E96725"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$10,100,000</w:t>
            </w:r>
          </w:p>
        </w:tc>
      </w:tr>
      <w:tr w:rsidR="004776AB" w:rsidRPr="008A0812" w14:paraId="6F282060" w14:textId="77777777" w:rsidTr="00780E13">
        <w:trPr>
          <w:trHeight w:hRule="exact" w:val="331"/>
        </w:trPr>
        <w:tc>
          <w:tcPr>
            <w:tcW w:w="6249" w:type="dxa"/>
            <w:tcBorders>
              <w:top w:val="nil"/>
              <w:left w:val="single" w:sz="6" w:space="0" w:color="auto"/>
              <w:bottom w:val="single" w:sz="6" w:space="0" w:color="auto"/>
              <w:right w:val="single" w:sz="6" w:space="0" w:color="auto"/>
            </w:tcBorders>
            <w:shd w:val="clear" w:color="auto" w:fill="auto"/>
            <w:tcMar>
              <w:left w:w="72" w:type="dxa"/>
            </w:tcMar>
            <w:vAlign w:val="center"/>
            <w:hideMark/>
          </w:tcPr>
          <w:p w14:paraId="4C171714"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VFD R&amp;R</w:t>
            </w:r>
          </w:p>
        </w:tc>
        <w:tc>
          <w:tcPr>
            <w:tcW w:w="1541" w:type="dxa"/>
            <w:tcBorders>
              <w:top w:val="nil"/>
              <w:left w:val="nil"/>
              <w:bottom w:val="single" w:sz="6" w:space="0" w:color="auto"/>
              <w:right w:val="single" w:sz="6" w:space="0" w:color="auto"/>
            </w:tcBorders>
            <w:tcMar>
              <w:right w:w="144" w:type="dxa"/>
            </w:tcMar>
            <w:vAlign w:val="center"/>
          </w:tcPr>
          <w:p w14:paraId="2CDD40EB"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$3,722,000</w:t>
            </w:r>
          </w:p>
        </w:tc>
        <w:tc>
          <w:tcPr>
            <w:tcW w:w="1541" w:type="dxa"/>
            <w:tcBorders>
              <w:top w:val="nil"/>
              <w:left w:val="nil"/>
              <w:bottom w:val="single" w:sz="6" w:space="0" w:color="auto"/>
              <w:right w:val="single" w:sz="6" w:space="0" w:color="auto"/>
            </w:tcBorders>
            <w:tcMar>
              <w:right w:w="144" w:type="dxa"/>
            </w:tcMar>
            <w:vAlign w:val="center"/>
          </w:tcPr>
          <w:p w14:paraId="3F104B5E"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$6,232,000</w:t>
            </w:r>
          </w:p>
        </w:tc>
      </w:tr>
      <w:tr w:rsidR="004776AB" w:rsidRPr="008A0812" w14:paraId="02EFB30F" w14:textId="77777777" w:rsidTr="00780E13">
        <w:trPr>
          <w:trHeight w:hRule="exact" w:val="331"/>
        </w:trPr>
        <w:tc>
          <w:tcPr>
            <w:tcW w:w="6249" w:type="dxa"/>
            <w:tcBorders>
              <w:top w:val="nil"/>
              <w:left w:val="single" w:sz="6" w:space="0" w:color="auto"/>
              <w:bottom w:val="single" w:sz="4" w:space="0" w:color="auto"/>
              <w:right w:val="single" w:sz="6" w:space="0" w:color="auto"/>
            </w:tcBorders>
            <w:shd w:val="clear" w:color="auto" w:fill="auto"/>
            <w:tcMar>
              <w:left w:w="72" w:type="dxa"/>
            </w:tcMar>
            <w:vAlign w:val="center"/>
          </w:tcPr>
          <w:p w14:paraId="716EEACC" w14:textId="77777777" w:rsidR="004776AB" w:rsidRPr="008A0812" w:rsidRDefault="004776AB" w:rsidP="004776AB">
            <w:pPr>
              <w:overflowPunct/>
              <w:autoSpaceDE/>
              <w:autoSpaceDN/>
              <w:adjustRightInd/>
              <w:rPr>
                <w:rFonts w:asciiTheme="majorHAnsi" w:hAnsiTheme="majorHAnsi" w:cs="Segoe UI"/>
              </w:rPr>
            </w:pPr>
            <w:r w:rsidRPr="008A0812">
              <w:rPr>
                <w:rFonts w:asciiTheme="majorHAnsi" w:hAnsiTheme="majorHAnsi" w:cs="Segoe UI"/>
              </w:rPr>
              <w:t>Unit 3 R&amp;R</w:t>
            </w:r>
          </w:p>
        </w:tc>
        <w:tc>
          <w:tcPr>
            <w:tcW w:w="1541" w:type="dxa"/>
            <w:tcBorders>
              <w:top w:val="nil"/>
              <w:left w:val="nil"/>
              <w:bottom w:val="single" w:sz="4" w:space="0" w:color="auto"/>
              <w:right w:val="single" w:sz="6" w:space="0" w:color="auto"/>
            </w:tcBorders>
            <w:tcMar>
              <w:right w:w="144" w:type="dxa"/>
            </w:tcMar>
            <w:vAlign w:val="center"/>
          </w:tcPr>
          <w:p w14:paraId="473291EA"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$1,576,000</w:t>
            </w:r>
          </w:p>
        </w:tc>
        <w:tc>
          <w:tcPr>
            <w:tcW w:w="1541" w:type="dxa"/>
            <w:tcBorders>
              <w:top w:val="nil"/>
              <w:left w:val="nil"/>
              <w:bottom w:val="single" w:sz="4" w:space="0" w:color="auto"/>
              <w:right w:val="single" w:sz="6" w:space="0" w:color="auto"/>
            </w:tcBorders>
            <w:tcMar>
              <w:right w:w="144" w:type="dxa"/>
            </w:tcMar>
            <w:vAlign w:val="center"/>
          </w:tcPr>
          <w:p w14:paraId="7A1496F2" w14:textId="77777777" w:rsidR="004776AB" w:rsidRPr="008A0812" w:rsidRDefault="004776AB" w:rsidP="00DB4BB5">
            <w:pPr>
              <w:overflowPunct/>
              <w:autoSpaceDE/>
              <w:autoSpaceDN/>
              <w:adjustRightInd/>
              <w:spacing w:before="60" w:after="60"/>
              <w:jc w:val="right"/>
              <w:rPr>
                <w:rFonts w:asciiTheme="majorHAnsi" w:hAnsiTheme="majorHAnsi"/>
              </w:rPr>
            </w:pPr>
            <w:r w:rsidRPr="008A0812">
              <w:rPr>
                <w:rFonts w:asciiTheme="majorHAnsi" w:hAnsiTheme="majorHAnsi"/>
              </w:rPr>
              <w:t>$2,639,000</w:t>
            </w:r>
          </w:p>
        </w:tc>
      </w:tr>
      <w:tr w:rsidR="004776AB" w:rsidRPr="008A0812" w14:paraId="60DF6836" w14:textId="77777777" w:rsidTr="00780E13">
        <w:trPr>
          <w:trHeight w:hRule="exact" w:val="331"/>
        </w:trPr>
        <w:tc>
          <w:tcPr>
            <w:tcW w:w="77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2" w:type="dxa"/>
            </w:tcMar>
          </w:tcPr>
          <w:p w14:paraId="40B504B7" w14:textId="77777777" w:rsidR="004776AB" w:rsidRPr="008A0812" w:rsidRDefault="004776AB" w:rsidP="00DB4BB5">
            <w:pPr>
              <w:overflowPunct/>
              <w:autoSpaceDE/>
              <w:autoSpaceDN/>
              <w:adjustRightInd/>
              <w:spacing w:before="60" w:after="60"/>
              <w:rPr>
                <w:rFonts w:asciiTheme="majorHAnsi" w:hAnsiTheme="majorHAnsi"/>
              </w:rPr>
            </w:pPr>
            <w:r w:rsidRPr="008A0812">
              <w:rPr>
                <w:b/>
                <w:bCs/>
              </w:rPr>
              <w:t>Total Long-Term Project Cost</w:t>
            </w:r>
          </w:p>
        </w:tc>
        <w:tc>
          <w:tcPr>
            <w:tcW w:w="1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right w:w="144" w:type="dxa"/>
            </w:tcMar>
            <w:vAlign w:val="center"/>
          </w:tcPr>
          <w:p w14:paraId="7B82B825" w14:textId="70D61EB5" w:rsidR="004776AB" w:rsidRPr="008A0812" w:rsidRDefault="0071434D" w:rsidP="00DB4BB5">
            <w:pPr>
              <w:overflowPunct/>
              <w:autoSpaceDE/>
              <w:autoSpaceDN/>
              <w:adjustRightInd/>
              <w:spacing w:before="60" w:after="60"/>
              <w:jc w:val="right"/>
              <w:rPr>
                <w:rFonts w:asciiTheme="majorHAnsi" w:hAnsiTheme="majorHAnsi"/>
              </w:rPr>
            </w:pPr>
            <w:r w:rsidRPr="0071434D">
              <w:rPr>
                <w:b/>
                <w:bCs/>
              </w:rPr>
              <w:t>$161,362,000</w:t>
            </w:r>
          </w:p>
        </w:tc>
      </w:tr>
    </w:tbl>
    <w:p w14:paraId="0E0C183F" w14:textId="77777777" w:rsidR="00886623" w:rsidRPr="008A0812" w:rsidRDefault="00886623" w:rsidP="00886623">
      <w:pPr>
        <w:pStyle w:val="BodyText"/>
        <w:spacing w:after="0"/>
        <w:ind w:left="720"/>
        <w:rPr>
          <w:rFonts w:cs="Segoe UI"/>
          <w:sz w:val="20"/>
          <w:szCs w:val="20"/>
        </w:rPr>
      </w:pPr>
      <w:bookmarkStart w:id="742" w:name="_Toc23931775"/>
      <w:r w:rsidRPr="008A0812">
        <w:rPr>
          <w:rFonts w:cs="Segoe UI"/>
          <w:sz w:val="20"/>
          <w:szCs w:val="20"/>
        </w:rPr>
        <w:t>Notes:</w:t>
      </w:r>
    </w:p>
    <w:p w14:paraId="010AF086" w14:textId="7DD6A9E6" w:rsidR="00886623" w:rsidRPr="008A0812" w:rsidRDefault="00886623" w:rsidP="00886623">
      <w:pPr>
        <w:pStyle w:val="BodyText"/>
        <w:numPr>
          <w:ilvl w:val="0"/>
          <w:numId w:val="61"/>
        </w:numPr>
        <w:spacing w:before="0" w:after="0"/>
        <w:rPr>
          <w:rFonts w:cs="Segoe UI"/>
          <w:sz w:val="20"/>
          <w:szCs w:val="20"/>
        </w:rPr>
      </w:pPr>
      <w:r>
        <w:rPr>
          <w:rFonts w:cs="Segoe UI"/>
          <w:sz w:val="20"/>
          <w:szCs w:val="20"/>
        </w:rPr>
        <w:t xml:space="preserve">The Unit 3 Expansion and Completion </w:t>
      </w:r>
      <w:r w:rsidR="00CC61D6">
        <w:rPr>
          <w:rFonts w:cs="Segoe UI"/>
          <w:sz w:val="20"/>
          <w:szCs w:val="20"/>
        </w:rPr>
        <w:t>Phase I Construction</w:t>
      </w:r>
      <w:r>
        <w:rPr>
          <w:rFonts w:cs="Segoe UI"/>
          <w:sz w:val="20"/>
          <w:szCs w:val="20"/>
        </w:rPr>
        <w:t xml:space="preserve"> spans the medium- and long-term ranges. The values in the table only present the costs from FY 2030/31 to 2031/32.</w:t>
      </w:r>
    </w:p>
    <w:p w14:paraId="75ADDAB9" w14:textId="7A797F98" w:rsidR="004776AB" w:rsidRPr="008A0812" w:rsidRDefault="004776AB" w:rsidP="004776AB">
      <w:pPr>
        <w:pStyle w:val="Heading2"/>
        <w:numPr>
          <w:ilvl w:val="1"/>
          <w:numId w:val="1"/>
        </w:numPr>
        <w:tabs>
          <w:tab w:val="clear" w:pos="547"/>
          <w:tab w:val="num" w:pos="446"/>
        </w:tabs>
      </w:pPr>
      <w:bookmarkStart w:id="743" w:name="_Toc41680954"/>
      <w:r w:rsidRPr="008A0812">
        <w:t>CIP Summary</w:t>
      </w:r>
      <w:bookmarkEnd w:id="742"/>
      <w:bookmarkEnd w:id="743"/>
    </w:p>
    <w:p w14:paraId="29ACD5C2" w14:textId="6DBCA8A6" w:rsidR="004776AB" w:rsidRPr="008A0812" w:rsidRDefault="00AE02AD" w:rsidP="004776AB">
      <w:pPr>
        <w:pStyle w:val="BodyText"/>
      </w:pPr>
      <w:r w:rsidRPr="008A0812">
        <w:fldChar w:fldCharType="begin"/>
      </w:r>
      <w:r w:rsidRPr="008A0812">
        <w:instrText xml:space="preserve"> REF _Ref36403550 \h </w:instrText>
      </w:r>
      <w:r w:rsidR="008A0812">
        <w:instrText xml:space="preserve"> \* MERGEFORMAT </w:instrText>
      </w:r>
      <w:r w:rsidRPr="008A0812">
        <w:fldChar w:fldCharType="separate"/>
      </w:r>
      <w:r w:rsidR="00AA68F8" w:rsidRPr="008A0812">
        <w:t xml:space="preserve">Figure </w:t>
      </w:r>
      <w:r w:rsidR="00AA68F8">
        <w:rPr>
          <w:noProof/>
        </w:rPr>
        <w:t>11</w:t>
      </w:r>
      <w:r w:rsidR="00AA68F8">
        <w:rPr>
          <w:noProof/>
        </w:rPr>
        <w:noBreakHyphen/>
        <w:t>5</w:t>
      </w:r>
      <w:r w:rsidRPr="008A0812">
        <w:fldChar w:fldCharType="end"/>
      </w:r>
      <w:r w:rsidR="004776AB" w:rsidRPr="008A0812">
        <w:t xml:space="preserve"> depicts the next 20 years of CIP project costs summarized in annual costs and cumulative costs. The increase in capital spending from 2028 to 2031 is f</w:t>
      </w:r>
      <w:r w:rsidR="00780E13" w:rsidRPr="008A0812">
        <w:t xml:space="preserve">rom the Unit 3 Expansion and Completion project. </w:t>
      </w:r>
      <w:r w:rsidR="004776AB" w:rsidRPr="008A0812">
        <w:t xml:space="preserve">R&amp;R costs after FY 2031/2032 are assumed to be spread out evenly across each year due to unknown scheduling more than 10 years in the future. </w:t>
      </w:r>
    </w:p>
    <w:p w14:paraId="6B451CA7" w14:textId="0F22DA9A" w:rsidR="004776AB" w:rsidRPr="008A0812" w:rsidRDefault="004776AB" w:rsidP="00AE02AD">
      <w:pPr>
        <w:pStyle w:val="BodyText"/>
      </w:pPr>
      <w:r w:rsidRPr="008A0812">
        <w:t>Approximately $</w:t>
      </w:r>
      <w:r w:rsidR="0071434D">
        <w:t>30</w:t>
      </w:r>
      <w:r w:rsidRPr="008A0812">
        <w:t>5 million in project costs and R&amp;R is expected for the SBWRP over the next 20 years.</w:t>
      </w:r>
    </w:p>
    <w:p w14:paraId="356450BD" w14:textId="58EA0449" w:rsidR="00AE02AD" w:rsidRPr="008A0812" w:rsidRDefault="00AE02AD" w:rsidP="00AF40CB">
      <w:pPr>
        <w:pStyle w:val="FigureHeading"/>
      </w:pPr>
      <w:bookmarkStart w:id="744" w:name="_Ref36403550"/>
      <w:bookmarkStart w:id="745" w:name="_Toc36414129"/>
      <w:bookmarkStart w:id="746" w:name="_Toc41684720"/>
      <w:r w:rsidRPr="008A0812">
        <w:t xml:space="preserve">Figure </w:t>
      </w:r>
      <w:fldSimple w:instr=" STYLEREF 1 \s ">
        <w:r w:rsidR="00AA68F8">
          <w:rPr>
            <w:noProof/>
          </w:rPr>
          <w:t>11</w:t>
        </w:r>
      </w:fldSimple>
      <w:r w:rsidR="00B233D1">
        <w:noBreakHyphen/>
      </w:r>
      <w:fldSimple w:instr=" SEQ Figure \* ARABIC \s 1 ">
        <w:r w:rsidR="00AA68F8">
          <w:rPr>
            <w:noProof/>
          </w:rPr>
          <w:t>5</w:t>
        </w:r>
      </w:fldSimple>
      <w:bookmarkEnd w:id="744"/>
      <w:r w:rsidRPr="008A0812">
        <w:t>: Total Recommended Project and R&amp;R Costs – 20 Year</w:t>
      </w:r>
      <w:bookmarkStart w:id="747" w:name="_Ref20730810"/>
      <w:bookmarkEnd w:id="745"/>
      <w:bookmarkEnd w:id="746"/>
    </w:p>
    <w:p w14:paraId="0284867B" w14:textId="460169DF" w:rsidR="0035247D" w:rsidRPr="008A0812" w:rsidRDefault="00ED28BC" w:rsidP="0035247D">
      <w:pPr>
        <w:overflowPunct/>
        <w:autoSpaceDE/>
        <w:autoSpaceDN/>
        <w:adjustRightInd/>
        <w:textAlignment w:val="auto"/>
        <w:rPr>
          <w:rFonts w:ascii="Times New Roman" w:hAnsi="Times New Roman"/>
          <w:sz w:val="24"/>
          <w:szCs w:val="24"/>
        </w:rPr>
      </w:pPr>
      <w:r>
        <w:rPr>
          <w:rFonts w:ascii="Times New Roman" w:hAnsi="Times New Roman"/>
          <w:noProof/>
          <w:sz w:val="24"/>
          <w:szCs w:val="24"/>
        </w:rPr>
        <w:drawing>
          <wp:inline distT="0" distB="0" distL="0" distR="0" wp14:anchorId="5C3F056F" wp14:editId="512399F0">
            <wp:extent cx="5943600" cy="4484018"/>
            <wp:effectExtent l="0" t="0" r="0" b="0"/>
            <wp:docPr id="2060776823" name="Picture 206077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60522" cy="4496785"/>
                    </a:xfrm>
                    <a:prstGeom prst="rect">
                      <a:avLst/>
                    </a:prstGeom>
                    <a:noFill/>
                  </pic:spPr>
                </pic:pic>
              </a:graphicData>
            </a:graphic>
          </wp:inline>
        </w:drawing>
      </w:r>
    </w:p>
    <w:p w14:paraId="556925D5" w14:textId="03FAD46C" w:rsidR="004776AB" w:rsidRPr="008A0812" w:rsidRDefault="004776AB" w:rsidP="004776AB">
      <w:pPr>
        <w:pStyle w:val="BodyText"/>
        <w:keepNext/>
        <w:rPr>
          <w:b/>
          <w:caps/>
          <w:sz w:val="36"/>
          <w:szCs w:val="36"/>
        </w:rPr>
      </w:pPr>
    </w:p>
    <w:p w14:paraId="5C3C849E" w14:textId="77777777" w:rsidR="00FB7201" w:rsidRPr="008A0812" w:rsidRDefault="00FB7201" w:rsidP="00FB7201">
      <w:pPr>
        <w:pStyle w:val="BodyText"/>
      </w:pPr>
    </w:p>
    <w:bookmarkEnd w:id="747"/>
    <w:p w14:paraId="0D82D1F8" w14:textId="32CD2B17" w:rsidR="0035247D" w:rsidRPr="008A0812" w:rsidRDefault="0035247D" w:rsidP="0035247D">
      <w:pPr>
        <w:overflowPunct/>
        <w:autoSpaceDE/>
        <w:autoSpaceDN/>
        <w:adjustRightInd/>
        <w:textAlignment w:val="auto"/>
        <w:rPr>
          <w:rFonts w:ascii="Times New Roman" w:hAnsi="Times New Roman"/>
          <w:sz w:val="24"/>
          <w:szCs w:val="24"/>
        </w:rPr>
      </w:pPr>
    </w:p>
    <w:p w14:paraId="0ECBE8AD" w14:textId="217F7C38" w:rsidR="0035247D" w:rsidRPr="008A0812" w:rsidRDefault="0035247D" w:rsidP="0035247D">
      <w:pPr>
        <w:overflowPunct/>
        <w:autoSpaceDE/>
        <w:autoSpaceDN/>
        <w:adjustRightInd/>
        <w:textAlignment w:val="auto"/>
        <w:rPr>
          <w:rFonts w:ascii="Times New Roman" w:hAnsi="Times New Roman"/>
          <w:sz w:val="24"/>
          <w:szCs w:val="24"/>
        </w:rPr>
      </w:pPr>
    </w:p>
    <w:p w14:paraId="249650E9" w14:textId="3CC4EEC4" w:rsidR="00197E45" w:rsidRPr="008A0812" w:rsidRDefault="00197E45" w:rsidP="00471300">
      <w:pPr>
        <w:pStyle w:val="BodyText"/>
        <w:sectPr w:rsidR="00197E45" w:rsidRPr="008A0812" w:rsidSect="00B233D1">
          <w:headerReference w:type="default" r:id="rId109"/>
          <w:footnotePr>
            <w:numRestart w:val="eachPage"/>
          </w:footnotePr>
          <w:endnotePr>
            <w:numFmt w:val="decimal"/>
          </w:endnotePr>
          <w:pgSz w:w="12240" w:h="15840" w:code="1"/>
          <w:pgMar w:top="1800" w:right="1440" w:bottom="1440" w:left="1440" w:header="720" w:footer="360" w:gutter="0"/>
          <w:pgNumType w:chapStyle="1"/>
          <w:cols w:space="720"/>
          <w:noEndnote/>
          <w:docGrid w:linePitch="299"/>
        </w:sectPr>
      </w:pPr>
    </w:p>
    <w:p w14:paraId="35AABF6E" w14:textId="25AFAD4C" w:rsidR="00471300" w:rsidRPr="008A0812" w:rsidRDefault="005920CD" w:rsidP="00F3407E">
      <w:pPr>
        <w:pStyle w:val="Heading1"/>
      </w:pPr>
      <w:bookmarkStart w:id="748" w:name="_Toc41680955"/>
      <w:r w:rsidRPr="008A0812">
        <w:t>References</w:t>
      </w:r>
      <w:bookmarkEnd w:id="748"/>
    </w:p>
    <w:p w14:paraId="3ECD1741" w14:textId="1658C540" w:rsidR="003C2921" w:rsidRPr="008A0812" w:rsidRDefault="003C2921" w:rsidP="003C2921">
      <w:pPr>
        <w:pStyle w:val="BodyText"/>
        <w:ind w:left="360" w:hanging="360"/>
      </w:pPr>
      <w:r w:rsidRPr="008A0812">
        <w:t>AECOM. (2019). Draft Preliminary Design Report, Tertiary Treatment System.</w:t>
      </w:r>
      <w:r w:rsidR="000D2D44" w:rsidRPr="008A0812">
        <w:t xml:space="preserve"> </w:t>
      </w:r>
    </w:p>
    <w:p w14:paraId="6693D50E" w14:textId="5797C544" w:rsidR="001239C2" w:rsidRPr="008A0812" w:rsidRDefault="001239C2" w:rsidP="001239C2">
      <w:pPr>
        <w:pStyle w:val="BodyText"/>
        <w:ind w:left="360" w:hanging="360"/>
      </w:pPr>
      <w:r w:rsidRPr="008A0812">
        <w:t xml:space="preserve">AECOM. (2019, October). San Bernardino Municipal Water Department, Tertiary Treatment System, Design Plans (Progress Set) </w:t>
      </w:r>
    </w:p>
    <w:p w14:paraId="2D85CBE9" w14:textId="549AB72C" w:rsidR="003C2921" w:rsidRPr="008A0812" w:rsidRDefault="002B6D7C" w:rsidP="003C2921">
      <w:pPr>
        <w:pStyle w:val="BodyText"/>
        <w:ind w:left="360" w:hanging="360"/>
      </w:pPr>
      <w:r w:rsidRPr="008A0812">
        <w:t>Black</w:t>
      </w:r>
      <w:r w:rsidR="003C2921" w:rsidRPr="008A0812">
        <w:t xml:space="preserve"> &amp; Veatch. (2012, August). Preliminary Design Report, Overhaul of Unit 1 Primary and Aeration System Project at the San Bernardino Water Reclamation Plant. B&amp;V Project No. 176264. </w:t>
      </w:r>
    </w:p>
    <w:p w14:paraId="495623AB" w14:textId="66BD6EBF" w:rsidR="009F7007" w:rsidRPr="008A0812" w:rsidRDefault="003C2921" w:rsidP="003C2921">
      <w:pPr>
        <w:pStyle w:val="BodyText"/>
        <w:ind w:left="360" w:hanging="360"/>
      </w:pPr>
      <w:r w:rsidRPr="008A0812">
        <w:t xml:space="preserve">California Legislative Information. (2017-2018). AB-967 Human remains disposal: alkaline hydrolysis: licensure and regulation. Retrieved from </w:t>
      </w:r>
      <w:hyperlink r:id="rId110" w:history="1">
        <w:r w:rsidR="009F7007" w:rsidRPr="008A0812">
          <w:rPr>
            <w:rStyle w:val="Hyperlink"/>
          </w:rPr>
          <w:t>https://leginfo.legislature.ca.gov/faces/billTextClient.xhtml?bill_id=201720180AB967</w:t>
        </w:r>
      </w:hyperlink>
    </w:p>
    <w:p w14:paraId="51842918" w14:textId="77777777" w:rsidR="003C2921" w:rsidRPr="008A0812" w:rsidRDefault="003C2921" w:rsidP="003C2921">
      <w:pPr>
        <w:pStyle w:val="BodyText"/>
        <w:ind w:left="360" w:hanging="360"/>
      </w:pPr>
      <w:r w:rsidRPr="008A0812">
        <w:t xml:space="preserve">California Regional Water Quality Control Board, Santa Ana Region. (2013, August 1). Waste Discharge Requirements for the Colton/San Bernardino Tertiary Treatment and Water Reclamation Authority, Regional Tertiary Treatment Rapid Infiltration and Extraction Facility. </w:t>
      </w:r>
    </w:p>
    <w:p w14:paraId="0C7B0A54" w14:textId="77777777" w:rsidR="003C2921" w:rsidRPr="008A0812" w:rsidRDefault="003C2921" w:rsidP="003C2921">
      <w:pPr>
        <w:pStyle w:val="BodyText"/>
        <w:ind w:left="360" w:hanging="360"/>
      </w:pPr>
      <w:r w:rsidRPr="008A0812">
        <w:t xml:space="preserve">California Regional Water Quality Control Board, Santa Ana Region. (2016, December 16). Colton/San Bernardino Tertiary Treatment Rapid Infiltration and Extraction Facility: Update on Operational Impacts to Santa Ana Sucker. </w:t>
      </w:r>
    </w:p>
    <w:p w14:paraId="4FD022F1" w14:textId="4E2D71B1" w:rsidR="003C2921" w:rsidRPr="008A0812" w:rsidRDefault="003C2921" w:rsidP="003C2921">
      <w:pPr>
        <w:pStyle w:val="BodyText"/>
        <w:ind w:left="360" w:hanging="360"/>
      </w:pPr>
      <w:r w:rsidRPr="008A0812">
        <w:t xml:space="preserve">California Regional Water Quality Control Board, Santa Ana Region. (2017, December 15). Waste Discharge Requirements for the City of San Bernardino Municipal Water Department Water Reclamation Facility, Order No. R8-2017-0049, NPDES No. CA0105392. </w:t>
      </w:r>
    </w:p>
    <w:p w14:paraId="406F7336" w14:textId="2E5A0632" w:rsidR="002D4131" w:rsidRPr="008A0812" w:rsidRDefault="002D4131" w:rsidP="002D4131">
      <w:pPr>
        <w:pStyle w:val="BodyText"/>
        <w:ind w:left="360" w:hanging="360"/>
      </w:pPr>
      <w:r w:rsidRPr="008A0812">
        <w:t>Carollo. (</w:t>
      </w:r>
      <w:r w:rsidR="00E47BA7" w:rsidRPr="008A0812">
        <w:t>2000, August</w:t>
      </w:r>
      <w:r w:rsidRPr="008A0812">
        <w:t xml:space="preserve">). </w:t>
      </w:r>
      <w:r w:rsidR="00E47BA7" w:rsidRPr="008A0812">
        <w:t xml:space="preserve">City of San Bernardino </w:t>
      </w:r>
      <w:r w:rsidRPr="008A0812">
        <w:t>Operations &amp; Maintenance Manual</w:t>
      </w:r>
      <w:r w:rsidR="00E47BA7" w:rsidRPr="008A0812">
        <w:t>, Water Reclamation Plant</w:t>
      </w:r>
      <w:r w:rsidRPr="008A0812">
        <w:t xml:space="preserve">. </w:t>
      </w:r>
    </w:p>
    <w:p w14:paraId="7275F69A" w14:textId="4C58DA26" w:rsidR="003C2921" w:rsidRPr="008A0812" w:rsidRDefault="003C2921" w:rsidP="003C2921">
      <w:pPr>
        <w:pStyle w:val="BodyText"/>
        <w:ind w:left="360" w:hanging="360"/>
      </w:pPr>
      <w:r w:rsidRPr="008A0812">
        <w:t xml:space="preserve">Carollo. (2011, September). Overhaul of Unit 1 Primary Clarifier and Aeration System, San Bernardino Municipal Water Department. Technical Memorandum No. 1, Project Development, Final. </w:t>
      </w:r>
    </w:p>
    <w:p w14:paraId="252978D2" w14:textId="68A78E8C" w:rsidR="0055783D" w:rsidRPr="008A0812" w:rsidRDefault="0055783D" w:rsidP="0055783D">
      <w:pPr>
        <w:pStyle w:val="BodyText"/>
        <w:ind w:left="360" w:hanging="360"/>
      </w:pPr>
      <w:r w:rsidRPr="008A0812">
        <w:t xml:space="preserve">Carollo. (2016, November). Process Master Plan for the Water Pollution Control Facility. </w:t>
      </w:r>
    </w:p>
    <w:p w14:paraId="4D909986" w14:textId="77777777" w:rsidR="003C2921" w:rsidRPr="008A0812" w:rsidRDefault="003C2921" w:rsidP="003C2921">
      <w:pPr>
        <w:pStyle w:val="BodyText"/>
        <w:ind w:left="360" w:hanging="360"/>
      </w:pPr>
      <w:r w:rsidRPr="008A0812">
        <w:t xml:space="preserve">Carollo. (2018, May). Digester Gas Beneficial Use Study, San Bernardino Water Reclamation Plant. </w:t>
      </w:r>
    </w:p>
    <w:p w14:paraId="0697855E" w14:textId="740C6D45" w:rsidR="003C2921" w:rsidRPr="008A0812" w:rsidRDefault="003C2921" w:rsidP="003C2921">
      <w:pPr>
        <w:pStyle w:val="BodyText"/>
        <w:ind w:left="360" w:hanging="360"/>
      </w:pPr>
      <w:r w:rsidRPr="008A0812">
        <w:t xml:space="preserve">Colton/San Bernardino Tertiary Treatment and Reclamation Authority. (August 2018 - July 2019). RIX DMR </w:t>
      </w:r>
      <w:r w:rsidR="00DE07B2" w:rsidRPr="008A0812">
        <w:t>Data.</w:t>
      </w:r>
      <w:r w:rsidRPr="008A0812">
        <w:t xml:space="preserve"> </w:t>
      </w:r>
    </w:p>
    <w:p w14:paraId="33233AB2" w14:textId="1C21C0C9" w:rsidR="003C2921" w:rsidRPr="008A0812" w:rsidRDefault="003C2921" w:rsidP="003C2921">
      <w:pPr>
        <w:pStyle w:val="BodyText"/>
        <w:ind w:left="360" w:hanging="360"/>
      </w:pPr>
      <w:r w:rsidRPr="008A0812">
        <w:t xml:space="preserve">Hazen and Sawyer. (2019, May 9). Spec 1696, Rule 1110.2 Resultant Projects, Preliminary Design Report. </w:t>
      </w:r>
    </w:p>
    <w:p w14:paraId="55EDA680" w14:textId="21937D9C" w:rsidR="00780E13" w:rsidRPr="008A0812" w:rsidRDefault="00780E13" w:rsidP="009F7007">
      <w:pPr>
        <w:pStyle w:val="BodyText"/>
        <w:ind w:left="360" w:hanging="360"/>
      </w:pPr>
      <w:r w:rsidRPr="008A0812">
        <w:t xml:space="preserve">Hazen and Sawyer. (2020, March 27). </w:t>
      </w:r>
      <w:r w:rsidR="009F7007" w:rsidRPr="008A0812">
        <w:t>San Bernardino Municipal Water Department WRP Facilities Assessment, Total Dissolved Solids and Total Inorganic Nitrogen Assessment Technical Memorandum – Draft.</w:t>
      </w:r>
    </w:p>
    <w:p w14:paraId="5E0E1CAD" w14:textId="7F16C8F2" w:rsidR="006B1C9B" w:rsidRPr="008A0812" w:rsidRDefault="006B1C9B" w:rsidP="006B1C9B">
      <w:pPr>
        <w:pStyle w:val="BodyText"/>
        <w:ind w:left="360" w:hanging="360"/>
      </w:pPr>
      <w:r w:rsidRPr="008A0812">
        <w:t xml:space="preserve">Hazen and Sawyer. (undated). Understanding of the scope presented in the 1110.2 Resultant Project RFP. </w:t>
      </w:r>
    </w:p>
    <w:p w14:paraId="417C0555" w14:textId="1FBE6201" w:rsidR="003C2921" w:rsidRPr="008A0812" w:rsidRDefault="003C2921" w:rsidP="003C2921">
      <w:pPr>
        <w:pStyle w:val="BodyText"/>
        <w:ind w:left="360" w:hanging="360"/>
      </w:pPr>
      <w:r w:rsidRPr="008A0812">
        <w:t xml:space="preserve">Lincus Incorporated. (2019, June 24). Southern California Edison Third Party Programs, Project Feasibility Study, San Bernardino Municipal Water District, Wastewater Process Optimization. </w:t>
      </w:r>
    </w:p>
    <w:p w14:paraId="6FEB7063" w14:textId="408D1E9E" w:rsidR="00ED698F" w:rsidRPr="008A0812" w:rsidRDefault="00ED698F" w:rsidP="00ED698F">
      <w:pPr>
        <w:pStyle w:val="BodyText"/>
        <w:ind w:left="360" w:hanging="360"/>
      </w:pPr>
      <w:r w:rsidRPr="008A0812">
        <w:t>Metcalf &amp; Eddy. (2014). Wastewater Engineering, Treatment, Disposal, Reuse. 5</w:t>
      </w:r>
      <w:r w:rsidRPr="008A0812">
        <w:rPr>
          <w:vertAlign w:val="superscript"/>
        </w:rPr>
        <w:t>th</w:t>
      </w:r>
      <w:r w:rsidRPr="008A0812">
        <w:t xml:space="preserve"> Edition. </w:t>
      </w:r>
    </w:p>
    <w:p w14:paraId="388E4E38" w14:textId="5BF83A21" w:rsidR="00726128" w:rsidRPr="008A0812" w:rsidRDefault="00726128" w:rsidP="00726128">
      <w:pPr>
        <w:pStyle w:val="BodyText"/>
        <w:ind w:left="360" w:hanging="360"/>
      </w:pPr>
      <w:r w:rsidRPr="008A0812">
        <w:t xml:space="preserve">New England Interstate Water Pollution Control Commission. (2011). TR-16, Guides for the Design of Wastewater Treatment Works. </w:t>
      </w:r>
    </w:p>
    <w:p w14:paraId="76050149" w14:textId="415833AA" w:rsidR="003C2921" w:rsidRPr="008A0812" w:rsidRDefault="003C2921" w:rsidP="003C2921">
      <w:pPr>
        <w:pStyle w:val="BodyText"/>
        <w:ind w:left="360" w:hanging="360"/>
      </w:pPr>
      <w:r w:rsidRPr="008A0812">
        <w:t xml:space="preserve">Orange County Sanitation District. (2018, August 22). Orange County Sanitation District Memorandum to Steering Committee. </w:t>
      </w:r>
      <w:r w:rsidR="002B6D7C" w:rsidRPr="008A0812">
        <w:t>General</w:t>
      </w:r>
      <w:r w:rsidRPr="008A0812">
        <w:t xml:space="preserve"> Manager's Fiscal Year 2018-2019 Work Plan. </w:t>
      </w:r>
    </w:p>
    <w:p w14:paraId="7CD9AFD4" w14:textId="5C51FBFA" w:rsidR="009F7007" w:rsidRPr="008A0812" w:rsidRDefault="009F7007" w:rsidP="009F7007">
      <w:pPr>
        <w:pStyle w:val="BodyText"/>
        <w:ind w:left="360" w:hanging="360"/>
      </w:pPr>
      <w:r w:rsidRPr="008A0812">
        <w:t xml:space="preserve">Orange County Sanitation District. (2019, May 29). Ordinance No. OCSD-53 – An Ordinance of the OCSD Board of Directors Amending Wastewater Discharge Regulations and Repealing Ordinance No. OCSD-48. </w:t>
      </w:r>
    </w:p>
    <w:p w14:paraId="1B6942F8" w14:textId="0C4E7599" w:rsidR="009F7007" w:rsidRPr="008A0812" w:rsidRDefault="003C2921" w:rsidP="003C2921">
      <w:pPr>
        <w:pStyle w:val="BodyText"/>
        <w:ind w:left="360" w:hanging="360"/>
      </w:pPr>
      <w:r w:rsidRPr="008A0812">
        <w:t xml:space="preserve">San Bernardino County Stormwater Program. (2019). San Bernardino County Stormwater Program. Retrieved July 10, 2019, from </w:t>
      </w:r>
      <w:hyperlink r:id="rId111" w:history="1">
        <w:r w:rsidR="009F7007" w:rsidRPr="008A0812">
          <w:rPr>
            <w:rStyle w:val="Hyperlink"/>
          </w:rPr>
          <w:t>https://sbcountystormwater.org/government/about-the-permittees/</w:t>
        </w:r>
      </w:hyperlink>
    </w:p>
    <w:p w14:paraId="342F43F3" w14:textId="4772C5EB" w:rsidR="003C2921" w:rsidRPr="008A0812" w:rsidRDefault="003C2921" w:rsidP="003C2921">
      <w:pPr>
        <w:pStyle w:val="BodyText"/>
        <w:ind w:left="360" w:hanging="360"/>
      </w:pPr>
      <w:r w:rsidRPr="008A0812">
        <w:t>San Bernardino Municipal Water Department. (2018, April 1). Stormwater Pollution Prevention Plan &amp; Best Management Practices, City of San Bernardino Municipal Water Department, Water Reclamation Facility, Order No. R8-2017-0049 NPDES No. CA0105392.</w:t>
      </w:r>
      <w:r w:rsidR="000D2D44" w:rsidRPr="008A0812">
        <w:t xml:space="preserve"> </w:t>
      </w:r>
    </w:p>
    <w:p w14:paraId="6CEC8B4E" w14:textId="5FD9583B" w:rsidR="001F0325" w:rsidRPr="008A0812" w:rsidRDefault="001F0325" w:rsidP="001F0325">
      <w:pPr>
        <w:pStyle w:val="BodyText"/>
        <w:ind w:left="360" w:hanging="360"/>
      </w:pPr>
      <w:r w:rsidRPr="008A0812">
        <w:t xml:space="preserve">San Bernardino Municipal Water Department. (2019). Capital Improvement Budget Summary, Sewer Treatment, FY 2019-2020. </w:t>
      </w:r>
    </w:p>
    <w:p w14:paraId="24237C48" w14:textId="77777777" w:rsidR="003C2921" w:rsidRPr="008A0812" w:rsidRDefault="003C2921" w:rsidP="003C2921">
      <w:pPr>
        <w:pStyle w:val="BodyText"/>
        <w:ind w:left="360" w:hanging="360"/>
      </w:pPr>
      <w:r w:rsidRPr="008A0812">
        <w:t xml:space="preserve">San Bernardino Valley Municipal Water District. (2011). Ordinance No. 74. Ordinance of the San Bernardino Valley Municipal Water District Superceding Ordinance Number 73 which Establishes Regulations for the Use of the Inland Empire Brine Line. </w:t>
      </w:r>
    </w:p>
    <w:p w14:paraId="0A72262D" w14:textId="77777777" w:rsidR="003C2921" w:rsidRPr="008A0812" w:rsidRDefault="003C2921" w:rsidP="003C2921">
      <w:pPr>
        <w:pStyle w:val="BodyText"/>
        <w:ind w:left="360" w:hanging="360"/>
      </w:pPr>
      <w:r w:rsidRPr="008A0812">
        <w:t xml:space="preserve">San Bernardino Valley Municipal Water District. (2019, January 30). Memorandum of Understanding Regarding Upper Santa Ana River Habitat Conservation Efforts and Joint Development of Groundwater Recharge Projects. </w:t>
      </w:r>
    </w:p>
    <w:p w14:paraId="27C1A0ED" w14:textId="77777777" w:rsidR="003C2921" w:rsidRPr="008A0812" w:rsidRDefault="003C2921" w:rsidP="003C2921">
      <w:pPr>
        <w:pStyle w:val="BodyText"/>
        <w:ind w:left="360" w:hanging="360"/>
      </w:pPr>
      <w:r w:rsidRPr="008A0812">
        <w:t xml:space="preserve">San Bernardino Valley Municipal Water District and City of Colton. (1972, June 20). Agreement. </w:t>
      </w:r>
    </w:p>
    <w:p w14:paraId="6A2D570B" w14:textId="0F80F39B" w:rsidR="002B6D7C" w:rsidRPr="008A0812" w:rsidRDefault="002B6D7C" w:rsidP="002B6D7C">
      <w:pPr>
        <w:pStyle w:val="BodyText"/>
        <w:ind w:left="360" w:hanging="360"/>
      </w:pPr>
      <w:r w:rsidRPr="008A0812">
        <w:t>San Bernardino Valley Municipal Water District. (June 2016). 2015 San Bernardino Valley Regional Urban Water Management Plan.</w:t>
      </w:r>
    </w:p>
    <w:p w14:paraId="43E9AC94" w14:textId="39022AC0" w:rsidR="009F7007" w:rsidRPr="008A0812" w:rsidRDefault="003C2921" w:rsidP="003C2921">
      <w:pPr>
        <w:pStyle w:val="BodyText"/>
        <w:ind w:left="360" w:hanging="360"/>
      </w:pPr>
      <w:r w:rsidRPr="008A0812">
        <w:t xml:space="preserve">San Manuel Band of Mission Indians and ESA. (2018). San Manuel Hotel and Casino Expansion Project, Final Tribal Environmental Impact Report. Retrieved from </w:t>
      </w:r>
      <w:hyperlink r:id="rId112" w:history="1">
        <w:r w:rsidR="009F7007" w:rsidRPr="008A0812">
          <w:rPr>
            <w:rStyle w:val="Hyperlink"/>
          </w:rPr>
          <w:t>https://www.sanmanuel-nsn.gov/Portals/1/SanManuelTeir/San%20Manuel_Final%20TEIR_WEB.pdf</w:t>
        </w:r>
      </w:hyperlink>
    </w:p>
    <w:p w14:paraId="2FD2A4C4" w14:textId="232EDC1F" w:rsidR="009F7007" w:rsidRPr="008A0812" w:rsidRDefault="003C2921" w:rsidP="003C2921">
      <w:pPr>
        <w:pStyle w:val="BodyText"/>
        <w:ind w:left="360" w:hanging="360"/>
      </w:pPr>
      <w:r w:rsidRPr="008A0812">
        <w:t xml:space="preserve">Santa Ana Watershed Project Authority. (n.d.). Inland Empire Brine Line. Retrieved July 11, 2019, from </w:t>
      </w:r>
      <w:hyperlink r:id="rId113" w:history="1">
        <w:r w:rsidR="009F7007" w:rsidRPr="008A0812">
          <w:rPr>
            <w:rStyle w:val="Hyperlink"/>
          </w:rPr>
          <w:t>https://sawpa.org/inland-empire-brine-line/</w:t>
        </w:r>
      </w:hyperlink>
    </w:p>
    <w:p w14:paraId="18E9C20A" w14:textId="57BF58F8" w:rsidR="009F7007" w:rsidRPr="008A0812" w:rsidRDefault="003C2921" w:rsidP="003C2921">
      <w:pPr>
        <w:pStyle w:val="BodyText"/>
        <w:ind w:left="360" w:hanging="360"/>
      </w:pPr>
      <w:r w:rsidRPr="008A0812">
        <w:t xml:space="preserve">Santa Ana Watershed Project Authority. (n.d.). TIN/TDS Task Force. Retrieved July 11, 2019, from </w:t>
      </w:r>
      <w:hyperlink r:id="rId114" w:anchor="background" w:history="1">
        <w:r w:rsidR="009F7007" w:rsidRPr="008A0812">
          <w:rPr>
            <w:rStyle w:val="Hyperlink"/>
          </w:rPr>
          <w:t>https://sawpa.org/task-forces/tin-tds-task-force/#background</w:t>
        </w:r>
      </w:hyperlink>
    </w:p>
    <w:p w14:paraId="73E71E0A" w14:textId="62C4F56A" w:rsidR="009F7007" w:rsidRPr="008A0812" w:rsidRDefault="003C2921" w:rsidP="003C2921">
      <w:pPr>
        <w:pStyle w:val="BodyText"/>
        <w:ind w:left="360" w:hanging="360"/>
      </w:pPr>
      <w:r w:rsidRPr="008A0812">
        <w:t xml:space="preserve">South Coast Air Quality Management District. (2019, August). Proposed Amended Rule 1110.2, Emissions from Gaseous and Liquid-fueled Engines. Retrieved from </w:t>
      </w:r>
      <w:hyperlink r:id="rId115" w:history="1">
        <w:r w:rsidR="009F7007" w:rsidRPr="008A0812">
          <w:rPr>
            <w:rStyle w:val="Hyperlink"/>
          </w:rPr>
          <w:t>http://www.aqmd.gov/docs/default-source/rule-book/Proposed-Rules/1110.2/par1110-2_wgm6_final.pdf?sfvrsn=6</w:t>
        </w:r>
      </w:hyperlink>
    </w:p>
    <w:p w14:paraId="0C3AB042" w14:textId="37AD01F6" w:rsidR="002B6D7C" w:rsidRPr="008A0812" w:rsidRDefault="002B6D7C" w:rsidP="003C2921">
      <w:pPr>
        <w:pStyle w:val="BodyText"/>
        <w:ind w:left="360" w:hanging="360"/>
      </w:pPr>
      <w:r w:rsidRPr="008A0812">
        <w:t xml:space="preserve">Southern California Association of Governments </w:t>
      </w:r>
      <w:r w:rsidR="00FF0268" w:rsidRPr="008A0812">
        <w:t>(2016). 2016-2040 RTP/SCS Final Growth Forecast by Jurisdiction.</w:t>
      </w:r>
    </w:p>
    <w:p w14:paraId="48BEA618" w14:textId="7FDCF3E8" w:rsidR="003C2921" w:rsidRPr="008A0812" w:rsidRDefault="003C2921" w:rsidP="003C2921">
      <w:pPr>
        <w:pStyle w:val="BodyText"/>
        <w:ind w:left="360" w:hanging="360"/>
      </w:pPr>
      <w:r w:rsidRPr="008A0812">
        <w:t xml:space="preserve">Superior Court of the State of California for the County of Orange. (1969, April 17). Orange County Water District, Plaintiff vs. City of Chino, et. al., Defendants. No 117628, Judgement. </w:t>
      </w:r>
    </w:p>
    <w:p w14:paraId="1A3D3480" w14:textId="77777777" w:rsidR="003C2921" w:rsidRPr="008A0812" w:rsidRDefault="003C2921" w:rsidP="003C2921">
      <w:pPr>
        <w:pStyle w:val="BodyText"/>
        <w:ind w:left="360" w:hanging="360"/>
      </w:pPr>
      <w:r w:rsidRPr="008A0812">
        <w:t xml:space="preserve">U.S. Department of Transportation, Federal Aviation Administration. (2007, August 28). Advisory Circular. Hazardous Wildlife Attractants on or Near Airports. </w:t>
      </w:r>
    </w:p>
    <w:p w14:paraId="4AEEA7D5" w14:textId="77777777" w:rsidR="003C2921" w:rsidRPr="008A0812" w:rsidRDefault="003C2921" w:rsidP="003C2921">
      <w:pPr>
        <w:pStyle w:val="BodyText"/>
        <w:ind w:left="360" w:hanging="360"/>
      </w:pPr>
      <w:r w:rsidRPr="008A0812">
        <w:t xml:space="preserve">United States. (2018, July 1). Code of Federal Regulations, Title 40, Protection of the Environment, Part 503 - Standards for the Use or Disposal of Sewage Sludge. </w:t>
      </w:r>
    </w:p>
    <w:p w14:paraId="2835B882" w14:textId="3907BCC0" w:rsidR="009F7007" w:rsidRPr="008A0812" w:rsidRDefault="003C2921" w:rsidP="003C2921">
      <w:pPr>
        <w:pStyle w:val="BodyText"/>
        <w:ind w:left="360" w:hanging="360"/>
        <w:jc w:val="left"/>
      </w:pPr>
      <w:r w:rsidRPr="008A0812">
        <w:t xml:space="preserve">United States Bureau of Reclamation. (2013). Overview of Disadvantaged Communities and Native American Tribes in the Santa Ana Watershed. Retrieved from </w:t>
      </w:r>
      <w:hyperlink r:id="rId116" w:history="1">
        <w:r w:rsidR="009F7007" w:rsidRPr="008A0812">
          <w:rPr>
            <w:rStyle w:val="Hyperlink"/>
          </w:rPr>
          <w:t>https://www.usbr.gov/lc/socal/basinstudies/OWOWReferences/FinalReport/Tribal%20DAC%20Report.pdf</w:t>
        </w:r>
      </w:hyperlink>
    </w:p>
    <w:p w14:paraId="0C42F9EE" w14:textId="78E0D209" w:rsidR="009F7007" w:rsidRPr="008A0812" w:rsidRDefault="003C2921" w:rsidP="001F6107">
      <w:pPr>
        <w:pStyle w:val="BodyText"/>
        <w:ind w:left="360" w:hanging="360"/>
        <w:jc w:val="left"/>
      </w:pPr>
      <w:r w:rsidRPr="008A0812">
        <w:t xml:space="preserve"> United States Geological Survey. (1991). Bulletin 1898. </w:t>
      </w:r>
      <w:r w:rsidR="009F7007" w:rsidRPr="008A0812">
        <w:t>Liquefaction</w:t>
      </w:r>
      <w:r w:rsidRPr="008A0812">
        <w:t xml:space="preserve"> Susceptibility in the San Bernardino Valley and Vicinity, Southern California - a Regional Evaluation. Retrieved from </w:t>
      </w:r>
      <w:hyperlink r:id="rId117" w:history="1">
        <w:r w:rsidR="009F7007" w:rsidRPr="008A0812">
          <w:rPr>
            <w:rStyle w:val="Hyperlink"/>
          </w:rPr>
          <w:t>https://pubs.usgs.gov/bul/1898/report.pdf</w:t>
        </w:r>
      </w:hyperlink>
    </w:p>
    <w:p w14:paraId="559ADDAF" w14:textId="63E69DA0" w:rsidR="009F7007" w:rsidRPr="008A0812" w:rsidRDefault="003C2921" w:rsidP="003C2921">
      <w:pPr>
        <w:pStyle w:val="BodyText"/>
        <w:ind w:left="360" w:hanging="360"/>
      </w:pPr>
      <w:r w:rsidRPr="008A0812">
        <w:t xml:space="preserve">Upper Santa Ana Habitat Conservation Plan. (n.d.). Retrieved July 10, 2019, from </w:t>
      </w:r>
      <w:hyperlink r:id="rId118" w:history="1">
        <w:r w:rsidR="009F7007" w:rsidRPr="008A0812">
          <w:rPr>
            <w:rStyle w:val="Hyperlink"/>
          </w:rPr>
          <w:t>http://www.uppersarhcp.com/</w:t>
        </w:r>
      </w:hyperlink>
    </w:p>
    <w:p w14:paraId="3B4331C5" w14:textId="74F1A8AF" w:rsidR="003C2921" w:rsidRPr="008A0812" w:rsidRDefault="003C2921" w:rsidP="003C2921">
      <w:pPr>
        <w:pStyle w:val="BodyText"/>
        <w:ind w:left="360" w:hanging="360"/>
      </w:pPr>
      <w:r w:rsidRPr="008A0812">
        <w:t xml:space="preserve">US Department of Transportation, Federal Aviation Administration. (2012, January 1). Code of Federal Regulations, Title 14 - Aeronautics and Space. Chapter 1 Part 77.9 Construction or Alteration Requiring Notice. </w:t>
      </w:r>
    </w:p>
    <w:p w14:paraId="04BCAC9D" w14:textId="2139F4CB" w:rsidR="00C163BF" w:rsidRPr="008A0812" w:rsidRDefault="003C2921" w:rsidP="003C2921">
      <w:pPr>
        <w:pStyle w:val="BodyText"/>
        <w:ind w:left="360" w:hanging="360"/>
      </w:pPr>
      <w:r w:rsidRPr="008A0812">
        <w:t xml:space="preserve">Wildermuth Environmental, Inc. (2015). Addendum to the 20089 Santa Ana River Wasteload Allocation Model Report: Scenario 8. Retrieved from </w:t>
      </w:r>
      <w:hyperlink r:id="rId119" w:history="1">
        <w:r w:rsidR="009F7007" w:rsidRPr="008A0812">
          <w:rPr>
            <w:rStyle w:val="Hyperlink"/>
          </w:rPr>
          <w:t>https://www.sawpa.org/wp-content/uploads/2018/01/WLAM-Scenario-8-wAppendix_Final.pdf</w:t>
        </w:r>
      </w:hyperlink>
    </w:p>
    <w:p w14:paraId="0496279C" w14:textId="77777777" w:rsidR="00725868" w:rsidRPr="008A0812" w:rsidRDefault="00725868" w:rsidP="00B67447">
      <w:pPr>
        <w:pStyle w:val="BodyText"/>
      </w:pPr>
    </w:p>
    <w:p w14:paraId="533D453F" w14:textId="77777777" w:rsidR="00F3407E" w:rsidRPr="008A0812" w:rsidRDefault="00F3407E" w:rsidP="00F3407E">
      <w:pPr>
        <w:sectPr w:rsidR="00F3407E" w:rsidRPr="008A0812" w:rsidSect="00DA745E">
          <w:footnotePr>
            <w:numRestart w:val="eachPage"/>
          </w:footnotePr>
          <w:endnotePr>
            <w:numFmt w:val="decimal"/>
          </w:endnotePr>
          <w:pgSz w:w="12240" w:h="15840" w:code="1"/>
          <w:pgMar w:top="1800" w:right="1440" w:bottom="1440" w:left="1440" w:header="720" w:footer="360" w:gutter="0"/>
          <w:pgNumType w:start="1" w:chapStyle="1"/>
          <w:cols w:space="720"/>
          <w:noEndnote/>
          <w:docGrid w:linePitch="299"/>
        </w:sectPr>
      </w:pPr>
    </w:p>
    <w:p w14:paraId="3471626E" w14:textId="264F698C" w:rsidR="00781293" w:rsidRPr="008A0812" w:rsidRDefault="00781293" w:rsidP="005A3D70">
      <w:pPr>
        <w:pStyle w:val="Title"/>
      </w:pPr>
      <w:bookmarkStart w:id="749" w:name="_Ref20474022"/>
      <w:bookmarkStart w:id="750" w:name="_Toc20825665"/>
      <w:bookmarkStart w:id="751" w:name="_Toc20837167"/>
      <w:bookmarkStart w:id="752" w:name="_Toc36231770"/>
      <w:bookmarkStart w:id="753" w:name="_Toc36413810"/>
      <w:r w:rsidRPr="008A0812">
        <w:t xml:space="preserve">Exhibit </w:t>
      </w:r>
      <w:bookmarkEnd w:id="749"/>
      <w:r w:rsidR="005A3D70" w:rsidRPr="008A0812">
        <w:t>1</w:t>
      </w:r>
      <w:r w:rsidRPr="008A0812">
        <w:t>:</w:t>
      </w:r>
      <w:r w:rsidR="009A7EC9" w:rsidRPr="008A0812">
        <w:tab/>
      </w:r>
      <w:r w:rsidRPr="008A0812">
        <w:t>Site Plan</w:t>
      </w:r>
      <w:bookmarkEnd w:id="750"/>
      <w:bookmarkEnd w:id="751"/>
      <w:bookmarkEnd w:id="752"/>
      <w:bookmarkEnd w:id="753"/>
    </w:p>
    <w:p w14:paraId="06BB097C" w14:textId="77777777" w:rsidR="00725868" w:rsidRPr="008A0812" w:rsidRDefault="00725868" w:rsidP="00725868">
      <w:pPr>
        <w:sectPr w:rsidR="00725868" w:rsidRPr="008A0812" w:rsidSect="00DA745E">
          <w:headerReference w:type="even" r:id="rId120"/>
          <w:headerReference w:type="default" r:id="rId121"/>
          <w:footerReference w:type="default" r:id="rId122"/>
          <w:headerReference w:type="first" r:id="rId123"/>
          <w:footnotePr>
            <w:numRestart w:val="eachPage"/>
          </w:footnotePr>
          <w:endnotePr>
            <w:numFmt w:val="decimal"/>
          </w:endnotePr>
          <w:pgSz w:w="12240" w:h="15840" w:code="1"/>
          <w:pgMar w:top="1800" w:right="1440" w:bottom="1440" w:left="1440" w:header="720" w:footer="360" w:gutter="0"/>
          <w:pgNumType w:start="1"/>
          <w:cols w:space="720"/>
          <w:noEndnote/>
          <w:docGrid w:linePitch="299"/>
        </w:sectPr>
      </w:pPr>
    </w:p>
    <w:p w14:paraId="52052914" w14:textId="04A05E0B" w:rsidR="00881AFD" w:rsidRPr="008A0812" w:rsidRDefault="00B65535" w:rsidP="005A3D70">
      <w:pPr>
        <w:pStyle w:val="Title"/>
      </w:pPr>
      <w:bookmarkStart w:id="754" w:name="_Ref20475731"/>
      <w:bookmarkStart w:id="755" w:name="_Toc20825666"/>
      <w:bookmarkStart w:id="756" w:name="_Toc20837168"/>
      <w:bookmarkStart w:id="757" w:name="_Toc36231771"/>
      <w:bookmarkStart w:id="758" w:name="_Toc36413811"/>
      <w:r w:rsidRPr="008A0812">
        <w:t xml:space="preserve">Exhibit </w:t>
      </w:r>
      <w:bookmarkEnd w:id="754"/>
      <w:r w:rsidR="005A3D70" w:rsidRPr="008A0812">
        <w:t>2</w:t>
      </w:r>
      <w:r w:rsidRPr="008A0812">
        <w:t>:</w:t>
      </w:r>
      <w:r w:rsidR="00725868" w:rsidRPr="008A0812">
        <w:tab/>
      </w:r>
      <w:r w:rsidRPr="008A0812">
        <w:t>Process Flow Diagram</w:t>
      </w:r>
      <w:bookmarkEnd w:id="755"/>
      <w:bookmarkEnd w:id="756"/>
      <w:bookmarkEnd w:id="757"/>
      <w:bookmarkEnd w:id="758"/>
    </w:p>
    <w:p w14:paraId="68ADE718" w14:textId="77777777" w:rsidR="00725868" w:rsidRPr="008A0812" w:rsidRDefault="00725868" w:rsidP="00725868">
      <w:pPr>
        <w:sectPr w:rsidR="00725868" w:rsidRPr="008A0812" w:rsidSect="00DA745E">
          <w:footnotePr>
            <w:numRestart w:val="eachPage"/>
          </w:footnotePr>
          <w:endnotePr>
            <w:numFmt w:val="decimal"/>
          </w:endnotePr>
          <w:pgSz w:w="12240" w:h="15840" w:code="1"/>
          <w:pgMar w:top="1800" w:right="1440" w:bottom="1440" w:left="1440" w:header="720" w:footer="360" w:gutter="0"/>
          <w:pgNumType w:start="1"/>
          <w:cols w:space="720"/>
          <w:noEndnote/>
          <w:docGrid w:linePitch="299"/>
        </w:sectPr>
      </w:pPr>
    </w:p>
    <w:p w14:paraId="71DEAACD" w14:textId="305D2303" w:rsidR="00881AFD" w:rsidRPr="008A0812" w:rsidRDefault="00881AFD" w:rsidP="005A3D70">
      <w:pPr>
        <w:pStyle w:val="Title"/>
      </w:pPr>
      <w:bookmarkStart w:id="759" w:name="_Ref20488267"/>
      <w:bookmarkStart w:id="760" w:name="_Toc20825667"/>
      <w:bookmarkStart w:id="761" w:name="_Toc20837169"/>
      <w:bookmarkStart w:id="762" w:name="_Toc36231772"/>
      <w:bookmarkStart w:id="763" w:name="_Toc36413812"/>
      <w:r w:rsidRPr="008A0812">
        <w:t xml:space="preserve">Exhibit </w:t>
      </w:r>
      <w:bookmarkEnd w:id="759"/>
      <w:r w:rsidR="005A3D70" w:rsidRPr="008A0812">
        <w:t>3</w:t>
      </w:r>
      <w:r w:rsidRPr="008A0812">
        <w:t>:</w:t>
      </w:r>
      <w:r w:rsidR="00725868" w:rsidRPr="008A0812">
        <w:tab/>
      </w:r>
      <w:r w:rsidRPr="008A0812">
        <w:t>FEMA Flood Insurance Rate Map, Panel 8683 of 9375</w:t>
      </w:r>
      <w:bookmarkEnd w:id="760"/>
      <w:bookmarkEnd w:id="761"/>
      <w:bookmarkEnd w:id="762"/>
      <w:bookmarkEnd w:id="763"/>
    </w:p>
    <w:p w14:paraId="3ECDD057" w14:textId="77777777" w:rsidR="009266A4" w:rsidRPr="008A0812" w:rsidRDefault="009266A4" w:rsidP="00536F7E">
      <w:pPr>
        <w:pStyle w:val="AppendixHeading"/>
        <w:sectPr w:rsidR="009266A4" w:rsidRPr="008A0812" w:rsidSect="00DA745E">
          <w:footnotePr>
            <w:numRestart w:val="eachPage"/>
          </w:footnotePr>
          <w:endnotePr>
            <w:numFmt w:val="decimal"/>
          </w:endnotePr>
          <w:pgSz w:w="12240" w:h="15840" w:code="1"/>
          <w:pgMar w:top="1800" w:right="1440" w:bottom="1440" w:left="1440" w:header="720" w:footer="360" w:gutter="0"/>
          <w:pgNumType w:start="1"/>
          <w:cols w:space="720"/>
          <w:noEndnote/>
          <w:docGrid w:linePitch="299"/>
        </w:sectPr>
      </w:pPr>
    </w:p>
    <w:p w14:paraId="1C27271B" w14:textId="0342DB03" w:rsidR="00A41D8F" w:rsidRPr="008A0812" w:rsidRDefault="00536F7E" w:rsidP="00E43A36">
      <w:pPr>
        <w:pStyle w:val="AppendixHeading"/>
      </w:pPr>
      <w:bookmarkStart w:id="764" w:name="_Toc36413813"/>
      <w:r w:rsidRPr="008A0812">
        <w:t>Appendix A:</w:t>
      </w:r>
      <w:r w:rsidRPr="008A0812">
        <w:tab/>
      </w:r>
      <w:r w:rsidR="00E43A36" w:rsidRPr="008A0812">
        <w:t>Total Dissolved Solids and Total Inorganic Nitrogen Assessment Technical Memorandum – Draft</w:t>
      </w:r>
      <w:bookmarkEnd w:id="764"/>
    </w:p>
    <w:p w14:paraId="72A205E1" w14:textId="7B60B638" w:rsidR="00E43A36" w:rsidRPr="008A0812" w:rsidRDefault="00E43A36">
      <w:pPr>
        <w:overflowPunct/>
        <w:autoSpaceDE/>
        <w:autoSpaceDN/>
        <w:adjustRightInd/>
        <w:textAlignment w:val="auto"/>
        <w:rPr>
          <w:b/>
          <w:caps/>
          <w:sz w:val="28"/>
          <w:szCs w:val="28"/>
        </w:rPr>
      </w:pPr>
      <w:r w:rsidRPr="008A0812">
        <w:br w:type="page"/>
      </w:r>
    </w:p>
    <w:p w14:paraId="069AAF0C" w14:textId="34F49D41" w:rsidR="00E43A36" w:rsidRPr="008A0812" w:rsidRDefault="00E43A36" w:rsidP="00E43A36">
      <w:pPr>
        <w:pStyle w:val="AppendixHeading"/>
      </w:pPr>
      <w:bookmarkStart w:id="765" w:name="_Toc36413814"/>
      <w:r w:rsidRPr="008A0812">
        <w:t>Appendix B:</w:t>
      </w:r>
      <w:r w:rsidRPr="008A0812">
        <w:tab/>
        <w:t>Condition Assessment Appendices (2 combined)</w:t>
      </w:r>
      <w:bookmarkEnd w:id="765"/>
    </w:p>
    <w:p w14:paraId="483B8924" w14:textId="773A2411" w:rsidR="00E43A36" w:rsidRPr="008A0812" w:rsidRDefault="00E43A36">
      <w:pPr>
        <w:overflowPunct/>
        <w:autoSpaceDE/>
        <w:autoSpaceDN/>
        <w:adjustRightInd/>
        <w:textAlignment w:val="auto"/>
        <w:rPr>
          <w:b/>
          <w:caps/>
          <w:sz w:val="28"/>
          <w:szCs w:val="28"/>
        </w:rPr>
      </w:pPr>
      <w:r w:rsidRPr="008A0812">
        <w:br w:type="page"/>
      </w:r>
    </w:p>
    <w:p w14:paraId="2F082168" w14:textId="2DD44C84" w:rsidR="005B3F83" w:rsidRPr="008A0812" w:rsidRDefault="00A41D8F" w:rsidP="005B3F83">
      <w:pPr>
        <w:pStyle w:val="AppendixHeading"/>
      </w:pPr>
      <w:bookmarkStart w:id="766" w:name="_Toc36413815"/>
      <w:r w:rsidRPr="008A0812">
        <w:t xml:space="preserve">Appendix </w:t>
      </w:r>
      <w:r w:rsidR="00E43A36" w:rsidRPr="008A0812">
        <w:t>C</w:t>
      </w:r>
      <w:r w:rsidRPr="008A0812">
        <w:t>:</w:t>
      </w:r>
      <w:r w:rsidR="00CD1C8E" w:rsidRPr="008A0812">
        <w:t xml:space="preserve"> </w:t>
      </w:r>
      <w:r w:rsidR="00F33CAC" w:rsidRPr="008A0812">
        <w:tab/>
      </w:r>
      <w:r w:rsidR="00CD1C8E" w:rsidRPr="008A0812">
        <w:t>Risk Assessment Appendices (4 combined)</w:t>
      </w:r>
      <w:bookmarkEnd w:id="766"/>
      <w:r w:rsidRPr="008A0812">
        <w:tab/>
      </w:r>
    </w:p>
    <w:p w14:paraId="07595EAA" w14:textId="77777777" w:rsidR="005B3F83" w:rsidRPr="008A0812" w:rsidRDefault="005B3F83">
      <w:pPr>
        <w:overflowPunct/>
        <w:autoSpaceDE/>
        <w:autoSpaceDN/>
        <w:adjustRightInd/>
        <w:textAlignment w:val="auto"/>
        <w:rPr>
          <w:b/>
          <w:caps/>
          <w:sz w:val="28"/>
          <w:szCs w:val="28"/>
        </w:rPr>
      </w:pPr>
      <w:r w:rsidRPr="008A0812">
        <w:br w:type="page"/>
      </w:r>
    </w:p>
    <w:p w14:paraId="1685371B" w14:textId="2E991F47" w:rsidR="00CD1C8E" w:rsidRPr="008A0812" w:rsidRDefault="00A41D8F" w:rsidP="00A41D8F">
      <w:pPr>
        <w:pStyle w:val="AppendixHeading"/>
      </w:pPr>
      <w:bookmarkStart w:id="767" w:name="_Toc36413816"/>
      <w:r w:rsidRPr="008A0812">
        <w:t xml:space="preserve">Appendix </w:t>
      </w:r>
      <w:r w:rsidR="00E43A36" w:rsidRPr="008A0812">
        <w:t>D</w:t>
      </w:r>
      <w:r w:rsidRPr="008A0812">
        <w:t>:</w:t>
      </w:r>
      <w:r w:rsidRPr="008A0812">
        <w:tab/>
      </w:r>
      <w:r w:rsidR="00CD1C8E" w:rsidRPr="008A0812">
        <w:t>Influent Flows and Loads</w:t>
      </w:r>
      <w:bookmarkEnd w:id="767"/>
      <w:r w:rsidR="00CD1C8E" w:rsidRPr="008A0812">
        <w:t xml:space="preserve"> </w:t>
      </w:r>
    </w:p>
    <w:p w14:paraId="4BC36162" w14:textId="77777777" w:rsidR="005B3F83" w:rsidRPr="008A0812" w:rsidRDefault="005B3F83">
      <w:pPr>
        <w:overflowPunct/>
        <w:autoSpaceDE/>
        <w:autoSpaceDN/>
        <w:adjustRightInd/>
        <w:textAlignment w:val="auto"/>
        <w:rPr>
          <w:b/>
          <w:caps/>
          <w:sz w:val="28"/>
          <w:szCs w:val="28"/>
        </w:rPr>
      </w:pPr>
      <w:r w:rsidRPr="008A0812">
        <w:br w:type="page"/>
      </w:r>
    </w:p>
    <w:p w14:paraId="10C64C84" w14:textId="1348A99B" w:rsidR="00CD1C8E" w:rsidRPr="008A0812" w:rsidRDefault="00A41D8F" w:rsidP="00CD1C8E">
      <w:pPr>
        <w:pStyle w:val="AppendixHeading"/>
      </w:pPr>
      <w:bookmarkStart w:id="768" w:name="_Toc36413817"/>
      <w:r w:rsidRPr="008A0812">
        <w:t xml:space="preserve">Appendix </w:t>
      </w:r>
      <w:r w:rsidR="00E43A36" w:rsidRPr="008A0812">
        <w:t>E</w:t>
      </w:r>
      <w:r w:rsidRPr="008A0812">
        <w:t>:</w:t>
      </w:r>
      <w:r w:rsidRPr="008A0812">
        <w:tab/>
      </w:r>
      <w:r w:rsidR="00CD1C8E" w:rsidRPr="008A0812">
        <w:t>P</w:t>
      </w:r>
      <w:r w:rsidR="00F33CAC" w:rsidRPr="008A0812">
        <w:t>r</w:t>
      </w:r>
      <w:r w:rsidR="00CD1C8E" w:rsidRPr="008A0812">
        <w:t>ocess data analysis (Primary and secondary charts)</w:t>
      </w:r>
      <w:bookmarkEnd w:id="768"/>
    </w:p>
    <w:p w14:paraId="7243D430" w14:textId="77777777" w:rsidR="005B3F83" w:rsidRPr="008A0812" w:rsidRDefault="005B3F83">
      <w:pPr>
        <w:overflowPunct/>
        <w:autoSpaceDE/>
        <w:autoSpaceDN/>
        <w:adjustRightInd/>
        <w:textAlignment w:val="auto"/>
        <w:rPr>
          <w:b/>
          <w:caps/>
          <w:sz w:val="28"/>
          <w:szCs w:val="28"/>
        </w:rPr>
      </w:pPr>
      <w:r w:rsidRPr="008A0812">
        <w:br w:type="page"/>
      </w:r>
    </w:p>
    <w:p w14:paraId="04810D72" w14:textId="77777777" w:rsidR="009862E3" w:rsidRPr="008A0812" w:rsidRDefault="009862E3">
      <w:pPr>
        <w:overflowPunct/>
        <w:autoSpaceDE/>
        <w:autoSpaceDN/>
        <w:adjustRightInd/>
        <w:textAlignment w:val="auto"/>
        <w:rPr>
          <w:b/>
          <w:caps/>
          <w:sz w:val="28"/>
          <w:szCs w:val="28"/>
        </w:rPr>
        <w:sectPr w:rsidR="009862E3" w:rsidRPr="008A0812" w:rsidSect="00DA745E">
          <w:footnotePr>
            <w:numRestart w:val="eachPage"/>
          </w:footnotePr>
          <w:endnotePr>
            <w:numFmt w:val="decimal"/>
          </w:endnotePr>
          <w:pgSz w:w="12240" w:h="15840" w:code="1"/>
          <w:pgMar w:top="1800" w:right="1440" w:bottom="1440" w:left="1440" w:header="720" w:footer="360" w:gutter="0"/>
          <w:pgNumType w:start="1"/>
          <w:cols w:space="720"/>
          <w:noEndnote/>
          <w:docGrid w:linePitch="299"/>
        </w:sectPr>
      </w:pPr>
    </w:p>
    <w:p w14:paraId="4FAA987D" w14:textId="640609F0" w:rsidR="00867D3A" w:rsidRDefault="00536F7E" w:rsidP="00A045F9">
      <w:pPr>
        <w:pStyle w:val="AppendixHeading"/>
      </w:pPr>
      <w:bookmarkStart w:id="769" w:name="_Toc36413818"/>
      <w:r w:rsidRPr="008A0812">
        <w:t xml:space="preserve">Appendix </w:t>
      </w:r>
      <w:r w:rsidR="00E43A36" w:rsidRPr="008A0812">
        <w:t>F</w:t>
      </w:r>
      <w:r w:rsidRPr="008A0812">
        <w:t>:</w:t>
      </w:r>
      <w:r w:rsidRPr="008A0812">
        <w:tab/>
      </w:r>
      <w:r w:rsidR="00A045F9" w:rsidRPr="008A0812">
        <w:t>Operational Efficiency &amp; Optimization</w:t>
      </w:r>
      <w:r w:rsidR="00F106BE" w:rsidRPr="008A0812">
        <w:t xml:space="preserve"> Project</w:t>
      </w:r>
      <w:r w:rsidR="00A045F9" w:rsidRPr="008A0812">
        <w:t>s –</w:t>
      </w:r>
      <w:r w:rsidR="00F106BE" w:rsidRPr="008A0812">
        <w:t xml:space="preserve"> CIP Shee</w:t>
      </w:r>
      <w:r w:rsidR="009A7EC9" w:rsidRPr="008A0812">
        <w:t>t</w:t>
      </w:r>
      <w:r w:rsidR="00C333D4" w:rsidRPr="008A0812">
        <w:t>s</w:t>
      </w:r>
      <w:bookmarkEnd w:id="769"/>
    </w:p>
    <w:p w14:paraId="5C903E3C" w14:textId="77777777" w:rsidR="009A7EC9" w:rsidRDefault="009A7EC9" w:rsidP="003C2921">
      <w:pPr>
        <w:pStyle w:val="AppendixHeading"/>
      </w:pPr>
    </w:p>
    <w:p w14:paraId="1E5F02D0" w14:textId="1D44341F" w:rsidR="009A7EC9" w:rsidRDefault="009A7EC9" w:rsidP="003C2921">
      <w:pPr>
        <w:pStyle w:val="AppendixHeading"/>
        <w:sectPr w:rsidR="009A7EC9" w:rsidSect="00DA745E">
          <w:headerReference w:type="even" r:id="rId124"/>
          <w:headerReference w:type="first" r:id="rId125"/>
          <w:footnotePr>
            <w:numRestart w:val="eachPage"/>
          </w:footnotePr>
          <w:endnotePr>
            <w:numFmt w:val="decimal"/>
          </w:endnotePr>
          <w:pgSz w:w="12240" w:h="15840" w:code="1"/>
          <w:pgMar w:top="1800" w:right="1440" w:bottom="1440" w:left="1440" w:header="720" w:footer="360" w:gutter="0"/>
          <w:pgNumType w:start="1"/>
          <w:cols w:space="720"/>
          <w:noEndnote/>
          <w:docGrid w:linePitch="299"/>
        </w:sectPr>
      </w:pPr>
    </w:p>
    <w:p w14:paraId="6A01C40F" w14:textId="3D897DDA" w:rsidR="00D93AAD" w:rsidRPr="00725868" w:rsidRDefault="00D93AAD" w:rsidP="00725868"/>
    <w:sectPr w:rsidR="00D93AAD" w:rsidRPr="00725868" w:rsidSect="00594C89">
      <w:headerReference w:type="even" r:id="rId126"/>
      <w:headerReference w:type="default" r:id="rId127"/>
      <w:footerReference w:type="default" r:id="rId128"/>
      <w:headerReference w:type="first" r:id="rId129"/>
      <w:footnotePr>
        <w:numRestart w:val="eachPage"/>
      </w:footnotePr>
      <w:endnotePr>
        <w:numFmt w:val="decimal"/>
      </w:endnotePr>
      <w:pgSz w:w="12240" w:h="15840" w:code="1"/>
      <w:pgMar w:top="360" w:right="360" w:bottom="360" w:left="360" w:header="0" w:footer="0"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4720F5" w14:textId="77777777" w:rsidR="00AA68F8" w:rsidRDefault="00AA68F8">
      <w:r>
        <w:separator/>
      </w:r>
    </w:p>
    <w:p w14:paraId="00C84993" w14:textId="77777777" w:rsidR="00AA68F8" w:rsidRDefault="00AA68F8"/>
    <w:p w14:paraId="1EBB3577" w14:textId="77777777" w:rsidR="00AA68F8" w:rsidRDefault="00AA68F8"/>
  </w:endnote>
  <w:endnote w:type="continuationSeparator" w:id="0">
    <w:p w14:paraId="62A65E3B" w14:textId="77777777" w:rsidR="00AA68F8" w:rsidRDefault="00AA68F8">
      <w:r>
        <w:continuationSeparator/>
      </w:r>
    </w:p>
    <w:p w14:paraId="2379F2F6" w14:textId="77777777" w:rsidR="00AA68F8" w:rsidRDefault="00AA68F8"/>
    <w:p w14:paraId="186A8A5B" w14:textId="77777777" w:rsidR="00AA68F8" w:rsidRDefault="00AA68F8"/>
  </w:endnote>
  <w:endnote w:type="continuationNotice" w:id="1">
    <w:p w14:paraId="283817D6" w14:textId="77777777" w:rsidR="00AA68F8" w:rsidRDefault="00AA68F8"/>
    <w:p w14:paraId="0AF73BCC" w14:textId="77777777" w:rsidR="00AA68F8" w:rsidRDefault="00AA68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18B599" w14:textId="0391AB5F" w:rsidR="00AA68F8" w:rsidRPr="005A73F9" w:rsidRDefault="00AA68F8" w:rsidP="00187531">
    <w:pPr>
      <w:pBdr>
        <w:top w:val="single" w:sz="4" w:space="0" w:color="auto"/>
      </w:pBdr>
      <w:tabs>
        <w:tab w:val="center" w:pos="4680"/>
        <w:tab w:val="right" w:pos="936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sidRPr="005A73F9">
      <w:rPr>
        <w:rFonts w:cs="Arial"/>
        <w:sz w:val="20"/>
        <w:szCs w:val="20"/>
      </w:rPr>
      <w:tab/>
    </w:r>
    <w:r>
      <w:rPr>
        <w:rFonts w:cs="Arial"/>
        <w:sz w:val="20"/>
        <w:szCs w:val="20"/>
      </w:rPr>
      <w:tab/>
      <w:t xml:space="preserve">Page </w:t>
    </w:r>
    <w:r w:rsidRPr="005A73F9">
      <w:rPr>
        <w:rFonts w:cs="Arial"/>
        <w:sz w:val="20"/>
        <w:szCs w:val="20"/>
      </w:rPr>
      <w:fldChar w:fldCharType="begin"/>
    </w:r>
    <w:r w:rsidRPr="005A73F9">
      <w:rPr>
        <w:rFonts w:cs="Arial"/>
        <w:sz w:val="20"/>
        <w:szCs w:val="20"/>
      </w:rPr>
      <w:instrText xml:space="preserve"> PAGE   \* MERGEFORMAT </w:instrText>
    </w:r>
    <w:r w:rsidRPr="005A73F9">
      <w:rPr>
        <w:rFonts w:cs="Arial"/>
        <w:sz w:val="20"/>
        <w:szCs w:val="20"/>
      </w:rPr>
      <w:fldChar w:fldCharType="separate"/>
    </w:r>
    <w:r>
      <w:rPr>
        <w:rFonts w:cs="Arial"/>
        <w:noProof/>
        <w:sz w:val="20"/>
        <w:szCs w:val="20"/>
      </w:rPr>
      <w:t>i</w:t>
    </w:r>
    <w:r w:rsidRPr="005A73F9">
      <w:rPr>
        <w:rFonts w:cs="Arial"/>
        <w:noProof/>
        <w:sz w:val="20"/>
        <w:szCs w:val="20"/>
      </w:rPr>
      <w:fldChar w:fldCharType="end"/>
    </w:r>
  </w:p>
  <w:p w14:paraId="40FB5E63" w14:textId="2A13B3FF" w:rsidR="00AA68F8" w:rsidRPr="00187531" w:rsidRDefault="00AA68F8" w:rsidP="00187531">
    <w:pPr>
      <w:pBdr>
        <w:top w:val="single" w:sz="4" w:space="0" w:color="auto"/>
      </w:pBdr>
      <w:tabs>
        <w:tab w:val="center" w:pos="4320"/>
        <w:tab w:val="right" w:pos="9360"/>
      </w:tabs>
      <w:rPr>
        <w:rFonts w:cs="Arial"/>
        <w:sz w:val="20"/>
        <w:szCs w:val="20"/>
      </w:rPr>
    </w:pPr>
    <w:r>
      <w:rPr>
        <w:rFonts w:cs="Arial"/>
        <w:sz w:val="20"/>
        <w:szCs w:val="20"/>
      </w:rPr>
      <w:t>WRP Facilities Assessment and Master Plan</w:t>
    </w:r>
    <w:r w:rsidRPr="005A73F9">
      <w:rPr>
        <w:rFonts w:cs="Arial"/>
        <w:sz w:val="20"/>
        <w:szCs w:val="20"/>
      </w:rPr>
      <w:tab/>
    </w:r>
    <w:r w:rsidRPr="005A73F9">
      <w:rPr>
        <w:rFonts w:cs="Arial"/>
        <w:sz w:val="20"/>
        <w:szCs w:val="20"/>
      </w:rPr>
      <w:tab/>
    </w:r>
    <w:r>
      <w:rPr>
        <w:rFonts w:cs="Arial"/>
        <w:sz w:val="20"/>
        <w:szCs w:val="20"/>
      </w:rPr>
      <w:t>May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F1BC4" w14:textId="77777777" w:rsidR="00AA68F8" w:rsidRDefault="00AA68F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E6B6B1" w14:textId="3BD453D6" w:rsidR="00AA68F8" w:rsidRPr="005A73F9" w:rsidRDefault="00AA68F8" w:rsidP="00594C89">
    <w:pPr>
      <w:pBdr>
        <w:top w:val="single" w:sz="4" w:space="0" w:color="auto"/>
      </w:pBdr>
      <w:tabs>
        <w:tab w:val="center" w:pos="4680"/>
        <w:tab w:val="right" w:pos="936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sidRPr="005A73F9">
      <w:rPr>
        <w:rFonts w:cs="Arial"/>
        <w:sz w:val="20"/>
        <w:szCs w:val="20"/>
      </w:rPr>
      <w:tab/>
    </w:r>
    <w:r>
      <w:rPr>
        <w:rFonts w:cs="Arial"/>
        <w:sz w:val="20"/>
        <w:szCs w:val="20"/>
      </w:rPr>
      <w:tab/>
      <w:t xml:space="preserve">Page </w:t>
    </w:r>
    <w:r w:rsidRPr="005A73F9">
      <w:rPr>
        <w:rFonts w:cs="Arial"/>
        <w:sz w:val="20"/>
        <w:szCs w:val="20"/>
      </w:rPr>
      <w:fldChar w:fldCharType="begin"/>
    </w:r>
    <w:r w:rsidRPr="005A73F9">
      <w:rPr>
        <w:rFonts w:cs="Arial"/>
        <w:sz w:val="20"/>
        <w:szCs w:val="20"/>
      </w:rPr>
      <w:instrText xml:space="preserve"> PAGE   \* MERGEFORMAT </w:instrText>
    </w:r>
    <w:r w:rsidRPr="005A73F9">
      <w:rPr>
        <w:rFonts w:cs="Arial"/>
        <w:sz w:val="20"/>
        <w:szCs w:val="20"/>
      </w:rPr>
      <w:fldChar w:fldCharType="separate"/>
    </w:r>
    <w:r>
      <w:rPr>
        <w:rFonts w:cs="Arial"/>
        <w:noProof/>
        <w:sz w:val="20"/>
        <w:szCs w:val="20"/>
      </w:rPr>
      <w:t>1</w:t>
    </w:r>
    <w:r w:rsidRPr="005A73F9">
      <w:rPr>
        <w:rFonts w:cs="Arial"/>
        <w:noProof/>
        <w:sz w:val="20"/>
        <w:szCs w:val="20"/>
      </w:rPr>
      <w:fldChar w:fldCharType="end"/>
    </w:r>
  </w:p>
  <w:p w14:paraId="37FB5BF9" w14:textId="55E76272" w:rsidR="00AA68F8" w:rsidRPr="00187531" w:rsidRDefault="00AA68F8" w:rsidP="00594C89">
    <w:pPr>
      <w:pBdr>
        <w:top w:val="single" w:sz="4" w:space="0" w:color="auto"/>
      </w:pBdr>
      <w:tabs>
        <w:tab w:val="center" w:pos="4320"/>
        <w:tab w:val="right" w:pos="9360"/>
      </w:tabs>
      <w:rPr>
        <w:rFonts w:cs="Arial"/>
        <w:sz w:val="20"/>
        <w:szCs w:val="20"/>
      </w:rPr>
    </w:pPr>
    <w:bookmarkStart w:id="106" w:name="_Hlk20149811"/>
    <w:r>
      <w:rPr>
        <w:rFonts w:cs="Arial"/>
        <w:sz w:val="20"/>
        <w:szCs w:val="20"/>
      </w:rPr>
      <w:t>WRP Facilities Assessment and Master Plan</w:t>
    </w:r>
    <w:bookmarkEnd w:id="106"/>
    <w:r w:rsidRPr="005A73F9">
      <w:rPr>
        <w:rFonts w:cs="Arial"/>
        <w:sz w:val="20"/>
        <w:szCs w:val="20"/>
      </w:rPr>
      <w:tab/>
    </w:r>
    <w:r w:rsidRPr="005A73F9">
      <w:rPr>
        <w:rFonts w:cs="Arial"/>
        <w:sz w:val="20"/>
        <w:szCs w:val="20"/>
      </w:rPr>
      <w:tab/>
    </w:r>
    <w:r>
      <w:rPr>
        <w:rFonts w:cs="Arial"/>
        <w:sz w:val="20"/>
        <w:szCs w:val="20"/>
      </w:rPr>
      <w:t>May 2020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85D2B" w14:textId="77777777" w:rsidR="00AA68F8" w:rsidRDefault="00AA68F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B7EA3" w14:textId="77777777" w:rsidR="00AA68F8" w:rsidRPr="005A73F9" w:rsidRDefault="00AA68F8" w:rsidP="00D86759">
    <w:pPr>
      <w:pBdr>
        <w:top w:val="single" w:sz="4" w:space="0" w:color="auto"/>
      </w:pBdr>
      <w:tabs>
        <w:tab w:val="center" w:pos="4680"/>
        <w:tab w:val="right" w:pos="1224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sidRPr="005A73F9">
      <w:rPr>
        <w:rFonts w:cs="Arial"/>
        <w:sz w:val="20"/>
        <w:szCs w:val="20"/>
      </w:rPr>
      <w:tab/>
    </w:r>
    <w:r>
      <w:rPr>
        <w:rFonts w:cs="Arial"/>
        <w:sz w:val="20"/>
        <w:szCs w:val="20"/>
      </w:rPr>
      <w:tab/>
      <w:t xml:space="preserve">Page </w:t>
    </w:r>
    <w:r w:rsidRPr="005A73F9">
      <w:rPr>
        <w:rFonts w:cs="Arial"/>
        <w:sz w:val="20"/>
        <w:szCs w:val="20"/>
      </w:rPr>
      <w:fldChar w:fldCharType="begin"/>
    </w:r>
    <w:r w:rsidRPr="005A73F9">
      <w:rPr>
        <w:rFonts w:cs="Arial"/>
        <w:sz w:val="20"/>
        <w:szCs w:val="20"/>
      </w:rPr>
      <w:instrText xml:space="preserve"> PAGE   \* MERGEFORMAT </w:instrText>
    </w:r>
    <w:r w:rsidRPr="005A73F9">
      <w:rPr>
        <w:rFonts w:cs="Arial"/>
        <w:sz w:val="20"/>
        <w:szCs w:val="20"/>
      </w:rPr>
      <w:fldChar w:fldCharType="separate"/>
    </w:r>
    <w:r>
      <w:rPr>
        <w:rFonts w:cs="Arial"/>
        <w:noProof/>
        <w:sz w:val="20"/>
        <w:szCs w:val="20"/>
      </w:rPr>
      <w:t>1</w:t>
    </w:r>
    <w:r w:rsidRPr="005A73F9">
      <w:rPr>
        <w:rFonts w:cs="Arial"/>
        <w:noProof/>
        <w:sz w:val="20"/>
        <w:szCs w:val="20"/>
      </w:rPr>
      <w:fldChar w:fldCharType="end"/>
    </w:r>
  </w:p>
  <w:p w14:paraId="1CF63225" w14:textId="04F97E53" w:rsidR="00AA68F8" w:rsidRPr="00187531" w:rsidRDefault="00AA68F8" w:rsidP="00D86759">
    <w:pPr>
      <w:pBdr>
        <w:top w:val="single" w:sz="4" w:space="0" w:color="auto"/>
      </w:pBdr>
      <w:tabs>
        <w:tab w:val="center" w:pos="4320"/>
        <w:tab w:val="right" w:pos="12240"/>
      </w:tabs>
      <w:rPr>
        <w:rFonts w:cs="Arial"/>
        <w:sz w:val="20"/>
        <w:szCs w:val="20"/>
      </w:rPr>
    </w:pPr>
    <w:r>
      <w:rPr>
        <w:rFonts w:cs="Arial"/>
        <w:sz w:val="20"/>
        <w:szCs w:val="20"/>
      </w:rPr>
      <w:t>WRP Facilities Assessment and Master Plan</w:t>
    </w:r>
    <w:r w:rsidRPr="005A73F9">
      <w:rPr>
        <w:rFonts w:cs="Arial"/>
        <w:sz w:val="20"/>
        <w:szCs w:val="20"/>
      </w:rPr>
      <w:tab/>
    </w:r>
    <w:r w:rsidRPr="005A73F9">
      <w:rPr>
        <w:rFonts w:cs="Arial"/>
        <w:sz w:val="20"/>
        <w:szCs w:val="20"/>
      </w:rPr>
      <w:tab/>
    </w:r>
    <w:r>
      <w:rPr>
        <w:rFonts w:cs="Arial"/>
        <w:sz w:val="20"/>
        <w:szCs w:val="20"/>
      </w:rPr>
      <w:t>May 2020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D6E963" w14:textId="77777777" w:rsidR="00AA68F8" w:rsidRPr="005A73F9" w:rsidRDefault="00AA68F8" w:rsidP="006B0AA4">
    <w:pPr>
      <w:pBdr>
        <w:top w:val="single" w:sz="4" w:space="0" w:color="auto"/>
      </w:pBdr>
      <w:tabs>
        <w:tab w:val="center" w:pos="4680"/>
        <w:tab w:val="right" w:pos="1296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sidRPr="005A73F9">
      <w:rPr>
        <w:rFonts w:cs="Arial"/>
        <w:sz w:val="20"/>
        <w:szCs w:val="20"/>
      </w:rPr>
      <w:tab/>
    </w:r>
    <w:r>
      <w:rPr>
        <w:rFonts w:cs="Arial"/>
        <w:sz w:val="20"/>
        <w:szCs w:val="20"/>
      </w:rPr>
      <w:tab/>
      <w:t xml:space="preserve">Page </w:t>
    </w:r>
    <w:r w:rsidRPr="005A73F9">
      <w:rPr>
        <w:rFonts w:cs="Arial"/>
        <w:sz w:val="20"/>
        <w:szCs w:val="20"/>
      </w:rPr>
      <w:fldChar w:fldCharType="begin"/>
    </w:r>
    <w:r w:rsidRPr="005A73F9">
      <w:rPr>
        <w:rFonts w:cs="Arial"/>
        <w:sz w:val="20"/>
        <w:szCs w:val="20"/>
      </w:rPr>
      <w:instrText xml:space="preserve"> PAGE   \* MERGEFORMAT </w:instrText>
    </w:r>
    <w:r w:rsidRPr="005A73F9">
      <w:rPr>
        <w:rFonts w:cs="Arial"/>
        <w:sz w:val="20"/>
        <w:szCs w:val="20"/>
      </w:rPr>
      <w:fldChar w:fldCharType="separate"/>
    </w:r>
    <w:r>
      <w:rPr>
        <w:rFonts w:cs="Arial"/>
        <w:noProof/>
        <w:sz w:val="20"/>
        <w:szCs w:val="20"/>
      </w:rPr>
      <w:t>1</w:t>
    </w:r>
    <w:r w:rsidRPr="005A73F9">
      <w:rPr>
        <w:rFonts w:cs="Arial"/>
        <w:noProof/>
        <w:sz w:val="20"/>
        <w:szCs w:val="20"/>
      </w:rPr>
      <w:fldChar w:fldCharType="end"/>
    </w:r>
  </w:p>
  <w:p w14:paraId="32C444C5" w14:textId="60DD3A29" w:rsidR="00AA68F8" w:rsidRPr="00187531" w:rsidRDefault="00AA68F8" w:rsidP="006B0AA4">
    <w:pPr>
      <w:pBdr>
        <w:top w:val="single" w:sz="4" w:space="0" w:color="auto"/>
      </w:pBdr>
      <w:tabs>
        <w:tab w:val="center" w:pos="4320"/>
        <w:tab w:val="right" w:pos="12960"/>
      </w:tabs>
      <w:rPr>
        <w:rFonts w:cs="Arial"/>
        <w:sz w:val="20"/>
        <w:szCs w:val="20"/>
      </w:rPr>
    </w:pPr>
    <w:r>
      <w:rPr>
        <w:rFonts w:cs="Arial"/>
        <w:sz w:val="20"/>
        <w:szCs w:val="20"/>
      </w:rPr>
      <w:t>WRP Facilities Assessment and Master Plan</w:t>
    </w:r>
    <w:r w:rsidRPr="005A73F9">
      <w:rPr>
        <w:rFonts w:cs="Arial"/>
        <w:sz w:val="20"/>
        <w:szCs w:val="20"/>
      </w:rPr>
      <w:tab/>
    </w:r>
    <w:r w:rsidRPr="005A73F9">
      <w:rPr>
        <w:rFonts w:cs="Arial"/>
        <w:sz w:val="20"/>
        <w:szCs w:val="20"/>
      </w:rPr>
      <w:tab/>
    </w:r>
    <w:r>
      <w:rPr>
        <w:rFonts w:cs="Arial"/>
        <w:sz w:val="20"/>
        <w:szCs w:val="20"/>
      </w:rPr>
      <w:t>May 2020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7F47A" w14:textId="22E26820" w:rsidR="00AA68F8" w:rsidRPr="005A73F9" w:rsidRDefault="00AA68F8" w:rsidP="006B0AA4">
    <w:pPr>
      <w:pBdr>
        <w:top w:val="single" w:sz="4" w:space="0" w:color="auto"/>
      </w:pBdr>
      <w:tabs>
        <w:tab w:val="center" w:pos="4680"/>
        <w:tab w:val="right" w:pos="1296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sidRPr="005A73F9">
      <w:rPr>
        <w:rFonts w:cs="Arial"/>
        <w:sz w:val="20"/>
        <w:szCs w:val="20"/>
      </w:rPr>
      <w:tab/>
    </w:r>
    <w:r>
      <w:rPr>
        <w:rFonts w:cs="Arial"/>
        <w:sz w:val="20"/>
        <w:szCs w:val="20"/>
      </w:rPr>
      <w:tab/>
      <w:t xml:space="preserve">Page </w:t>
    </w:r>
    <w:r w:rsidRPr="005A73F9">
      <w:rPr>
        <w:rFonts w:cs="Arial"/>
        <w:sz w:val="20"/>
        <w:szCs w:val="20"/>
      </w:rPr>
      <w:fldChar w:fldCharType="begin"/>
    </w:r>
    <w:r w:rsidRPr="005A73F9">
      <w:rPr>
        <w:rFonts w:cs="Arial"/>
        <w:sz w:val="20"/>
        <w:szCs w:val="20"/>
      </w:rPr>
      <w:instrText xml:space="preserve"> PAGE   \* MERGEFORMAT </w:instrText>
    </w:r>
    <w:r w:rsidRPr="005A73F9">
      <w:rPr>
        <w:rFonts w:cs="Arial"/>
        <w:sz w:val="20"/>
        <w:szCs w:val="20"/>
      </w:rPr>
      <w:fldChar w:fldCharType="separate"/>
    </w:r>
    <w:r>
      <w:rPr>
        <w:rFonts w:cs="Arial"/>
        <w:noProof/>
        <w:sz w:val="20"/>
        <w:szCs w:val="20"/>
      </w:rPr>
      <w:t>1</w:t>
    </w:r>
    <w:r w:rsidRPr="005A73F9">
      <w:rPr>
        <w:rFonts w:cs="Arial"/>
        <w:noProof/>
        <w:sz w:val="20"/>
        <w:szCs w:val="20"/>
      </w:rPr>
      <w:fldChar w:fldCharType="end"/>
    </w:r>
  </w:p>
  <w:p w14:paraId="555AE3C1" w14:textId="503F6DF7" w:rsidR="00AA68F8" w:rsidRPr="00187531" w:rsidRDefault="00AA68F8" w:rsidP="006B0AA4">
    <w:pPr>
      <w:pBdr>
        <w:top w:val="single" w:sz="4" w:space="0" w:color="auto"/>
      </w:pBdr>
      <w:tabs>
        <w:tab w:val="center" w:pos="4320"/>
        <w:tab w:val="right" w:pos="12960"/>
      </w:tabs>
      <w:rPr>
        <w:rFonts w:cs="Arial"/>
        <w:sz w:val="20"/>
        <w:szCs w:val="20"/>
      </w:rPr>
    </w:pPr>
    <w:r>
      <w:rPr>
        <w:rFonts w:cs="Arial"/>
        <w:sz w:val="20"/>
        <w:szCs w:val="20"/>
      </w:rPr>
      <w:t>WRP Facilities Assessment and Master Plan</w:t>
    </w:r>
    <w:r w:rsidRPr="005A73F9">
      <w:rPr>
        <w:rFonts w:cs="Arial"/>
        <w:sz w:val="20"/>
        <w:szCs w:val="20"/>
      </w:rPr>
      <w:tab/>
    </w:r>
    <w:r w:rsidRPr="005A73F9">
      <w:rPr>
        <w:rFonts w:cs="Arial"/>
        <w:sz w:val="20"/>
        <w:szCs w:val="20"/>
      </w:rPr>
      <w:tab/>
    </w:r>
    <w:r>
      <w:rPr>
        <w:rFonts w:cs="Arial"/>
        <w:sz w:val="20"/>
        <w:szCs w:val="20"/>
      </w:rPr>
      <w:t>May 2020</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8878C" w14:textId="243CDD60" w:rsidR="00AA68F8" w:rsidRPr="005A73F9" w:rsidRDefault="00AA68F8" w:rsidP="00594C89">
    <w:pPr>
      <w:pBdr>
        <w:top w:val="single" w:sz="4" w:space="0" w:color="auto"/>
      </w:pBdr>
      <w:tabs>
        <w:tab w:val="center" w:pos="4680"/>
        <w:tab w:val="right" w:pos="9360"/>
      </w:tabs>
      <w:overflowPunct/>
      <w:autoSpaceDE/>
      <w:autoSpaceDN/>
      <w:adjustRightInd/>
      <w:textAlignment w:val="auto"/>
      <w:rPr>
        <w:rFonts w:cs="Arial"/>
        <w:sz w:val="20"/>
        <w:szCs w:val="20"/>
      </w:rPr>
    </w:pPr>
    <w:r>
      <w:rPr>
        <w:rFonts w:cs="Arial"/>
        <w:sz w:val="20"/>
        <w:szCs w:val="20"/>
      </w:rPr>
      <w:t>San Bernardino Municipal Water Department</w:t>
    </w:r>
    <w:r w:rsidRPr="005A73F9">
      <w:rPr>
        <w:rFonts w:cs="Arial"/>
        <w:sz w:val="20"/>
        <w:szCs w:val="20"/>
      </w:rPr>
      <w:t xml:space="preserve"> (</w:t>
    </w:r>
    <w:r>
      <w:rPr>
        <w:rFonts w:cs="Arial"/>
        <w:sz w:val="20"/>
        <w:szCs w:val="20"/>
      </w:rPr>
      <w:t>Spec. No. 1701</w:t>
    </w:r>
    <w:r w:rsidRPr="005A73F9">
      <w:rPr>
        <w:rFonts w:cs="Arial"/>
        <w:sz w:val="20"/>
        <w:szCs w:val="20"/>
      </w:rPr>
      <w:t>)</w:t>
    </w:r>
    <w:r>
      <w:rPr>
        <w:rFonts w:cs="Arial"/>
        <w:sz w:val="20"/>
        <w:szCs w:val="20"/>
      </w:rPr>
      <w:tab/>
    </w:r>
    <w:r>
      <w:rPr>
        <w:rFonts w:cs="Arial"/>
        <w:sz w:val="20"/>
        <w:szCs w:val="20"/>
      </w:rPr>
      <w:tab/>
    </w:r>
  </w:p>
  <w:p w14:paraId="1FC4EC24" w14:textId="658A4D82" w:rsidR="00AA68F8" w:rsidRPr="00187531" w:rsidRDefault="00AA68F8" w:rsidP="00594C89">
    <w:pPr>
      <w:pBdr>
        <w:top w:val="single" w:sz="4" w:space="0" w:color="auto"/>
      </w:pBdr>
      <w:tabs>
        <w:tab w:val="center" w:pos="4320"/>
        <w:tab w:val="right" w:pos="9360"/>
      </w:tabs>
      <w:rPr>
        <w:rFonts w:cs="Arial"/>
        <w:sz w:val="20"/>
        <w:szCs w:val="20"/>
      </w:rPr>
    </w:pPr>
    <w:r>
      <w:rPr>
        <w:rFonts w:cs="Arial"/>
        <w:sz w:val="20"/>
        <w:szCs w:val="20"/>
      </w:rPr>
      <w:t>WRP Facilities Assessment and Master Plan</w:t>
    </w:r>
    <w:r w:rsidRPr="005A73F9">
      <w:rPr>
        <w:rFonts w:cs="Arial"/>
        <w:sz w:val="20"/>
        <w:szCs w:val="20"/>
      </w:rPr>
      <w:tab/>
    </w:r>
    <w:r w:rsidRPr="005A73F9">
      <w:rPr>
        <w:rFonts w:cs="Arial"/>
        <w:sz w:val="20"/>
        <w:szCs w:val="20"/>
      </w:rPr>
      <w:tab/>
    </w:r>
    <w:r>
      <w:rPr>
        <w:rFonts w:cs="Arial"/>
        <w:sz w:val="20"/>
        <w:szCs w:val="20"/>
      </w:rPr>
      <w:t>May 2020</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9BF92" w14:textId="00C292BE" w:rsidR="00AA68F8" w:rsidRPr="00725868" w:rsidRDefault="00AA68F8" w:rsidP="0072586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268BA0" w14:textId="77777777" w:rsidR="00AA68F8" w:rsidRDefault="00AA68F8">
      <w:r>
        <w:separator/>
      </w:r>
    </w:p>
    <w:p w14:paraId="5DC739AC" w14:textId="77777777" w:rsidR="00AA68F8" w:rsidRDefault="00AA68F8"/>
    <w:p w14:paraId="3EFC66EF" w14:textId="77777777" w:rsidR="00AA68F8" w:rsidRDefault="00AA68F8"/>
  </w:footnote>
  <w:footnote w:type="continuationSeparator" w:id="0">
    <w:p w14:paraId="1782065A" w14:textId="77777777" w:rsidR="00AA68F8" w:rsidRDefault="00AA68F8">
      <w:r>
        <w:continuationSeparator/>
      </w:r>
    </w:p>
    <w:p w14:paraId="723A5DDE" w14:textId="77777777" w:rsidR="00AA68F8" w:rsidRDefault="00AA68F8"/>
    <w:p w14:paraId="4430102C" w14:textId="77777777" w:rsidR="00AA68F8" w:rsidRDefault="00AA68F8"/>
  </w:footnote>
  <w:footnote w:type="continuationNotice" w:id="1">
    <w:p w14:paraId="4BFBF164" w14:textId="77777777" w:rsidR="00AA68F8" w:rsidRDefault="00AA68F8"/>
    <w:p w14:paraId="1B685AEE" w14:textId="77777777" w:rsidR="00AA68F8" w:rsidRDefault="00AA68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A0866" w14:textId="28BE578F" w:rsidR="00AA68F8" w:rsidRDefault="00AA68F8" w:rsidP="00187531">
    <w:pPr>
      <w:tabs>
        <w:tab w:val="right" w:pos="9360"/>
      </w:tabs>
      <w:spacing w:after="240"/>
      <w:rPr>
        <w:b/>
        <w:bCs/>
        <w:i/>
        <w:iCs/>
        <w:caps/>
        <w:sz w:val="32"/>
        <w:szCs w:val="20"/>
      </w:rPr>
    </w:pPr>
    <w:r>
      <w:rPr>
        <w:rFonts w:ascii="Segoe UI" w:hAnsi="Segoe UI" w:cs="Segoe UI"/>
        <w:noProof/>
      </w:rPr>
      <w:drawing>
        <wp:anchor distT="0" distB="0" distL="114300" distR="114300" simplePos="0" relativeHeight="251658244" behindDoc="0" locked="0" layoutInCell="1" allowOverlap="1" wp14:anchorId="05F89487" wp14:editId="27404234">
          <wp:simplePos x="0" y="0"/>
          <wp:positionH relativeFrom="margin">
            <wp:posOffset>3819525</wp:posOffset>
          </wp:positionH>
          <wp:positionV relativeFrom="paragraph">
            <wp:posOffset>46771</wp:posOffset>
          </wp:positionV>
          <wp:extent cx="1463040" cy="457383"/>
          <wp:effectExtent l="0" t="0" r="381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3040" cy="45738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aps/>
        <w:noProof/>
        <w:szCs w:val="20"/>
      </w:rPr>
      <w:drawing>
        <wp:anchor distT="0" distB="0" distL="114300" distR="114300" simplePos="0" relativeHeight="251658241" behindDoc="0" locked="0" layoutInCell="1" allowOverlap="1" wp14:anchorId="14896E00" wp14:editId="0D66FBDC">
          <wp:simplePos x="0" y="0"/>
          <wp:positionH relativeFrom="column">
            <wp:posOffset>5486400</wp:posOffset>
          </wp:positionH>
          <wp:positionV relativeFrom="paragraph">
            <wp:posOffset>-107950</wp:posOffset>
          </wp:positionV>
          <wp:extent cx="492125" cy="617220"/>
          <wp:effectExtent l="0" t="0" r="3175" b="0"/>
          <wp:wrapNone/>
          <wp:docPr id="57" name="Picture 57"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2125"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10353" w14:textId="05477AE2" w:rsidR="00AA68F8" w:rsidRDefault="00AA68F8" w:rsidP="00187531">
    <w:pPr>
      <w:pBdr>
        <w:bottom w:val="single" w:sz="4" w:space="1" w:color="auto"/>
      </w:pBdr>
      <w:spacing w:after="120"/>
    </w:pPr>
  </w:p>
  <w:p w14:paraId="5DA971EC" w14:textId="77777777" w:rsidR="00AA68F8" w:rsidRPr="00400087" w:rsidRDefault="00AA68F8" w:rsidP="00187531"/>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54944" w14:textId="77777777" w:rsidR="00AA68F8" w:rsidRDefault="00AA68F8" w:rsidP="006B0AA4">
    <w:pPr>
      <w:tabs>
        <w:tab w:val="left" w:pos="3690"/>
      </w:tabs>
      <w:spacing w:after="240"/>
      <w:rPr>
        <w:b/>
        <w:bCs/>
        <w:i/>
        <w:iCs/>
        <w:caps/>
        <w:sz w:val="32"/>
        <w:szCs w:val="20"/>
      </w:rPr>
    </w:pPr>
    <w:r>
      <w:rPr>
        <w:rFonts w:ascii="Times New Roman" w:hAnsi="Times New Roman"/>
        <w:caps/>
        <w:noProof/>
        <w:szCs w:val="20"/>
      </w:rPr>
      <w:drawing>
        <wp:anchor distT="0" distB="0" distL="114300" distR="114300" simplePos="0" relativeHeight="251663374" behindDoc="0" locked="0" layoutInCell="1" allowOverlap="1" wp14:anchorId="1E51F2A3" wp14:editId="48D61C73">
          <wp:simplePos x="0" y="0"/>
          <wp:positionH relativeFrom="column">
            <wp:posOffset>5486400</wp:posOffset>
          </wp:positionH>
          <wp:positionV relativeFrom="paragraph">
            <wp:posOffset>-107950</wp:posOffset>
          </wp:positionV>
          <wp:extent cx="493776" cy="621792"/>
          <wp:effectExtent l="0" t="0" r="1905" b="6985"/>
          <wp:wrapNone/>
          <wp:docPr id="63" name="Picture 63"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rPr>
      <w:drawing>
        <wp:anchor distT="0" distB="0" distL="114300" distR="114300" simplePos="0" relativeHeight="251664398" behindDoc="0" locked="0" layoutInCell="1" allowOverlap="1" wp14:anchorId="590E3B52" wp14:editId="1206A6F0">
          <wp:simplePos x="0" y="0"/>
          <wp:positionH relativeFrom="margin">
            <wp:posOffset>3822065</wp:posOffset>
          </wp:positionH>
          <wp:positionV relativeFrom="paragraph">
            <wp:posOffset>43180</wp:posOffset>
          </wp:positionV>
          <wp:extent cx="1463040" cy="457200"/>
          <wp:effectExtent l="0" t="0" r="3810" b="0"/>
          <wp:wrapNone/>
          <wp:docPr id="2060776800" name="Picture 206077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59388DBE" w14:textId="77777777" w:rsidR="00AA68F8" w:rsidRDefault="00AA68F8" w:rsidP="00F0583C">
    <w:pPr>
      <w:pBdr>
        <w:bottom w:val="single" w:sz="4" w:space="1" w:color="auto"/>
      </w:pBdr>
      <w:spacing w:after="120"/>
    </w:pPr>
  </w:p>
  <w:p w14:paraId="69A29C45" w14:textId="77777777" w:rsidR="00AA68F8" w:rsidRPr="00400087" w:rsidRDefault="00AA68F8" w:rsidP="00F0583C"/>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19B9D" w14:textId="2390DB4F" w:rsidR="00AA68F8" w:rsidRDefault="00AA68F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6739E" w14:textId="073A3859" w:rsidR="00AA68F8" w:rsidRDefault="00AA68F8" w:rsidP="00F0583C">
    <w:pPr>
      <w:tabs>
        <w:tab w:val="right" w:pos="9360"/>
      </w:tabs>
      <w:spacing w:after="240"/>
      <w:rPr>
        <w:b/>
        <w:bCs/>
        <w:i/>
        <w:iCs/>
        <w:caps/>
        <w:sz w:val="32"/>
        <w:szCs w:val="20"/>
      </w:rPr>
    </w:pPr>
    <w:r>
      <w:rPr>
        <w:rFonts w:ascii="Times New Roman" w:hAnsi="Times New Roman"/>
        <w:caps/>
        <w:noProof/>
        <w:szCs w:val="20"/>
      </w:rPr>
      <w:drawing>
        <wp:anchor distT="0" distB="0" distL="114300" distR="114300" simplePos="0" relativeHeight="251658245" behindDoc="0" locked="0" layoutInCell="1" allowOverlap="1" wp14:anchorId="29B2B223" wp14:editId="2FE685F5">
          <wp:simplePos x="0" y="0"/>
          <wp:positionH relativeFrom="column">
            <wp:posOffset>3822065</wp:posOffset>
          </wp:positionH>
          <wp:positionV relativeFrom="paragraph">
            <wp:posOffset>45720</wp:posOffset>
          </wp:positionV>
          <wp:extent cx="1463040" cy="457200"/>
          <wp:effectExtent l="0" t="0" r="3810" b="0"/>
          <wp:wrapNone/>
          <wp:docPr id="58" name="Picture 5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zen Logo_CMYK_Large.jpg"/>
                  <pic:cNvPicPr/>
                </pic:nvPicPr>
                <pic:blipFill>
                  <a:blip r:embed="rId1">
                    <a:extLst>
                      <a:ext uri="{28A0092B-C50C-407E-A947-70E740481C1C}">
                        <a14:useLocalDpi xmlns:a14="http://schemas.microsoft.com/office/drawing/2010/main" val="0"/>
                      </a:ext>
                    </a:extLst>
                  </a:blip>
                  <a:stretch>
                    <a:fillRect/>
                  </a:stretch>
                </pic:blipFill>
                <pic:spPr>
                  <a:xfrm>
                    <a:off x="0" y="0"/>
                    <a:ext cx="1463040" cy="457200"/>
                  </a:xfrm>
                  <a:prstGeom prst="rect">
                    <a:avLst/>
                  </a:prstGeom>
                </pic:spPr>
              </pic:pic>
            </a:graphicData>
          </a:graphic>
        </wp:anchor>
      </w:drawing>
    </w:r>
    <w:r>
      <w:rPr>
        <w:rFonts w:ascii="Times New Roman" w:hAnsi="Times New Roman"/>
        <w:caps/>
        <w:noProof/>
        <w:szCs w:val="20"/>
      </w:rPr>
      <w:drawing>
        <wp:anchor distT="0" distB="0" distL="114300" distR="114300" simplePos="0" relativeHeight="251658246" behindDoc="0" locked="0" layoutInCell="1" allowOverlap="1" wp14:anchorId="4218DA01" wp14:editId="4E70301B">
          <wp:simplePos x="0" y="0"/>
          <wp:positionH relativeFrom="column">
            <wp:posOffset>5486400</wp:posOffset>
          </wp:positionH>
          <wp:positionV relativeFrom="paragraph">
            <wp:posOffset>-107950</wp:posOffset>
          </wp:positionV>
          <wp:extent cx="492125" cy="617220"/>
          <wp:effectExtent l="0" t="0" r="3175" b="0"/>
          <wp:wrapNone/>
          <wp:docPr id="59" name="Picture 59"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2125"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E2B53" w14:textId="77777777" w:rsidR="00AA68F8" w:rsidRDefault="00AA68F8" w:rsidP="00F0583C">
    <w:pPr>
      <w:pBdr>
        <w:bottom w:val="single" w:sz="4" w:space="1" w:color="auto"/>
      </w:pBdr>
      <w:spacing w:after="120"/>
    </w:pPr>
  </w:p>
  <w:p w14:paraId="4310DF17" w14:textId="77777777" w:rsidR="00AA68F8" w:rsidRPr="00400087" w:rsidRDefault="00AA68F8" w:rsidP="00F0583C"/>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8314E" w14:textId="17333BFB" w:rsidR="00AA68F8" w:rsidRDefault="00AA68F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81D66F" w14:textId="43079CB9" w:rsidR="00AA68F8" w:rsidRDefault="00AA68F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8D1B6" w14:textId="5F906F38" w:rsidR="00AA68F8" w:rsidRDefault="00AA68F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EE864" w14:textId="2061F0F1" w:rsidR="00AA68F8" w:rsidRDefault="00AA68F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B0674" w14:textId="77777777" w:rsidR="00AA68F8" w:rsidRPr="00725868" w:rsidRDefault="00AA68F8" w:rsidP="00725868"/>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B6F46" w14:textId="161435D5" w:rsidR="00AA68F8" w:rsidRDefault="00AA68F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05902" w14:textId="766C585E" w:rsidR="00AA68F8" w:rsidRDefault="00AA68F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9A2CDD" w14:textId="358700B7" w:rsidR="00AA68F8" w:rsidRDefault="00AA68F8" w:rsidP="006B0AA4">
    <w:pPr>
      <w:tabs>
        <w:tab w:val="left" w:pos="3690"/>
      </w:tabs>
      <w:spacing w:after="240"/>
      <w:rPr>
        <w:b/>
        <w:bCs/>
        <w:i/>
        <w:iCs/>
        <w:caps/>
        <w:sz w:val="32"/>
        <w:szCs w:val="20"/>
      </w:rPr>
    </w:pPr>
    <w:r>
      <w:rPr>
        <w:rFonts w:ascii="Segoe UI" w:hAnsi="Segoe UI" w:cs="Segoe UI"/>
        <w:noProof/>
      </w:rPr>
      <w:drawing>
        <wp:anchor distT="0" distB="0" distL="114300" distR="114300" simplePos="0" relativeHeight="251658243" behindDoc="0" locked="0" layoutInCell="1" allowOverlap="1" wp14:anchorId="6256A7C5" wp14:editId="781E6921">
          <wp:simplePos x="0" y="0"/>
          <wp:positionH relativeFrom="margin">
            <wp:posOffset>3819525</wp:posOffset>
          </wp:positionH>
          <wp:positionV relativeFrom="paragraph">
            <wp:posOffset>43180</wp:posOffset>
          </wp:positionV>
          <wp:extent cx="1463040" cy="457200"/>
          <wp:effectExtent l="0" t="0" r="381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aps/>
        <w:noProof/>
        <w:szCs w:val="20"/>
      </w:rPr>
      <w:drawing>
        <wp:anchor distT="0" distB="0" distL="114300" distR="114300" simplePos="0" relativeHeight="251658242" behindDoc="0" locked="0" layoutInCell="1" allowOverlap="1" wp14:anchorId="79B07BE3" wp14:editId="316F6CA4">
          <wp:simplePos x="0" y="0"/>
          <wp:positionH relativeFrom="column">
            <wp:posOffset>5486400</wp:posOffset>
          </wp:positionH>
          <wp:positionV relativeFrom="paragraph">
            <wp:posOffset>-107950</wp:posOffset>
          </wp:positionV>
          <wp:extent cx="493776" cy="621792"/>
          <wp:effectExtent l="0" t="0" r="1905" b="6985"/>
          <wp:wrapNone/>
          <wp:docPr id="36" name="Picture 36"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3BB7F27A" w14:textId="77777777" w:rsidR="00AA68F8" w:rsidRDefault="00AA68F8" w:rsidP="00F0583C">
    <w:pPr>
      <w:pBdr>
        <w:bottom w:val="single" w:sz="4" w:space="1" w:color="auto"/>
      </w:pBdr>
      <w:spacing w:after="120"/>
    </w:pPr>
  </w:p>
  <w:p w14:paraId="1ADE0425" w14:textId="77777777" w:rsidR="00AA68F8" w:rsidRPr="00400087" w:rsidRDefault="00AA68F8" w:rsidP="00F0583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DA8CFF" w14:textId="2931CC03" w:rsidR="00AA68F8" w:rsidRDefault="00AA68F8" w:rsidP="001B473D">
    <w:pPr>
      <w:tabs>
        <w:tab w:val="right" w:pos="9360"/>
      </w:tabs>
      <w:spacing w:after="240"/>
      <w:rPr>
        <w:b/>
        <w:bCs/>
        <w:i/>
        <w:iCs/>
        <w:caps/>
        <w:sz w:val="32"/>
        <w:szCs w:val="20"/>
      </w:rPr>
    </w:pPr>
    <w:r>
      <w:rPr>
        <w:rFonts w:ascii="Times New Roman" w:hAnsi="Times New Roman"/>
        <w:caps/>
        <w:noProof/>
        <w:szCs w:val="20"/>
      </w:rPr>
      <w:drawing>
        <wp:anchor distT="0" distB="0" distL="114300" distR="114300" simplePos="0" relativeHeight="251658240" behindDoc="0" locked="0" layoutInCell="1" allowOverlap="1" wp14:anchorId="0DD41FAB" wp14:editId="1DCFA5D0">
          <wp:simplePos x="0" y="0"/>
          <wp:positionH relativeFrom="column">
            <wp:posOffset>5486400</wp:posOffset>
          </wp:positionH>
          <wp:positionV relativeFrom="paragraph">
            <wp:posOffset>-107950</wp:posOffset>
          </wp:positionV>
          <wp:extent cx="492125" cy="617220"/>
          <wp:effectExtent l="0" t="0" r="3175" b="0"/>
          <wp:wrapNone/>
          <wp:docPr id="37" name="Picture 37"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2125"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FF5D8" w14:textId="77777777" w:rsidR="00AA68F8" w:rsidRDefault="00AA68F8" w:rsidP="001B473D">
    <w:pPr>
      <w:pBdr>
        <w:bottom w:val="single" w:sz="4" w:space="1" w:color="auto"/>
      </w:pBdr>
      <w:spacing w:after="120"/>
    </w:pPr>
  </w:p>
  <w:p w14:paraId="6C6725D3" w14:textId="77777777" w:rsidR="00AA68F8" w:rsidRPr="00400087" w:rsidRDefault="00AA68F8" w:rsidP="001B473D"/>
  <w:p w14:paraId="4C22FEFF" w14:textId="77777777" w:rsidR="00AA68F8" w:rsidRDefault="00AA68F8" w:rsidP="001B473D">
    <w:pPr>
      <w:pStyle w:val="Header"/>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C324D" w14:textId="7017B681" w:rsidR="00AA68F8" w:rsidRDefault="00AA68F8" w:rsidP="006B0AA4">
    <w:pPr>
      <w:tabs>
        <w:tab w:val="left" w:pos="3690"/>
      </w:tabs>
      <w:spacing w:after="240"/>
      <w:rPr>
        <w:b/>
        <w:bCs/>
        <w:i/>
        <w:iCs/>
        <w:caps/>
        <w:sz w:val="32"/>
        <w:szCs w:val="20"/>
      </w:rPr>
    </w:pPr>
    <w:r>
      <w:rPr>
        <w:rFonts w:ascii="Segoe UI" w:hAnsi="Segoe UI" w:cs="Segoe UI"/>
        <w:noProof/>
      </w:rPr>
      <w:drawing>
        <wp:anchor distT="0" distB="0" distL="114300" distR="114300" simplePos="0" relativeHeight="251658252" behindDoc="0" locked="0" layoutInCell="1" allowOverlap="1" wp14:anchorId="79252F6D" wp14:editId="04222A64">
          <wp:simplePos x="0" y="0"/>
          <wp:positionH relativeFrom="margin">
            <wp:posOffset>5838825</wp:posOffset>
          </wp:positionH>
          <wp:positionV relativeFrom="paragraph">
            <wp:posOffset>43180</wp:posOffset>
          </wp:positionV>
          <wp:extent cx="1463040" cy="457200"/>
          <wp:effectExtent l="0" t="0" r="381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aps/>
        <w:noProof/>
        <w:szCs w:val="20"/>
      </w:rPr>
      <w:drawing>
        <wp:anchor distT="0" distB="0" distL="114300" distR="114300" simplePos="0" relativeHeight="251658251" behindDoc="0" locked="0" layoutInCell="1" allowOverlap="1" wp14:anchorId="6E9EDCF3" wp14:editId="5C95C461">
          <wp:simplePos x="0" y="0"/>
          <wp:positionH relativeFrom="column">
            <wp:posOffset>7506269</wp:posOffset>
          </wp:positionH>
          <wp:positionV relativeFrom="paragraph">
            <wp:posOffset>-107950</wp:posOffset>
          </wp:positionV>
          <wp:extent cx="493776" cy="621792"/>
          <wp:effectExtent l="0" t="0" r="1905" b="6985"/>
          <wp:wrapNone/>
          <wp:docPr id="39" name="Picture 39"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26F27BD5" w14:textId="77777777" w:rsidR="00AA68F8" w:rsidRDefault="00AA68F8" w:rsidP="00F0583C">
    <w:pPr>
      <w:pBdr>
        <w:bottom w:val="single" w:sz="4" w:space="1" w:color="auto"/>
      </w:pBdr>
      <w:spacing w:after="120"/>
    </w:pPr>
  </w:p>
  <w:p w14:paraId="3F855546" w14:textId="77777777" w:rsidR="00AA68F8" w:rsidRPr="00400087" w:rsidRDefault="00AA68F8" w:rsidP="00F0583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D276E" w14:textId="77777777" w:rsidR="00AA68F8" w:rsidRDefault="00AA68F8" w:rsidP="006B0AA4">
    <w:pPr>
      <w:tabs>
        <w:tab w:val="left" w:pos="3690"/>
      </w:tabs>
      <w:spacing w:after="240"/>
      <w:rPr>
        <w:b/>
        <w:bCs/>
        <w:i/>
        <w:iCs/>
        <w:caps/>
        <w:sz w:val="32"/>
        <w:szCs w:val="20"/>
      </w:rPr>
    </w:pPr>
    <w:r>
      <w:rPr>
        <w:rFonts w:ascii="Segoe UI" w:hAnsi="Segoe UI" w:cs="Segoe UI"/>
        <w:noProof/>
      </w:rPr>
      <w:drawing>
        <wp:anchor distT="0" distB="0" distL="114300" distR="114300" simplePos="0" relativeHeight="251658254" behindDoc="0" locked="0" layoutInCell="1" allowOverlap="1" wp14:anchorId="2EC64566" wp14:editId="07611421">
          <wp:simplePos x="0" y="0"/>
          <wp:positionH relativeFrom="margin">
            <wp:posOffset>3819525</wp:posOffset>
          </wp:positionH>
          <wp:positionV relativeFrom="paragraph">
            <wp:posOffset>43180</wp:posOffset>
          </wp:positionV>
          <wp:extent cx="1463040" cy="457200"/>
          <wp:effectExtent l="0" t="0" r="381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aps/>
        <w:noProof/>
        <w:szCs w:val="20"/>
      </w:rPr>
      <w:drawing>
        <wp:anchor distT="0" distB="0" distL="114300" distR="114300" simplePos="0" relativeHeight="251658253" behindDoc="0" locked="0" layoutInCell="1" allowOverlap="1" wp14:anchorId="324DE0B3" wp14:editId="70B1FB08">
          <wp:simplePos x="0" y="0"/>
          <wp:positionH relativeFrom="column">
            <wp:posOffset>5486400</wp:posOffset>
          </wp:positionH>
          <wp:positionV relativeFrom="paragraph">
            <wp:posOffset>-107950</wp:posOffset>
          </wp:positionV>
          <wp:extent cx="493776" cy="621792"/>
          <wp:effectExtent l="0" t="0" r="1905" b="6985"/>
          <wp:wrapNone/>
          <wp:docPr id="41" name="Picture 41"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6BCE9BB2" w14:textId="77777777" w:rsidR="00AA68F8" w:rsidRDefault="00AA68F8" w:rsidP="00F0583C">
    <w:pPr>
      <w:pBdr>
        <w:bottom w:val="single" w:sz="4" w:space="1" w:color="auto"/>
      </w:pBdr>
      <w:spacing w:after="120"/>
    </w:pPr>
  </w:p>
  <w:p w14:paraId="7037FBDD" w14:textId="77777777" w:rsidR="00AA68F8" w:rsidRPr="00400087" w:rsidRDefault="00AA68F8" w:rsidP="00F0583C"/>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8C4EAB" w14:textId="216A950E" w:rsidR="00AA68F8" w:rsidRDefault="00AA68F8" w:rsidP="006B0AA4">
    <w:pPr>
      <w:tabs>
        <w:tab w:val="left" w:pos="3690"/>
      </w:tabs>
      <w:spacing w:after="240"/>
      <w:rPr>
        <w:b/>
        <w:bCs/>
        <w:i/>
        <w:iCs/>
        <w:caps/>
        <w:sz w:val="32"/>
        <w:szCs w:val="20"/>
      </w:rPr>
    </w:pPr>
    <w:r>
      <w:rPr>
        <w:rFonts w:ascii="Times New Roman" w:hAnsi="Times New Roman"/>
        <w:caps/>
        <w:noProof/>
        <w:szCs w:val="20"/>
      </w:rPr>
      <w:drawing>
        <wp:anchor distT="0" distB="0" distL="114300" distR="114300" simplePos="0" relativeHeight="251658247" behindDoc="0" locked="0" layoutInCell="1" allowOverlap="1" wp14:anchorId="5E4B7920" wp14:editId="7889F779">
          <wp:simplePos x="0" y="0"/>
          <wp:positionH relativeFrom="column">
            <wp:posOffset>7772400</wp:posOffset>
          </wp:positionH>
          <wp:positionV relativeFrom="paragraph">
            <wp:posOffset>-107950</wp:posOffset>
          </wp:positionV>
          <wp:extent cx="493776" cy="621792"/>
          <wp:effectExtent l="0" t="0" r="1905" b="6985"/>
          <wp:wrapNone/>
          <wp:docPr id="42" name="Picture 42"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rPr>
      <w:drawing>
        <wp:anchor distT="0" distB="0" distL="114300" distR="114300" simplePos="0" relativeHeight="251658248" behindDoc="0" locked="0" layoutInCell="1" allowOverlap="1" wp14:anchorId="6F72A9D4" wp14:editId="5FE7DBBC">
          <wp:simplePos x="0" y="0"/>
          <wp:positionH relativeFrom="margin">
            <wp:posOffset>6108065</wp:posOffset>
          </wp:positionH>
          <wp:positionV relativeFrom="paragraph">
            <wp:posOffset>43180</wp:posOffset>
          </wp:positionV>
          <wp:extent cx="1463040" cy="457200"/>
          <wp:effectExtent l="0" t="0" r="381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12B2ABC6" w14:textId="77777777" w:rsidR="00AA68F8" w:rsidRDefault="00AA68F8" w:rsidP="00F0583C">
    <w:pPr>
      <w:pBdr>
        <w:bottom w:val="single" w:sz="4" w:space="1" w:color="auto"/>
      </w:pBdr>
      <w:spacing w:after="120"/>
    </w:pPr>
  </w:p>
  <w:p w14:paraId="6B748080" w14:textId="77777777" w:rsidR="00AA68F8" w:rsidRPr="00400087" w:rsidRDefault="00AA68F8" w:rsidP="00F0583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7849C" w14:textId="77777777" w:rsidR="00AA68F8" w:rsidRDefault="00AA68F8" w:rsidP="006B0AA4">
    <w:pPr>
      <w:tabs>
        <w:tab w:val="left" w:pos="3690"/>
      </w:tabs>
      <w:spacing w:after="240"/>
      <w:rPr>
        <w:b/>
        <w:bCs/>
        <w:i/>
        <w:iCs/>
        <w:caps/>
        <w:sz w:val="32"/>
        <w:szCs w:val="20"/>
      </w:rPr>
    </w:pPr>
    <w:r>
      <w:rPr>
        <w:rFonts w:ascii="Times New Roman" w:hAnsi="Times New Roman"/>
        <w:caps/>
        <w:noProof/>
        <w:szCs w:val="20"/>
      </w:rPr>
      <w:drawing>
        <wp:anchor distT="0" distB="0" distL="114300" distR="114300" simplePos="0" relativeHeight="251658249" behindDoc="0" locked="0" layoutInCell="1" allowOverlap="1" wp14:anchorId="6B5856B2" wp14:editId="0DA7FC3B">
          <wp:simplePos x="0" y="0"/>
          <wp:positionH relativeFrom="column">
            <wp:posOffset>5486400</wp:posOffset>
          </wp:positionH>
          <wp:positionV relativeFrom="paragraph">
            <wp:posOffset>-107950</wp:posOffset>
          </wp:positionV>
          <wp:extent cx="493776" cy="621792"/>
          <wp:effectExtent l="0" t="0" r="1905" b="6985"/>
          <wp:wrapNone/>
          <wp:docPr id="45" name="Picture 45"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rPr>
      <w:drawing>
        <wp:anchor distT="0" distB="0" distL="114300" distR="114300" simplePos="0" relativeHeight="251658250" behindDoc="0" locked="0" layoutInCell="1" allowOverlap="1" wp14:anchorId="0338D829" wp14:editId="0EF94903">
          <wp:simplePos x="0" y="0"/>
          <wp:positionH relativeFrom="margin">
            <wp:posOffset>3822065</wp:posOffset>
          </wp:positionH>
          <wp:positionV relativeFrom="paragraph">
            <wp:posOffset>43180</wp:posOffset>
          </wp:positionV>
          <wp:extent cx="1463040" cy="457200"/>
          <wp:effectExtent l="0" t="0" r="381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1AC72D2A" w14:textId="77777777" w:rsidR="00AA68F8" w:rsidRDefault="00AA68F8" w:rsidP="00F0583C">
    <w:pPr>
      <w:pBdr>
        <w:bottom w:val="single" w:sz="4" w:space="1" w:color="auto"/>
      </w:pBdr>
      <w:spacing w:after="120"/>
    </w:pPr>
  </w:p>
  <w:p w14:paraId="661C6B96" w14:textId="77777777" w:rsidR="00AA68F8" w:rsidRPr="00400087" w:rsidRDefault="00AA68F8" w:rsidP="00F0583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A1D846" w14:textId="77777777" w:rsidR="00AA68F8" w:rsidRDefault="00AA68F8" w:rsidP="006B0AA4">
    <w:pPr>
      <w:tabs>
        <w:tab w:val="left" w:pos="3690"/>
      </w:tabs>
      <w:spacing w:after="240"/>
      <w:rPr>
        <w:b/>
        <w:bCs/>
        <w:i/>
        <w:iCs/>
        <w:caps/>
        <w:sz w:val="32"/>
        <w:szCs w:val="20"/>
      </w:rPr>
    </w:pPr>
    <w:r>
      <w:rPr>
        <w:rFonts w:ascii="Segoe UI" w:hAnsi="Segoe UI" w:cs="Segoe UI"/>
        <w:noProof/>
      </w:rPr>
      <w:drawing>
        <wp:anchor distT="0" distB="0" distL="114300" distR="114300" simplePos="0" relativeHeight="251667470" behindDoc="0" locked="0" layoutInCell="1" allowOverlap="1" wp14:anchorId="5F5AF17A" wp14:editId="3EEEB53B">
          <wp:simplePos x="0" y="0"/>
          <wp:positionH relativeFrom="margin">
            <wp:posOffset>5841365</wp:posOffset>
          </wp:positionH>
          <wp:positionV relativeFrom="paragraph">
            <wp:posOffset>43180</wp:posOffset>
          </wp:positionV>
          <wp:extent cx="1463040" cy="457200"/>
          <wp:effectExtent l="0" t="0" r="3810" b="0"/>
          <wp:wrapNone/>
          <wp:docPr id="2060776819" name="Picture 206077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F49.425550D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30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aps/>
        <w:noProof/>
        <w:szCs w:val="20"/>
      </w:rPr>
      <w:drawing>
        <wp:anchor distT="0" distB="0" distL="114300" distR="114300" simplePos="0" relativeHeight="251666446" behindDoc="0" locked="0" layoutInCell="1" allowOverlap="1" wp14:anchorId="66AB6A8E" wp14:editId="5923A66C">
          <wp:simplePos x="0" y="0"/>
          <wp:positionH relativeFrom="column">
            <wp:posOffset>7505700</wp:posOffset>
          </wp:positionH>
          <wp:positionV relativeFrom="paragraph">
            <wp:posOffset>-107950</wp:posOffset>
          </wp:positionV>
          <wp:extent cx="493776" cy="621792"/>
          <wp:effectExtent l="0" t="0" r="1905" b="6985"/>
          <wp:wrapNone/>
          <wp:docPr id="2060776820" name="Picture 2060776820" descr="W&am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mp;C logo"/>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3776" cy="621792"/>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
        <w:iCs/>
        <w:caps/>
        <w:sz w:val="32"/>
        <w:szCs w:val="20"/>
      </w:rPr>
      <w:tab/>
    </w:r>
  </w:p>
  <w:p w14:paraId="59F2B245" w14:textId="77777777" w:rsidR="00AA68F8" w:rsidRDefault="00AA68F8" w:rsidP="00F0583C">
    <w:pPr>
      <w:pBdr>
        <w:bottom w:val="single" w:sz="4" w:space="1" w:color="auto"/>
      </w:pBdr>
      <w:spacing w:after="120"/>
    </w:pPr>
  </w:p>
  <w:p w14:paraId="4EADEDC9" w14:textId="77777777" w:rsidR="00AA68F8" w:rsidRPr="00400087" w:rsidRDefault="00AA68F8" w:rsidP="00F0583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37B0B42C"/>
    <w:lvl w:ilvl="0">
      <w:start w:val="1"/>
      <w:numFmt w:val="decimal"/>
      <w:pStyle w:val="Heading1"/>
      <w:lvlText w:val="%1."/>
      <w:lvlJc w:val="left"/>
      <w:pPr>
        <w:tabs>
          <w:tab w:val="num" w:pos="547"/>
        </w:tabs>
        <w:ind w:left="547" w:hanging="547"/>
      </w:pPr>
      <w:rPr>
        <w:rFonts w:hint="default"/>
      </w:rPr>
    </w:lvl>
    <w:lvl w:ilvl="1">
      <w:start w:val="1"/>
      <w:numFmt w:val="decimal"/>
      <w:pStyle w:val="Heading2"/>
      <w:lvlText w:val="%1.%2"/>
      <w:lvlJc w:val="left"/>
      <w:pPr>
        <w:tabs>
          <w:tab w:val="num" w:pos="547"/>
        </w:tabs>
        <w:ind w:left="547" w:hanging="547"/>
      </w:pPr>
      <w:rPr>
        <w:rFonts w:hint="default"/>
      </w:rPr>
    </w:lvl>
    <w:lvl w:ilvl="2">
      <w:start w:val="1"/>
      <w:numFmt w:val="decimal"/>
      <w:pStyle w:val="Heading3"/>
      <w:lvlText w:val="%1.%2.%3"/>
      <w:lvlJc w:val="left"/>
      <w:pPr>
        <w:tabs>
          <w:tab w:val="num" w:pos="720"/>
        </w:tabs>
        <w:ind w:left="72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0"/>
        </w:tabs>
        <w:ind w:left="0" w:firstLine="0"/>
      </w:pPr>
      <w:rPr>
        <w:rFonts w:hint="default"/>
      </w:rPr>
    </w:lvl>
    <w:lvl w:ilvl="4">
      <w:start w:val="1"/>
      <w:numFmt w:val="decimal"/>
      <w:pStyle w:val="Heading5"/>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lvlText w:val="%1.%2.%3.%4.%5.%6.%7"/>
      <w:lvlJc w:val="left"/>
      <w:pPr>
        <w:tabs>
          <w:tab w:val="num" w:pos="0"/>
        </w:tabs>
        <w:ind w:left="0" w:firstLine="0"/>
      </w:pPr>
      <w:rPr>
        <w:rFonts w:hint="default"/>
        <w:b/>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1" w15:restartNumberingAfterBreak="0">
    <w:nsid w:val="0110631E"/>
    <w:multiLevelType w:val="hybridMultilevel"/>
    <w:tmpl w:val="9EDE3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E8414F"/>
    <w:multiLevelType w:val="hybridMultilevel"/>
    <w:tmpl w:val="54768B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E645A9"/>
    <w:multiLevelType w:val="hybridMultilevel"/>
    <w:tmpl w:val="ABEADA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 w15:restartNumberingAfterBreak="0">
    <w:nsid w:val="09E00A1F"/>
    <w:multiLevelType w:val="hybridMultilevel"/>
    <w:tmpl w:val="F086E4D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 w15:restartNumberingAfterBreak="0">
    <w:nsid w:val="0EBF7B11"/>
    <w:multiLevelType w:val="hybridMultilevel"/>
    <w:tmpl w:val="BAB66E3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6" w15:restartNumberingAfterBreak="0">
    <w:nsid w:val="107A5706"/>
    <w:multiLevelType w:val="hybridMultilevel"/>
    <w:tmpl w:val="BD4E0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0249B1"/>
    <w:multiLevelType w:val="hybridMultilevel"/>
    <w:tmpl w:val="BAB66E3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8" w15:restartNumberingAfterBreak="0">
    <w:nsid w:val="193C3650"/>
    <w:multiLevelType w:val="hybridMultilevel"/>
    <w:tmpl w:val="9A96EC78"/>
    <w:lvl w:ilvl="0" w:tplc="6F5A3E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917B17"/>
    <w:multiLevelType w:val="multilevel"/>
    <w:tmpl w:val="0409001D"/>
    <w:styleLink w:val="1ai"/>
    <w:lvl w:ilvl="0">
      <w:start w:val="1"/>
      <w:numFmt w:val="decimal"/>
      <w:lvlText w:val="%1)"/>
      <w:lvlJc w:val="left"/>
      <w:pPr>
        <w:ind w:left="360" w:hanging="360"/>
      </w:pPr>
      <w:rPr>
        <w:rFonts w:ascii="Arial Narrow" w:hAnsi="Arial Narrow"/>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EC348D7"/>
    <w:multiLevelType w:val="hybridMultilevel"/>
    <w:tmpl w:val="35068A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573A4"/>
    <w:multiLevelType w:val="hybridMultilevel"/>
    <w:tmpl w:val="ABEADA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2" w15:restartNumberingAfterBreak="0">
    <w:nsid w:val="276A3911"/>
    <w:multiLevelType w:val="hybridMultilevel"/>
    <w:tmpl w:val="6ED8F2E2"/>
    <w:lvl w:ilvl="0" w:tplc="5E1492EA">
      <w:start w:val="1"/>
      <w:numFmt w:val="decimal"/>
      <w:pStyle w:val="Numbering"/>
      <w:lvlText w:val="%1."/>
      <w:lvlJc w:val="left"/>
      <w:pPr>
        <w:ind w:left="720" w:hanging="360"/>
      </w:pPr>
    </w:lvl>
    <w:lvl w:ilvl="1" w:tplc="6F0450E8">
      <w:start w:val="1"/>
      <w:numFmt w:val="lowerLetter"/>
      <w:pStyle w:val="NumberingIndent"/>
      <w:lvlText w:val="%2."/>
      <w:lvlJc w:val="left"/>
      <w:pPr>
        <w:ind w:left="1440" w:hanging="360"/>
      </w:pPr>
    </w:lvl>
    <w:lvl w:ilvl="2" w:tplc="DE6EE32C">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D95BA4"/>
    <w:multiLevelType w:val="multilevel"/>
    <w:tmpl w:val="F1E694F6"/>
    <w:lvl w:ilvl="0">
      <w:start w:val="1"/>
      <w:numFmt w:val="decimal"/>
      <w:lvlText w:val="%1."/>
      <w:lvlJc w:val="left"/>
      <w:pPr>
        <w:tabs>
          <w:tab w:val="num" w:pos="792"/>
        </w:tabs>
        <w:ind w:left="792" w:hanging="432"/>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8451AA1"/>
    <w:multiLevelType w:val="hybridMultilevel"/>
    <w:tmpl w:val="86F4A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A129FD"/>
    <w:multiLevelType w:val="multilevel"/>
    <w:tmpl w:val="3AA2CA92"/>
    <w:styleLink w:val="WCBulletList"/>
    <w:lvl w:ilvl="0">
      <w:start w:val="1"/>
      <w:numFmt w:val="bullet"/>
      <w:lvlText w:val=""/>
      <w:lvlJc w:val="left"/>
      <w:pPr>
        <w:tabs>
          <w:tab w:val="num" w:pos="1080"/>
        </w:tabs>
        <w:ind w:left="1080" w:hanging="360"/>
      </w:pPr>
      <w:rPr>
        <w:rFonts w:ascii="Symbol" w:hAnsi="Symbol" w:hint="default"/>
        <w:b w:val="0"/>
        <w:i w:val="0"/>
        <w:color w:val="auto"/>
        <w:sz w:val="22"/>
        <w:u w:val="none"/>
      </w:rPr>
    </w:lvl>
    <w:lvl w:ilvl="1">
      <w:start w:val="1"/>
      <w:numFmt w:val="bullet"/>
      <w:lvlText w:val="-"/>
      <w:lvlJc w:val="left"/>
      <w:pPr>
        <w:tabs>
          <w:tab w:val="num" w:pos="1440"/>
        </w:tabs>
        <w:ind w:left="1440" w:hanging="360"/>
      </w:pPr>
      <w:rPr>
        <w:rFonts w:ascii="Arial Narrow" w:hAnsi="Arial Narrow" w:hint="default"/>
        <w:b w:val="0"/>
        <w:i w:val="0"/>
        <w:sz w:val="22"/>
      </w:rPr>
    </w:lvl>
    <w:lvl w:ilvl="2">
      <w:start w:val="1"/>
      <w:numFmt w:val="bullet"/>
      <w:lvlRestart w:val="1"/>
      <w:lvlText w:val=""/>
      <w:lvlJc w:val="left"/>
      <w:pPr>
        <w:tabs>
          <w:tab w:val="num" w:pos="1800"/>
        </w:tabs>
        <w:ind w:left="1800" w:hanging="360"/>
      </w:pPr>
      <w:rPr>
        <w:rFonts w:ascii="Wingdings" w:hAnsi="Wingdings" w:hint="default"/>
      </w:rPr>
    </w:lvl>
    <w:lvl w:ilvl="3">
      <w:start w:val="1"/>
      <w:numFmt w:val="bullet"/>
      <w:lvlText w:val="o"/>
      <w:lvlJc w:val="left"/>
      <w:pPr>
        <w:tabs>
          <w:tab w:val="num" w:pos="2160"/>
        </w:tabs>
        <w:ind w:left="2160" w:hanging="360"/>
      </w:pPr>
      <w:rPr>
        <w:rFonts w:ascii="Courier New" w:hAnsi="Courier New" w:hint="default"/>
        <w:b w:val="0"/>
        <w:i w:val="0"/>
        <w:sz w:val="20"/>
      </w:rPr>
    </w:lvl>
    <w:lvl w:ilvl="4">
      <w:start w:val="1"/>
      <w:numFmt w:val="bullet"/>
      <w:lvlText w:val=""/>
      <w:lvlJc w:val="left"/>
      <w:pPr>
        <w:tabs>
          <w:tab w:val="num" w:pos="2520"/>
        </w:tabs>
        <w:ind w:left="2520" w:hanging="360"/>
      </w:pPr>
      <w:rPr>
        <w:rFonts w:ascii="Symbol" w:hAnsi="Symbol" w:hint="default"/>
      </w:rPr>
    </w:lvl>
    <w:lvl w:ilvl="5">
      <w:start w:val="1"/>
      <w:numFmt w:val="bullet"/>
      <w:lvlText w:val="-"/>
      <w:lvlJc w:val="left"/>
      <w:pPr>
        <w:tabs>
          <w:tab w:val="num" w:pos="2880"/>
        </w:tabs>
        <w:ind w:left="2880" w:hanging="360"/>
      </w:pPr>
      <w:rPr>
        <w:rFonts w:ascii="Arial Narrow" w:hAnsi="Arial Narrow"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o"/>
      <w:lvlJc w:val="left"/>
      <w:pPr>
        <w:tabs>
          <w:tab w:val="num" w:pos="3600"/>
        </w:tabs>
        <w:ind w:left="3600" w:hanging="360"/>
      </w:pPr>
      <w:rPr>
        <w:rFonts w:ascii="Courier New" w:hAnsi="Courier New" w:hint="default"/>
        <w:b w:val="0"/>
        <w:i w:val="0"/>
        <w:sz w:val="20"/>
      </w:rPr>
    </w:lvl>
    <w:lvl w:ilvl="8">
      <w:start w:val="1"/>
      <w:numFmt w:val="bullet"/>
      <w:lvlText w:val=""/>
      <w:lvlJc w:val="left"/>
      <w:pPr>
        <w:tabs>
          <w:tab w:val="num" w:pos="3960"/>
        </w:tabs>
        <w:ind w:left="3960" w:hanging="360"/>
      </w:pPr>
      <w:rPr>
        <w:rFonts w:ascii="Symbol" w:hAnsi="Symbol" w:hint="default"/>
      </w:rPr>
    </w:lvl>
  </w:abstractNum>
  <w:abstractNum w:abstractNumId="16" w15:restartNumberingAfterBreak="0">
    <w:nsid w:val="2FA87A4C"/>
    <w:multiLevelType w:val="hybridMultilevel"/>
    <w:tmpl w:val="08669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683137"/>
    <w:multiLevelType w:val="hybridMultilevel"/>
    <w:tmpl w:val="74AC681E"/>
    <w:lvl w:ilvl="0" w:tplc="EF16A622">
      <w:start w:val="1"/>
      <w:numFmt w:val="lowerLetter"/>
      <w:pStyle w:val="Heading3a"/>
      <w:lvlText w:val="10.1.%1"/>
      <w:lvlJc w:val="left"/>
      <w:pPr>
        <w:ind w:left="360"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15:restartNumberingAfterBreak="0">
    <w:nsid w:val="32134918"/>
    <w:multiLevelType w:val="hybridMultilevel"/>
    <w:tmpl w:val="CBFE8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0857D2"/>
    <w:multiLevelType w:val="hybridMultilevel"/>
    <w:tmpl w:val="A1A002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43C2A18"/>
    <w:multiLevelType w:val="hybridMultilevel"/>
    <w:tmpl w:val="CFE6340A"/>
    <w:lvl w:ilvl="0" w:tplc="04090001">
      <w:start w:val="1"/>
      <w:numFmt w:val="bullet"/>
      <w:lvlText w:val=""/>
      <w:lvlJc w:val="left"/>
      <w:pPr>
        <w:ind w:left="720" w:hanging="360"/>
      </w:pPr>
      <w:rPr>
        <w:rFonts w:ascii="Symbol" w:hAnsi="Symbol" w:hint="default"/>
      </w:rPr>
    </w:lvl>
    <w:lvl w:ilvl="1" w:tplc="E294E51E">
      <w:numFmt w:val="bullet"/>
      <w:lvlText w:val="•"/>
      <w:lvlJc w:val="left"/>
      <w:pPr>
        <w:ind w:left="1485" w:hanging="405"/>
      </w:pPr>
      <w:rPr>
        <w:rFonts w:ascii="Arial Narrow" w:eastAsia="Times New Roman" w:hAnsi="Arial Narrow"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3D338D"/>
    <w:multiLevelType w:val="hybridMultilevel"/>
    <w:tmpl w:val="8BAA7EEC"/>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3B2398"/>
    <w:multiLevelType w:val="hybridMultilevel"/>
    <w:tmpl w:val="9288D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F67073"/>
    <w:multiLevelType w:val="hybridMultilevel"/>
    <w:tmpl w:val="792CE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CB4F4A"/>
    <w:multiLevelType w:val="hybridMultilevel"/>
    <w:tmpl w:val="39582D2E"/>
    <w:lvl w:ilvl="0" w:tplc="0409000F">
      <w:start w:val="1"/>
      <w:numFmt w:val="decimal"/>
      <w:lvlText w:val="%1."/>
      <w:lvlJc w:val="left"/>
      <w:pPr>
        <w:ind w:left="1440" w:hanging="360"/>
      </w:pPr>
    </w:lvl>
    <w:lvl w:ilvl="1" w:tplc="3AB466FE">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D860D0E"/>
    <w:multiLevelType w:val="hybridMultilevel"/>
    <w:tmpl w:val="ED322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EF4C3F"/>
    <w:multiLevelType w:val="hybridMultilevel"/>
    <w:tmpl w:val="8E409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A31D01"/>
    <w:multiLevelType w:val="hybridMultilevel"/>
    <w:tmpl w:val="D52A6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2336AE"/>
    <w:multiLevelType w:val="hybridMultilevel"/>
    <w:tmpl w:val="781898C4"/>
    <w:lvl w:ilvl="0" w:tplc="0409000F">
      <w:start w:val="1"/>
      <w:numFmt w:val="decimal"/>
      <w:lvlText w:val="%1."/>
      <w:lvlJc w:val="left"/>
      <w:pPr>
        <w:ind w:left="1440" w:hanging="360"/>
      </w:pPr>
    </w:lvl>
    <w:lvl w:ilvl="1" w:tplc="3AB466FE">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6A14C4B"/>
    <w:multiLevelType w:val="hybridMultilevel"/>
    <w:tmpl w:val="FFF2A1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9D23889"/>
    <w:multiLevelType w:val="hybridMultilevel"/>
    <w:tmpl w:val="ABEADA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1" w15:restartNumberingAfterBreak="0">
    <w:nsid w:val="4B6243B6"/>
    <w:multiLevelType w:val="hybridMultilevel"/>
    <w:tmpl w:val="ABEADA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2" w15:restartNumberingAfterBreak="0">
    <w:nsid w:val="58E1007C"/>
    <w:multiLevelType w:val="hybridMultilevel"/>
    <w:tmpl w:val="66148C2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3" w15:restartNumberingAfterBreak="0">
    <w:nsid w:val="5ED67F33"/>
    <w:multiLevelType w:val="hybridMultilevel"/>
    <w:tmpl w:val="14789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BF45C5"/>
    <w:multiLevelType w:val="hybridMultilevel"/>
    <w:tmpl w:val="A9361DE0"/>
    <w:lvl w:ilvl="0" w:tplc="952C374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F31D28"/>
    <w:multiLevelType w:val="hybridMultilevel"/>
    <w:tmpl w:val="C65EAEFA"/>
    <w:lvl w:ilvl="0" w:tplc="6884EAC6">
      <w:start w:val="1"/>
      <w:numFmt w:val="bullet"/>
      <w:pStyle w:val="BulletIndent"/>
      <w:lvlText w:val="-"/>
      <w:lvlJc w:val="left"/>
      <w:pPr>
        <w:ind w:left="1080" w:hanging="360"/>
      </w:pPr>
      <w:rPr>
        <w:rFonts w:ascii="Arial Narrow" w:hAnsi="Arial Narrow" w:hint="default"/>
      </w:rPr>
    </w:lvl>
    <w:lvl w:ilvl="1" w:tplc="04090005">
      <w:start w:val="1"/>
      <w:numFmt w:val="bullet"/>
      <w:lvlText w:val=""/>
      <w:lvlJc w:val="left"/>
      <w:pPr>
        <w:tabs>
          <w:tab w:val="num" w:pos="1440"/>
        </w:tabs>
        <w:ind w:left="1440" w:hanging="360"/>
      </w:pPr>
      <w:rPr>
        <w:rFonts w:ascii="Wingdings" w:hAnsi="Wingdings"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16B0BE5"/>
    <w:multiLevelType w:val="hybridMultilevel"/>
    <w:tmpl w:val="2884A2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653F60FD"/>
    <w:multiLevelType w:val="hybridMultilevel"/>
    <w:tmpl w:val="4A26F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9D649B"/>
    <w:multiLevelType w:val="hybridMultilevel"/>
    <w:tmpl w:val="A4889142"/>
    <w:lvl w:ilvl="0" w:tplc="0409000F">
      <w:start w:val="1"/>
      <w:numFmt w:val="decimal"/>
      <w:lvlText w:val="%1."/>
      <w:lvlJc w:val="left"/>
      <w:pPr>
        <w:ind w:left="1440" w:hanging="360"/>
      </w:pPr>
    </w:lvl>
    <w:lvl w:ilvl="1" w:tplc="3AB466FE">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683B75A9"/>
    <w:multiLevelType w:val="hybridMultilevel"/>
    <w:tmpl w:val="4BBCD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946BFA"/>
    <w:multiLevelType w:val="hybridMultilevel"/>
    <w:tmpl w:val="431855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231D1E"/>
    <w:multiLevelType w:val="hybridMultilevel"/>
    <w:tmpl w:val="ABEADA82"/>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2" w15:restartNumberingAfterBreak="0">
    <w:nsid w:val="6D3968B9"/>
    <w:multiLevelType w:val="multilevel"/>
    <w:tmpl w:val="93EEA5E8"/>
    <w:styleLink w:val="111111"/>
    <w:lvl w:ilvl="0">
      <w:start w:val="1"/>
      <w:numFmt w:val="decimal"/>
      <w:lvlText w:val="%1."/>
      <w:lvlJc w:val="left"/>
      <w:pPr>
        <w:ind w:left="360" w:hanging="360"/>
      </w:pPr>
      <w:rPr>
        <w:rFonts w:ascii="Arial Narrow" w:hAnsi="Arial Narrow" w:hint="default"/>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0C51156"/>
    <w:multiLevelType w:val="hybridMultilevel"/>
    <w:tmpl w:val="882A4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A272B3"/>
    <w:multiLevelType w:val="hybridMultilevel"/>
    <w:tmpl w:val="2884A2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72774F9"/>
    <w:multiLevelType w:val="hybridMultilevel"/>
    <w:tmpl w:val="4CCA344E"/>
    <w:lvl w:ilvl="0" w:tplc="0409000F">
      <w:start w:val="1"/>
      <w:numFmt w:val="decimal"/>
      <w:lvlText w:val="%1."/>
      <w:lvlJc w:val="left"/>
      <w:pPr>
        <w:ind w:left="1440" w:hanging="360"/>
      </w:pPr>
    </w:lvl>
    <w:lvl w:ilvl="1" w:tplc="3AB466FE">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73459CD"/>
    <w:multiLevelType w:val="hybridMultilevel"/>
    <w:tmpl w:val="B0146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78FB79F2"/>
    <w:multiLevelType w:val="hybridMultilevel"/>
    <w:tmpl w:val="8D6A88DC"/>
    <w:lvl w:ilvl="0" w:tplc="D85A8B36">
      <w:start w:val="1"/>
      <w:numFmt w:val="bullet"/>
      <w:pStyle w:val="Bullet"/>
      <w:lvlText w:val=""/>
      <w:lvlJc w:val="left"/>
      <w:pPr>
        <w:ind w:left="2610" w:hanging="360"/>
      </w:pPr>
      <w:rPr>
        <w:rFonts w:ascii="Symbol" w:hAnsi="Symbol" w:hint="default"/>
        <w:color w:val="auto"/>
        <w:u w:val="none"/>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A9E4062"/>
    <w:multiLevelType w:val="hybridMultilevel"/>
    <w:tmpl w:val="486819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7B565BC4"/>
    <w:multiLevelType w:val="hybridMultilevel"/>
    <w:tmpl w:val="D6A034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C7A2F46"/>
    <w:multiLevelType w:val="hybridMultilevel"/>
    <w:tmpl w:val="9794A352"/>
    <w:lvl w:ilvl="0" w:tplc="0409000F">
      <w:start w:val="1"/>
      <w:numFmt w:val="decimal"/>
      <w:lvlText w:val="%1."/>
      <w:lvlJc w:val="left"/>
      <w:pPr>
        <w:ind w:left="1485" w:hanging="360"/>
      </w:pPr>
    </w:lvl>
    <w:lvl w:ilvl="1" w:tplc="21FE71D8">
      <w:start w:val="1"/>
      <w:numFmt w:val="decimal"/>
      <w:lvlText w:val="%2)"/>
      <w:lvlJc w:val="left"/>
      <w:pPr>
        <w:ind w:left="2205" w:hanging="360"/>
      </w:pPr>
      <w:rPr>
        <w:rFonts w:hint="default"/>
      </w:r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num w:numId="1">
    <w:abstractNumId w:val="0"/>
  </w:num>
  <w:num w:numId="2">
    <w:abstractNumId w:val="47"/>
  </w:num>
  <w:num w:numId="3">
    <w:abstractNumId w:val="35"/>
  </w:num>
  <w:num w:numId="4">
    <w:abstractNumId w:val="12"/>
  </w:num>
  <w:num w:numId="5">
    <w:abstractNumId w:val="15"/>
  </w:num>
  <w:num w:numId="6">
    <w:abstractNumId w:val="42"/>
  </w:num>
  <w:num w:numId="7">
    <w:abstractNumId w:val="9"/>
  </w:num>
  <w:num w:numId="8">
    <w:abstractNumId w:val="0"/>
  </w:num>
  <w:num w:numId="9">
    <w:abstractNumId w:val="19"/>
  </w:num>
  <w:num w:numId="10">
    <w:abstractNumId w:val="7"/>
  </w:num>
  <w:num w:numId="11">
    <w:abstractNumId w:val="3"/>
  </w:num>
  <w:num w:numId="12">
    <w:abstractNumId w:val="11"/>
  </w:num>
  <w:num w:numId="13">
    <w:abstractNumId w:val="28"/>
  </w:num>
  <w:num w:numId="14">
    <w:abstractNumId w:val="12"/>
    <w:lvlOverride w:ilvl="0">
      <w:startOverride w:val="1"/>
    </w:lvlOverride>
  </w:num>
  <w:num w:numId="15">
    <w:abstractNumId w:val="24"/>
  </w:num>
  <w:num w:numId="16">
    <w:abstractNumId w:val="38"/>
  </w:num>
  <w:num w:numId="17">
    <w:abstractNumId w:val="45"/>
  </w:num>
  <w:num w:numId="18">
    <w:abstractNumId w:val="50"/>
  </w:num>
  <w:num w:numId="19">
    <w:abstractNumId w:val="36"/>
  </w:num>
  <w:num w:numId="20">
    <w:abstractNumId w:val="30"/>
  </w:num>
  <w:num w:numId="21">
    <w:abstractNumId w:val="12"/>
    <w:lvlOverride w:ilvl="0">
      <w:startOverride w:val="1"/>
    </w:lvlOverride>
  </w:num>
  <w:num w:numId="22">
    <w:abstractNumId w:val="29"/>
  </w:num>
  <w:num w:numId="23">
    <w:abstractNumId w:val="40"/>
  </w:num>
  <w:num w:numId="24">
    <w:abstractNumId w:val="21"/>
  </w:num>
  <w:num w:numId="25">
    <w:abstractNumId w:val="49"/>
  </w:num>
  <w:num w:numId="26">
    <w:abstractNumId w:val="10"/>
  </w:num>
  <w:num w:numId="27">
    <w:abstractNumId w:val="27"/>
  </w:num>
  <w:num w:numId="28">
    <w:abstractNumId w:val="20"/>
  </w:num>
  <w:num w:numId="29">
    <w:abstractNumId w:val="4"/>
  </w:num>
  <w:num w:numId="30">
    <w:abstractNumId w:val="26"/>
  </w:num>
  <w:num w:numId="31">
    <w:abstractNumId w:val="22"/>
  </w:num>
  <w:num w:numId="32">
    <w:abstractNumId w:val="18"/>
  </w:num>
  <w:num w:numId="33">
    <w:abstractNumId w:val="23"/>
  </w:num>
  <w:num w:numId="34">
    <w:abstractNumId w:val="39"/>
  </w:num>
  <w:num w:numId="35">
    <w:abstractNumId w:val="12"/>
    <w:lvlOverride w:ilvl="0">
      <w:startOverride w:val="1"/>
    </w:lvlOverride>
  </w:num>
  <w:num w:numId="36">
    <w:abstractNumId w:val="12"/>
    <w:lvlOverride w:ilvl="0">
      <w:startOverride w:val="1"/>
    </w:lvlOverride>
  </w:num>
  <w:num w:numId="37">
    <w:abstractNumId w:val="12"/>
    <w:lvlOverride w:ilvl="0">
      <w:startOverride w:val="1"/>
    </w:lvlOverride>
  </w:num>
  <w:num w:numId="38">
    <w:abstractNumId w:val="12"/>
    <w:lvlOverride w:ilvl="0">
      <w:startOverride w:val="1"/>
    </w:lvlOverride>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num>
  <w:num w:numId="42">
    <w:abstractNumId w:val="43"/>
  </w:num>
  <w:num w:numId="43">
    <w:abstractNumId w:val="13"/>
  </w:num>
  <w:num w:numId="44">
    <w:abstractNumId w:val="8"/>
  </w:num>
  <w:num w:numId="45">
    <w:abstractNumId w:val="6"/>
  </w:num>
  <w:num w:numId="46">
    <w:abstractNumId w:val="1"/>
  </w:num>
  <w:num w:numId="47">
    <w:abstractNumId w:val="16"/>
  </w:num>
  <w:num w:numId="48">
    <w:abstractNumId w:val="33"/>
  </w:num>
  <w:num w:numId="49">
    <w:abstractNumId w:val="37"/>
  </w:num>
  <w:num w:numId="50">
    <w:abstractNumId w:val="14"/>
  </w:num>
  <w:num w:numId="51">
    <w:abstractNumId w:val="34"/>
  </w:num>
  <w:num w:numId="52">
    <w:abstractNumId w:val="25"/>
  </w:num>
  <w:num w:numId="53">
    <w:abstractNumId w:val="2"/>
  </w:num>
  <w:num w:numId="54">
    <w:abstractNumId w:val="48"/>
  </w:num>
  <w:num w:numId="55">
    <w:abstractNumId w:val="5"/>
  </w:num>
  <w:num w:numId="56">
    <w:abstractNumId w:val="44"/>
  </w:num>
  <w:num w:numId="57">
    <w:abstractNumId w:val="46"/>
  </w:num>
  <w:num w:numId="58">
    <w:abstractNumId w:val="0"/>
  </w:num>
  <w:num w:numId="59">
    <w:abstractNumId w:val="0"/>
  </w:num>
  <w:num w:numId="60">
    <w:abstractNumId w:val="31"/>
  </w:num>
  <w:num w:numId="61">
    <w:abstractNumId w:val="41"/>
  </w:num>
  <w:num w:numId="62">
    <w:abstractNumId w:val="3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embedSystemFonts/>
  <w:gutterAtTop/>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36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7169"/>
  </w:hdrShapeDefaults>
  <w:footnotePr>
    <w:numRestart w:val="eachPage"/>
    <w:footnote w:id="-1"/>
    <w:footnote w:id="0"/>
    <w:footnote w:id="1"/>
  </w:footnotePr>
  <w:endnotePr>
    <w:numFmt w:val="decimal"/>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SIPltSel" w:val="0þ"/>
  </w:docVars>
  <w:rsids>
    <w:rsidRoot w:val="004B1AAB"/>
    <w:rsid w:val="0000055F"/>
    <w:rsid w:val="00001A9F"/>
    <w:rsid w:val="000020BA"/>
    <w:rsid w:val="0000347D"/>
    <w:rsid w:val="000037F5"/>
    <w:rsid w:val="000038BF"/>
    <w:rsid w:val="00003A42"/>
    <w:rsid w:val="000064C4"/>
    <w:rsid w:val="00006DF8"/>
    <w:rsid w:val="00007B79"/>
    <w:rsid w:val="00010E86"/>
    <w:rsid w:val="000118F1"/>
    <w:rsid w:val="00011AAF"/>
    <w:rsid w:val="00011F52"/>
    <w:rsid w:val="00012D6A"/>
    <w:rsid w:val="0001346F"/>
    <w:rsid w:val="00013B96"/>
    <w:rsid w:val="00014A15"/>
    <w:rsid w:val="00015BD2"/>
    <w:rsid w:val="0001683D"/>
    <w:rsid w:val="0001710E"/>
    <w:rsid w:val="000172F0"/>
    <w:rsid w:val="000207C0"/>
    <w:rsid w:val="00020CBE"/>
    <w:rsid w:val="00020E00"/>
    <w:rsid w:val="000214BE"/>
    <w:rsid w:val="00021586"/>
    <w:rsid w:val="00022D2D"/>
    <w:rsid w:val="000233FC"/>
    <w:rsid w:val="00023AD0"/>
    <w:rsid w:val="0002438B"/>
    <w:rsid w:val="00025AB5"/>
    <w:rsid w:val="00026575"/>
    <w:rsid w:val="00026FE1"/>
    <w:rsid w:val="0002787C"/>
    <w:rsid w:val="00030F52"/>
    <w:rsid w:val="000314B9"/>
    <w:rsid w:val="000317B2"/>
    <w:rsid w:val="000324DF"/>
    <w:rsid w:val="00032529"/>
    <w:rsid w:val="00032692"/>
    <w:rsid w:val="00033123"/>
    <w:rsid w:val="00033950"/>
    <w:rsid w:val="00044A83"/>
    <w:rsid w:val="00046BC0"/>
    <w:rsid w:val="00046DB1"/>
    <w:rsid w:val="00050CF7"/>
    <w:rsid w:val="000529C9"/>
    <w:rsid w:val="000529CC"/>
    <w:rsid w:val="0005312F"/>
    <w:rsid w:val="00053C36"/>
    <w:rsid w:val="000545F7"/>
    <w:rsid w:val="0005560F"/>
    <w:rsid w:val="00055C85"/>
    <w:rsid w:val="0005631D"/>
    <w:rsid w:val="00056401"/>
    <w:rsid w:val="00057DE7"/>
    <w:rsid w:val="00060097"/>
    <w:rsid w:val="000604D8"/>
    <w:rsid w:val="00061B4A"/>
    <w:rsid w:val="000628F5"/>
    <w:rsid w:val="00062A07"/>
    <w:rsid w:val="000636E8"/>
    <w:rsid w:val="00064218"/>
    <w:rsid w:val="00064ED7"/>
    <w:rsid w:val="00065048"/>
    <w:rsid w:val="00065B70"/>
    <w:rsid w:val="00066CE7"/>
    <w:rsid w:val="00067E9F"/>
    <w:rsid w:val="00070378"/>
    <w:rsid w:val="00072141"/>
    <w:rsid w:val="0007446D"/>
    <w:rsid w:val="00074578"/>
    <w:rsid w:val="0007485D"/>
    <w:rsid w:val="00074C7B"/>
    <w:rsid w:val="00075F12"/>
    <w:rsid w:val="00076458"/>
    <w:rsid w:val="0007678A"/>
    <w:rsid w:val="00076FCC"/>
    <w:rsid w:val="000771B6"/>
    <w:rsid w:val="0007760C"/>
    <w:rsid w:val="00077CE4"/>
    <w:rsid w:val="000801B7"/>
    <w:rsid w:val="000813A4"/>
    <w:rsid w:val="0008181E"/>
    <w:rsid w:val="000827F4"/>
    <w:rsid w:val="00083148"/>
    <w:rsid w:val="000837F7"/>
    <w:rsid w:val="00084441"/>
    <w:rsid w:val="00084E3F"/>
    <w:rsid w:val="0008505F"/>
    <w:rsid w:val="00085C97"/>
    <w:rsid w:val="000860EA"/>
    <w:rsid w:val="000870D7"/>
    <w:rsid w:val="00090F60"/>
    <w:rsid w:val="000926F4"/>
    <w:rsid w:val="00092E44"/>
    <w:rsid w:val="00092ED5"/>
    <w:rsid w:val="00093AEB"/>
    <w:rsid w:val="00094A19"/>
    <w:rsid w:val="000952C1"/>
    <w:rsid w:val="00096F33"/>
    <w:rsid w:val="000A0EAE"/>
    <w:rsid w:val="000A1128"/>
    <w:rsid w:val="000A21D0"/>
    <w:rsid w:val="000A3162"/>
    <w:rsid w:val="000A442D"/>
    <w:rsid w:val="000A487E"/>
    <w:rsid w:val="000A4D37"/>
    <w:rsid w:val="000A5884"/>
    <w:rsid w:val="000A69A2"/>
    <w:rsid w:val="000A70D2"/>
    <w:rsid w:val="000B2279"/>
    <w:rsid w:val="000B4040"/>
    <w:rsid w:val="000B4ECE"/>
    <w:rsid w:val="000B5841"/>
    <w:rsid w:val="000B6028"/>
    <w:rsid w:val="000B63F6"/>
    <w:rsid w:val="000B6EC6"/>
    <w:rsid w:val="000B7D6A"/>
    <w:rsid w:val="000C00DE"/>
    <w:rsid w:val="000C11D2"/>
    <w:rsid w:val="000C46C2"/>
    <w:rsid w:val="000C46F0"/>
    <w:rsid w:val="000C5041"/>
    <w:rsid w:val="000C5E74"/>
    <w:rsid w:val="000C5E90"/>
    <w:rsid w:val="000C5EA4"/>
    <w:rsid w:val="000D01A3"/>
    <w:rsid w:val="000D127F"/>
    <w:rsid w:val="000D1851"/>
    <w:rsid w:val="000D2271"/>
    <w:rsid w:val="000D2D44"/>
    <w:rsid w:val="000D305F"/>
    <w:rsid w:val="000D35F8"/>
    <w:rsid w:val="000D3EB6"/>
    <w:rsid w:val="000D4902"/>
    <w:rsid w:val="000D6187"/>
    <w:rsid w:val="000D658E"/>
    <w:rsid w:val="000D66AC"/>
    <w:rsid w:val="000D6A51"/>
    <w:rsid w:val="000D788C"/>
    <w:rsid w:val="000E068B"/>
    <w:rsid w:val="000E2C65"/>
    <w:rsid w:val="000E320A"/>
    <w:rsid w:val="000E4036"/>
    <w:rsid w:val="000E46D3"/>
    <w:rsid w:val="000E4830"/>
    <w:rsid w:val="000E4E5D"/>
    <w:rsid w:val="000E4F27"/>
    <w:rsid w:val="000E57BD"/>
    <w:rsid w:val="000E6B73"/>
    <w:rsid w:val="000F17F2"/>
    <w:rsid w:val="000F2174"/>
    <w:rsid w:val="000F48C9"/>
    <w:rsid w:val="000F4926"/>
    <w:rsid w:val="000F6C57"/>
    <w:rsid w:val="000F6D9E"/>
    <w:rsid w:val="00100088"/>
    <w:rsid w:val="001004FC"/>
    <w:rsid w:val="00100A2F"/>
    <w:rsid w:val="00100C79"/>
    <w:rsid w:val="00101A51"/>
    <w:rsid w:val="00101D24"/>
    <w:rsid w:val="001038D7"/>
    <w:rsid w:val="00104227"/>
    <w:rsid w:val="0010475B"/>
    <w:rsid w:val="0010543D"/>
    <w:rsid w:val="0010570F"/>
    <w:rsid w:val="0010593D"/>
    <w:rsid w:val="001072EE"/>
    <w:rsid w:val="00110FA4"/>
    <w:rsid w:val="00112648"/>
    <w:rsid w:val="0011266D"/>
    <w:rsid w:val="00112874"/>
    <w:rsid w:val="0011384E"/>
    <w:rsid w:val="00113F39"/>
    <w:rsid w:val="00115D11"/>
    <w:rsid w:val="00116F16"/>
    <w:rsid w:val="0011701F"/>
    <w:rsid w:val="00117296"/>
    <w:rsid w:val="001172E5"/>
    <w:rsid w:val="001178AA"/>
    <w:rsid w:val="00120621"/>
    <w:rsid w:val="00120A1D"/>
    <w:rsid w:val="00120B1D"/>
    <w:rsid w:val="0012183F"/>
    <w:rsid w:val="0012192F"/>
    <w:rsid w:val="00121972"/>
    <w:rsid w:val="00121BF5"/>
    <w:rsid w:val="00121DE4"/>
    <w:rsid w:val="001222BA"/>
    <w:rsid w:val="0012232B"/>
    <w:rsid w:val="001239C2"/>
    <w:rsid w:val="00125899"/>
    <w:rsid w:val="00125DC9"/>
    <w:rsid w:val="0012677A"/>
    <w:rsid w:val="001274E9"/>
    <w:rsid w:val="00130A8D"/>
    <w:rsid w:val="00130B4E"/>
    <w:rsid w:val="001316D5"/>
    <w:rsid w:val="00131D3E"/>
    <w:rsid w:val="00133907"/>
    <w:rsid w:val="00133F81"/>
    <w:rsid w:val="001343D6"/>
    <w:rsid w:val="00134B32"/>
    <w:rsid w:val="00135533"/>
    <w:rsid w:val="00135FC2"/>
    <w:rsid w:val="00137164"/>
    <w:rsid w:val="0013724E"/>
    <w:rsid w:val="001377DF"/>
    <w:rsid w:val="001400A1"/>
    <w:rsid w:val="00140716"/>
    <w:rsid w:val="001407D5"/>
    <w:rsid w:val="00140969"/>
    <w:rsid w:val="00140A50"/>
    <w:rsid w:val="00140B46"/>
    <w:rsid w:val="00140DA2"/>
    <w:rsid w:val="00140F47"/>
    <w:rsid w:val="0014113D"/>
    <w:rsid w:val="00141720"/>
    <w:rsid w:val="001422B1"/>
    <w:rsid w:val="00145257"/>
    <w:rsid w:val="001468CD"/>
    <w:rsid w:val="0014799F"/>
    <w:rsid w:val="00150203"/>
    <w:rsid w:val="00150CA6"/>
    <w:rsid w:val="00151186"/>
    <w:rsid w:val="00153FF7"/>
    <w:rsid w:val="00154753"/>
    <w:rsid w:val="001551EC"/>
    <w:rsid w:val="0015521B"/>
    <w:rsid w:val="00155290"/>
    <w:rsid w:val="00156175"/>
    <w:rsid w:val="00156229"/>
    <w:rsid w:val="001565BE"/>
    <w:rsid w:val="00156664"/>
    <w:rsid w:val="00156A78"/>
    <w:rsid w:val="001573A8"/>
    <w:rsid w:val="0015753F"/>
    <w:rsid w:val="001577C3"/>
    <w:rsid w:val="00160C1B"/>
    <w:rsid w:val="00161450"/>
    <w:rsid w:val="00161E3F"/>
    <w:rsid w:val="001636FE"/>
    <w:rsid w:val="0016395B"/>
    <w:rsid w:val="00163E77"/>
    <w:rsid w:val="00164C83"/>
    <w:rsid w:val="00164D3B"/>
    <w:rsid w:val="00166AF0"/>
    <w:rsid w:val="001709A4"/>
    <w:rsid w:val="00170AB5"/>
    <w:rsid w:val="00172BD5"/>
    <w:rsid w:val="001734E2"/>
    <w:rsid w:val="001742E8"/>
    <w:rsid w:val="001750A8"/>
    <w:rsid w:val="00175BF9"/>
    <w:rsid w:val="001774E0"/>
    <w:rsid w:val="001814B2"/>
    <w:rsid w:val="00181D0A"/>
    <w:rsid w:val="00181D9D"/>
    <w:rsid w:val="00182B3B"/>
    <w:rsid w:val="00182BA7"/>
    <w:rsid w:val="0018364C"/>
    <w:rsid w:val="0018428B"/>
    <w:rsid w:val="00184C1A"/>
    <w:rsid w:val="00185A91"/>
    <w:rsid w:val="00186772"/>
    <w:rsid w:val="00186A8E"/>
    <w:rsid w:val="00187531"/>
    <w:rsid w:val="0018768D"/>
    <w:rsid w:val="00190AA7"/>
    <w:rsid w:val="00190E5E"/>
    <w:rsid w:val="0019355F"/>
    <w:rsid w:val="00193AF4"/>
    <w:rsid w:val="0019458F"/>
    <w:rsid w:val="00195D10"/>
    <w:rsid w:val="00196C22"/>
    <w:rsid w:val="001979BE"/>
    <w:rsid w:val="00197E45"/>
    <w:rsid w:val="001A0F5C"/>
    <w:rsid w:val="001A12A5"/>
    <w:rsid w:val="001A1428"/>
    <w:rsid w:val="001A163A"/>
    <w:rsid w:val="001A25A2"/>
    <w:rsid w:val="001A25AF"/>
    <w:rsid w:val="001A2740"/>
    <w:rsid w:val="001A2F7D"/>
    <w:rsid w:val="001A3AC6"/>
    <w:rsid w:val="001A3D85"/>
    <w:rsid w:val="001A44B6"/>
    <w:rsid w:val="001A5D58"/>
    <w:rsid w:val="001A6C73"/>
    <w:rsid w:val="001A6FA2"/>
    <w:rsid w:val="001A780E"/>
    <w:rsid w:val="001B0B9A"/>
    <w:rsid w:val="001B0FF8"/>
    <w:rsid w:val="001B106E"/>
    <w:rsid w:val="001B1212"/>
    <w:rsid w:val="001B124F"/>
    <w:rsid w:val="001B273B"/>
    <w:rsid w:val="001B473D"/>
    <w:rsid w:val="001B4B01"/>
    <w:rsid w:val="001B4C1B"/>
    <w:rsid w:val="001B4E3C"/>
    <w:rsid w:val="001B5904"/>
    <w:rsid w:val="001B5DB1"/>
    <w:rsid w:val="001B60DD"/>
    <w:rsid w:val="001B65D8"/>
    <w:rsid w:val="001B6B84"/>
    <w:rsid w:val="001B75CE"/>
    <w:rsid w:val="001C08F7"/>
    <w:rsid w:val="001C0CFC"/>
    <w:rsid w:val="001C17C5"/>
    <w:rsid w:val="001C1BFB"/>
    <w:rsid w:val="001C219B"/>
    <w:rsid w:val="001C3642"/>
    <w:rsid w:val="001C3C77"/>
    <w:rsid w:val="001C44B7"/>
    <w:rsid w:val="001C6825"/>
    <w:rsid w:val="001C77FC"/>
    <w:rsid w:val="001D117A"/>
    <w:rsid w:val="001D2431"/>
    <w:rsid w:val="001D2D74"/>
    <w:rsid w:val="001D2D7E"/>
    <w:rsid w:val="001D3478"/>
    <w:rsid w:val="001D4908"/>
    <w:rsid w:val="001D6C66"/>
    <w:rsid w:val="001D6D3A"/>
    <w:rsid w:val="001D6E27"/>
    <w:rsid w:val="001E21DB"/>
    <w:rsid w:val="001E2A8F"/>
    <w:rsid w:val="001E2B8C"/>
    <w:rsid w:val="001E501A"/>
    <w:rsid w:val="001E603F"/>
    <w:rsid w:val="001E712D"/>
    <w:rsid w:val="001E7C40"/>
    <w:rsid w:val="001F0325"/>
    <w:rsid w:val="001F03E2"/>
    <w:rsid w:val="001F0A05"/>
    <w:rsid w:val="001F2586"/>
    <w:rsid w:val="001F2EA2"/>
    <w:rsid w:val="001F528A"/>
    <w:rsid w:val="001F5F2C"/>
    <w:rsid w:val="001F6107"/>
    <w:rsid w:val="001F6BCD"/>
    <w:rsid w:val="001F6C40"/>
    <w:rsid w:val="001F6DAC"/>
    <w:rsid w:val="001F7177"/>
    <w:rsid w:val="001F7F64"/>
    <w:rsid w:val="00200148"/>
    <w:rsid w:val="00200418"/>
    <w:rsid w:val="00201353"/>
    <w:rsid w:val="002015C1"/>
    <w:rsid w:val="002022FC"/>
    <w:rsid w:val="00204141"/>
    <w:rsid w:val="00204591"/>
    <w:rsid w:val="00205D7E"/>
    <w:rsid w:val="00206E1A"/>
    <w:rsid w:val="00206FEC"/>
    <w:rsid w:val="002106C5"/>
    <w:rsid w:val="002107EC"/>
    <w:rsid w:val="00210BAF"/>
    <w:rsid w:val="00211D2F"/>
    <w:rsid w:val="00214A95"/>
    <w:rsid w:val="00214BDD"/>
    <w:rsid w:val="00214DA4"/>
    <w:rsid w:val="0021553B"/>
    <w:rsid w:val="002165E4"/>
    <w:rsid w:val="00216927"/>
    <w:rsid w:val="00217E42"/>
    <w:rsid w:val="002239C7"/>
    <w:rsid w:val="00224AD3"/>
    <w:rsid w:val="00225073"/>
    <w:rsid w:val="00232032"/>
    <w:rsid w:val="0023394E"/>
    <w:rsid w:val="00235B3C"/>
    <w:rsid w:val="00237106"/>
    <w:rsid w:val="00237E59"/>
    <w:rsid w:val="002405F8"/>
    <w:rsid w:val="00240D59"/>
    <w:rsid w:val="002420F2"/>
    <w:rsid w:val="00242F80"/>
    <w:rsid w:val="0024366E"/>
    <w:rsid w:val="00245485"/>
    <w:rsid w:val="00245903"/>
    <w:rsid w:val="00246A26"/>
    <w:rsid w:val="00247056"/>
    <w:rsid w:val="00247F73"/>
    <w:rsid w:val="002504C2"/>
    <w:rsid w:val="00251323"/>
    <w:rsid w:val="0025222D"/>
    <w:rsid w:val="00252988"/>
    <w:rsid w:val="00252F71"/>
    <w:rsid w:val="0025443A"/>
    <w:rsid w:val="0025463D"/>
    <w:rsid w:val="00255729"/>
    <w:rsid w:val="00255DB2"/>
    <w:rsid w:val="0026067B"/>
    <w:rsid w:val="00262460"/>
    <w:rsid w:val="00262612"/>
    <w:rsid w:val="00262D2B"/>
    <w:rsid w:val="00262FCF"/>
    <w:rsid w:val="0026353B"/>
    <w:rsid w:val="0026428D"/>
    <w:rsid w:val="00264D03"/>
    <w:rsid w:val="00266DB5"/>
    <w:rsid w:val="002670B3"/>
    <w:rsid w:val="00270C3B"/>
    <w:rsid w:val="0027351E"/>
    <w:rsid w:val="00273546"/>
    <w:rsid w:val="002740E8"/>
    <w:rsid w:val="00274EEC"/>
    <w:rsid w:val="002762DC"/>
    <w:rsid w:val="00276A84"/>
    <w:rsid w:val="00280D43"/>
    <w:rsid w:val="00281C06"/>
    <w:rsid w:val="002821CF"/>
    <w:rsid w:val="00282755"/>
    <w:rsid w:val="00283A18"/>
    <w:rsid w:val="0028425C"/>
    <w:rsid w:val="00285626"/>
    <w:rsid w:val="002861AD"/>
    <w:rsid w:val="002868F1"/>
    <w:rsid w:val="00287E11"/>
    <w:rsid w:val="002902FB"/>
    <w:rsid w:val="00292632"/>
    <w:rsid w:val="00292B32"/>
    <w:rsid w:val="00292C86"/>
    <w:rsid w:val="00295FE6"/>
    <w:rsid w:val="00296BED"/>
    <w:rsid w:val="002A07B3"/>
    <w:rsid w:val="002A1895"/>
    <w:rsid w:val="002A2457"/>
    <w:rsid w:val="002A262B"/>
    <w:rsid w:val="002A3746"/>
    <w:rsid w:val="002A4162"/>
    <w:rsid w:val="002A4BE7"/>
    <w:rsid w:val="002A50AF"/>
    <w:rsid w:val="002A52FF"/>
    <w:rsid w:val="002A62F7"/>
    <w:rsid w:val="002A6A3B"/>
    <w:rsid w:val="002A7A1E"/>
    <w:rsid w:val="002A7B96"/>
    <w:rsid w:val="002B10DD"/>
    <w:rsid w:val="002B163E"/>
    <w:rsid w:val="002B3729"/>
    <w:rsid w:val="002B4269"/>
    <w:rsid w:val="002B62E5"/>
    <w:rsid w:val="002B6673"/>
    <w:rsid w:val="002B6D48"/>
    <w:rsid w:val="002B6D7C"/>
    <w:rsid w:val="002B6DC8"/>
    <w:rsid w:val="002B79F6"/>
    <w:rsid w:val="002B7A74"/>
    <w:rsid w:val="002B7B94"/>
    <w:rsid w:val="002C0148"/>
    <w:rsid w:val="002C0270"/>
    <w:rsid w:val="002C0E01"/>
    <w:rsid w:val="002C1E94"/>
    <w:rsid w:val="002C1F0B"/>
    <w:rsid w:val="002C2C69"/>
    <w:rsid w:val="002C2C92"/>
    <w:rsid w:val="002C2DDC"/>
    <w:rsid w:val="002C3E81"/>
    <w:rsid w:val="002C44AC"/>
    <w:rsid w:val="002C5870"/>
    <w:rsid w:val="002C61C8"/>
    <w:rsid w:val="002C72BF"/>
    <w:rsid w:val="002C743C"/>
    <w:rsid w:val="002C75A1"/>
    <w:rsid w:val="002D02BC"/>
    <w:rsid w:val="002D0629"/>
    <w:rsid w:val="002D0E36"/>
    <w:rsid w:val="002D0FFE"/>
    <w:rsid w:val="002D18C4"/>
    <w:rsid w:val="002D1C7F"/>
    <w:rsid w:val="002D2046"/>
    <w:rsid w:val="002D2A48"/>
    <w:rsid w:val="002D2A51"/>
    <w:rsid w:val="002D2B66"/>
    <w:rsid w:val="002D2C79"/>
    <w:rsid w:val="002D2FE3"/>
    <w:rsid w:val="002D33C2"/>
    <w:rsid w:val="002D3E23"/>
    <w:rsid w:val="002D4131"/>
    <w:rsid w:val="002D4EED"/>
    <w:rsid w:val="002D5056"/>
    <w:rsid w:val="002D51FB"/>
    <w:rsid w:val="002D54E1"/>
    <w:rsid w:val="002D7FF4"/>
    <w:rsid w:val="002E06F7"/>
    <w:rsid w:val="002E1C82"/>
    <w:rsid w:val="002E26E3"/>
    <w:rsid w:val="002E333E"/>
    <w:rsid w:val="002E33F5"/>
    <w:rsid w:val="002E384E"/>
    <w:rsid w:val="002E3AB7"/>
    <w:rsid w:val="002E3C17"/>
    <w:rsid w:val="002E3FEB"/>
    <w:rsid w:val="002E4F30"/>
    <w:rsid w:val="002E5D76"/>
    <w:rsid w:val="002E6A18"/>
    <w:rsid w:val="002E6BC2"/>
    <w:rsid w:val="002E74BF"/>
    <w:rsid w:val="002E7758"/>
    <w:rsid w:val="002F0057"/>
    <w:rsid w:val="002F1B64"/>
    <w:rsid w:val="002F2DC5"/>
    <w:rsid w:val="002F4852"/>
    <w:rsid w:val="002F5213"/>
    <w:rsid w:val="002F5478"/>
    <w:rsid w:val="002F57CF"/>
    <w:rsid w:val="002F6443"/>
    <w:rsid w:val="002F7C04"/>
    <w:rsid w:val="002F7DD7"/>
    <w:rsid w:val="00301DB4"/>
    <w:rsid w:val="00304850"/>
    <w:rsid w:val="00304ED9"/>
    <w:rsid w:val="003066CF"/>
    <w:rsid w:val="00306FDC"/>
    <w:rsid w:val="0030762D"/>
    <w:rsid w:val="00307BA7"/>
    <w:rsid w:val="00310335"/>
    <w:rsid w:val="00311CA1"/>
    <w:rsid w:val="00311F06"/>
    <w:rsid w:val="0031230D"/>
    <w:rsid w:val="003127C6"/>
    <w:rsid w:val="003132C3"/>
    <w:rsid w:val="00313481"/>
    <w:rsid w:val="003135AA"/>
    <w:rsid w:val="00313910"/>
    <w:rsid w:val="00313B2D"/>
    <w:rsid w:val="00314683"/>
    <w:rsid w:val="00314872"/>
    <w:rsid w:val="00314CA1"/>
    <w:rsid w:val="00314D86"/>
    <w:rsid w:val="003162E2"/>
    <w:rsid w:val="0031787A"/>
    <w:rsid w:val="003200F8"/>
    <w:rsid w:val="003210FB"/>
    <w:rsid w:val="0032148D"/>
    <w:rsid w:val="0032149C"/>
    <w:rsid w:val="00321697"/>
    <w:rsid w:val="003217ED"/>
    <w:rsid w:val="0032304C"/>
    <w:rsid w:val="00324063"/>
    <w:rsid w:val="003263B9"/>
    <w:rsid w:val="00327434"/>
    <w:rsid w:val="00327523"/>
    <w:rsid w:val="003279E9"/>
    <w:rsid w:val="003312E7"/>
    <w:rsid w:val="00332314"/>
    <w:rsid w:val="00332816"/>
    <w:rsid w:val="003329B6"/>
    <w:rsid w:val="003338B8"/>
    <w:rsid w:val="00334014"/>
    <w:rsid w:val="00334267"/>
    <w:rsid w:val="003353F5"/>
    <w:rsid w:val="00335AAE"/>
    <w:rsid w:val="003368B9"/>
    <w:rsid w:val="00337174"/>
    <w:rsid w:val="00337CF7"/>
    <w:rsid w:val="00340ACB"/>
    <w:rsid w:val="00342367"/>
    <w:rsid w:val="003435C1"/>
    <w:rsid w:val="00343739"/>
    <w:rsid w:val="00343978"/>
    <w:rsid w:val="003440A9"/>
    <w:rsid w:val="003450C0"/>
    <w:rsid w:val="00345BC6"/>
    <w:rsid w:val="0034690D"/>
    <w:rsid w:val="00346AC6"/>
    <w:rsid w:val="00346B8F"/>
    <w:rsid w:val="00346E8F"/>
    <w:rsid w:val="003517A2"/>
    <w:rsid w:val="00351B78"/>
    <w:rsid w:val="003522EF"/>
    <w:rsid w:val="0035247D"/>
    <w:rsid w:val="003526E3"/>
    <w:rsid w:val="00353A7E"/>
    <w:rsid w:val="00353DCF"/>
    <w:rsid w:val="003543A7"/>
    <w:rsid w:val="00356200"/>
    <w:rsid w:val="003612EB"/>
    <w:rsid w:val="0036178B"/>
    <w:rsid w:val="00361BE8"/>
    <w:rsid w:val="00361DFD"/>
    <w:rsid w:val="003638B6"/>
    <w:rsid w:val="00364A43"/>
    <w:rsid w:val="00364BE4"/>
    <w:rsid w:val="003665BE"/>
    <w:rsid w:val="0036668B"/>
    <w:rsid w:val="00366FE3"/>
    <w:rsid w:val="00367E05"/>
    <w:rsid w:val="00371698"/>
    <w:rsid w:val="00371A05"/>
    <w:rsid w:val="003726C5"/>
    <w:rsid w:val="00373AA1"/>
    <w:rsid w:val="00374751"/>
    <w:rsid w:val="00375002"/>
    <w:rsid w:val="00376192"/>
    <w:rsid w:val="003763E1"/>
    <w:rsid w:val="0037649D"/>
    <w:rsid w:val="00376834"/>
    <w:rsid w:val="00376F40"/>
    <w:rsid w:val="003772F4"/>
    <w:rsid w:val="00377E5D"/>
    <w:rsid w:val="00380997"/>
    <w:rsid w:val="00381927"/>
    <w:rsid w:val="00381D37"/>
    <w:rsid w:val="003821F2"/>
    <w:rsid w:val="00382619"/>
    <w:rsid w:val="00382A7D"/>
    <w:rsid w:val="00382E38"/>
    <w:rsid w:val="00383294"/>
    <w:rsid w:val="003870E7"/>
    <w:rsid w:val="003871F2"/>
    <w:rsid w:val="00391054"/>
    <w:rsid w:val="003916D7"/>
    <w:rsid w:val="00391BBD"/>
    <w:rsid w:val="0039348D"/>
    <w:rsid w:val="003946F3"/>
    <w:rsid w:val="00395003"/>
    <w:rsid w:val="00395459"/>
    <w:rsid w:val="00395D21"/>
    <w:rsid w:val="00396C89"/>
    <w:rsid w:val="003977AB"/>
    <w:rsid w:val="003A0D38"/>
    <w:rsid w:val="003A11DC"/>
    <w:rsid w:val="003A152D"/>
    <w:rsid w:val="003A30C9"/>
    <w:rsid w:val="003A33EF"/>
    <w:rsid w:val="003A3C13"/>
    <w:rsid w:val="003A3F30"/>
    <w:rsid w:val="003A474A"/>
    <w:rsid w:val="003A4A3C"/>
    <w:rsid w:val="003A4CF2"/>
    <w:rsid w:val="003A4DBC"/>
    <w:rsid w:val="003A54FD"/>
    <w:rsid w:val="003A5619"/>
    <w:rsid w:val="003A5BE0"/>
    <w:rsid w:val="003A5E5B"/>
    <w:rsid w:val="003A5EFD"/>
    <w:rsid w:val="003A717C"/>
    <w:rsid w:val="003B0D62"/>
    <w:rsid w:val="003B3330"/>
    <w:rsid w:val="003B38CF"/>
    <w:rsid w:val="003B3940"/>
    <w:rsid w:val="003B504B"/>
    <w:rsid w:val="003B5141"/>
    <w:rsid w:val="003B5C7B"/>
    <w:rsid w:val="003B6AE1"/>
    <w:rsid w:val="003B6B2C"/>
    <w:rsid w:val="003B6E4C"/>
    <w:rsid w:val="003B706C"/>
    <w:rsid w:val="003B78FB"/>
    <w:rsid w:val="003B7B20"/>
    <w:rsid w:val="003C02A9"/>
    <w:rsid w:val="003C2921"/>
    <w:rsid w:val="003C439F"/>
    <w:rsid w:val="003C4FF3"/>
    <w:rsid w:val="003C59AA"/>
    <w:rsid w:val="003C5F9D"/>
    <w:rsid w:val="003C74E3"/>
    <w:rsid w:val="003C7DB6"/>
    <w:rsid w:val="003D2212"/>
    <w:rsid w:val="003D223F"/>
    <w:rsid w:val="003D2AB1"/>
    <w:rsid w:val="003D3945"/>
    <w:rsid w:val="003D3D18"/>
    <w:rsid w:val="003D41C5"/>
    <w:rsid w:val="003D459B"/>
    <w:rsid w:val="003D4B9C"/>
    <w:rsid w:val="003D4E84"/>
    <w:rsid w:val="003D5507"/>
    <w:rsid w:val="003D5765"/>
    <w:rsid w:val="003D58C0"/>
    <w:rsid w:val="003D6534"/>
    <w:rsid w:val="003D6837"/>
    <w:rsid w:val="003D6B80"/>
    <w:rsid w:val="003D6EB6"/>
    <w:rsid w:val="003D789A"/>
    <w:rsid w:val="003E0BDB"/>
    <w:rsid w:val="003E1782"/>
    <w:rsid w:val="003E17C7"/>
    <w:rsid w:val="003E197B"/>
    <w:rsid w:val="003E24AF"/>
    <w:rsid w:val="003E48B2"/>
    <w:rsid w:val="003E4C64"/>
    <w:rsid w:val="003E5A4A"/>
    <w:rsid w:val="003E7669"/>
    <w:rsid w:val="003E7AD5"/>
    <w:rsid w:val="003F006C"/>
    <w:rsid w:val="003F0C25"/>
    <w:rsid w:val="003F131E"/>
    <w:rsid w:val="003F2A86"/>
    <w:rsid w:val="003F3AB0"/>
    <w:rsid w:val="003F507F"/>
    <w:rsid w:val="003F674D"/>
    <w:rsid w:val="003F72A2"/>
    <w:rsid w:val="003F7B6C"/>
    <w:rsid w:val="00400087"/>
    <w:rsid w:val="0040029B"/>
    <w:rsid w:val="004003FC"/>
    <w:rsid w:val="00400828"/>
    <w:rsid w:val="00400A7D"/>
    <w:rsid w:val="0040195B"/>
    <w:rsid w:val="00401D14"/>
    <w:rsid w:val="00401EAF"/>
    <w:rsid w:val="004039BF"/>
    <w:rsid w:val="00404649"/>
    <w:rsid w:val="00404804"/>
    <w:rsid w:val="004049D2"/>
    <w:rsid w:val="00404D4D"/>
    <w:rsid w:val="00405263"/>
    <w:rsid w:val="0040649E"/>
    <w:rsid w:val="00406670"/>
    <w:rsid w:val="0040682B"/>
    <w:rsid w:val="00406E55"/>
    <w:rsid w:val="00407257"/>
    <w:rsid w:val="00407DDE"/>
    <w:rsid w:val="00407F5E"/>
    <w:rsid w:val="0041186E"/>
    <w:rsid w:val="004132A9"/>
    <w:rsid w:val="00414E7C"/>
    <w:rsid w:val="00414F7E"/>
    <w:rsid w:val="00416411"/>
    <w:rsid w:val="00420893"/>
    <w:rsid w:val="004237E1"/>
    <w:rsid w:val="00423D3F"/>
    <w:rsid w:val="0042549B"/>
    <w:rsid w:val="00426310"/>
    <w:rsid w:val="00427FAF"/>
    <w:rsid w:val="00431CA0"/>
    <w:rsid w:val="00431D26"/>
    <w:rsid w:val="00432ED3"/>
    <w:rsid w:val="004333E4"/>
    <w:rsid w:val="00434011"/>
    <w:rsid w:val="00434693"/>
    <w:rsid w:val="00435F44"/>
    <w:rsid w:val="004362A0"/>
    <w:rsid w:val="00440418"/>
    <w:rsid w:val="004418E0"/>
    <w:rsid w:val="00443D96"/>
    <w:rsid w:val="00445665"/>
    <w:rsid w:val="0044569B"/>
    <w:rsid w:val="004467EC"/>
    <w:rsid w:val="00447D79"/>
    <w:rsid w:val="00450225"/>
    <w:rsid w:val="004507AA"/>
    <w:rsid w:val="00451DC5"/>
    <w:rsid w:val="00451E02"/>
    <w:rsid w:val="0045277A"/>
    <w:rsid w:val="00452B4E"/>
    <w:rsid w:val="00456799"/>
    <w:rsid w:val="00457EC8"/>
    <w:rsid w:val="004606E9"/>
    <w:rsid w:val="004616D9"/>
    <w:rsid w:val="00461720"/>
    <w:rsid w:val="00461BF5"/>
    <w:rsid w:val="004631E5"/>
    <w:rsid w:val="004638E5"/>
    <w:rsid w:val="00463B24"/>
    <w:rsid w:val="00463F04"/>
    <w:rsid w:val="00465502"/>
    <w:rsid w:val="00465D1F"/>
    <w:rsid w:val="00466D2D"/>
    <w:rsid w:val="00467E42"/>
    <w:rsid w:val="004708B0"/>
    <w:rsid w:val="00470B0B"/>
    <w:rsid w:val="00470EC5"/>
    <w:rsid w:val="00471300"/>
    <w:rsid w:val="00472A2F"/>
    <w:rsid w:val="00473546"/>
    <w:rsid w:val="00473857"/>
    <w:rsid w:val="00473940"/>
    <w:rsid w:val="0047478E"/>
    <w:rsid w:val="0047642A"/>
    <w:rsid w:val="00477288"/>
    <w:rsid w:val="004775B6"/>
    <w:rsid w:val="004776AB"/>
    <w:rsid w:val="0048079E"/>
    <w:rsid w:val="00480868"/>
    <w:rsid w:val="004811FB"/>
    <w:rsid w:val="00481CBA"/>
    <w:rsid w:val="00481FE9"/>
    <w:rsid w:val="004835E8"/>
    <w:rsid w:val="00483BB9"/>
    <w:rsid w:val="00483D29"/>
    <w:rsid w:val="00484C07"/>
    <w:rsid w:val="00484F09"/>
    <w:rsid w:val="004858C8"/>
    <w:rsid w:val="00485BC0"/>
    <w:rsid w:val="00486199"/>
    <w:rsid w:val="004864DE"/>
    <w:rsid w:val="00487082"/>
    <w:rsid w:val="00490638"/>
    <w:rsid w:val="00491106"/>
    <w:rsid w:val="004911FD"/>
    <w:rsid w:val="004912D8"/>
    <w:rsid w:val="00491522"/>
    <w:rsid w:val="00492D57"/>
    <w:rsid w:val="00494A78"/>
    <w:rsid w:val="00495691"/>
    <w:rsid w:val="00495A01"/>
    <w:rsid w:val="0049673B"/>
    <w:rsid w:val="00496929"/>
    <w:rsid w:val="00497CF5"/>
    <w:rsid w:val="004A080E"/>
    <w:rsid w:val="004A0ECE"/>
    <w:rsid w:val="004A151B"/>
    <w:rsid w:val="004A1BAE"/>
    <w:rsid w:val="004A23E0"/>
    <w:rsid w:val="004A4B5A"/>
    <w:rsid w:val="004A4D10"/>
    <w:rsid w:val="004A4D5D"/>
    <w:rsid w:val="004A5FC9"/>
    <w:rsid w:val="004A6791"/>
    <w:rsid w:val="004A7007"/>
    <w:rsid w:val="004A705A"/>
    <w:rsid w:val="004A714C"/>
    <w:rsid w:val="004B1AAB"/>
    <w:rsid w:val="004B35C1"/>
    <w:rsid w:val="004B4FA0"/>
    <w:rsid w:val="004B6356"/>
    <w:rsid w:val="004B6AD2"/>
    <w:rsid w:val="004B7EBB"/>
    <w:rsid w:val="004C0AD5"/>
    <w:rsid w:val="004C0E0C"/>
    <w:rsid w:val="004C0E7E"/>
    <w:rsid w:val="004C15AB"/>
    <w:rsid w:val="004C2525"/>
    <w:rsid w:val="004C2C1B"/>
    <w:rsid w:val="004C366C"/>
    <w:rsid w:val="004C484C"/>
    <w:rsid w:val="004C64E9"/>
    <w:rsid w:val="004C6690"/>
    <w:rsid w:val="004C7702"/>
    <w:rsid w:val="004C7CE4"/>
    <w:rsid w:val="004D226B"/>
    <w:rsid w:val="004D233D"/>
    <w:rsid w:val="004D338C"/>
    <w:rsid w:val="004D3DBE"/>
    <w:rsid w:val="004D40F6"/>
    <w:rsid w:val="004D4828"/>
    <w:rsid w:val="004D4A9E"/>
    <w:rsid w:val="004D4B6A"/>
    <w:rsid w:val="004D4C1B"/>
    <w:rsid w:val="004D4EFF"/>
    <w:rsid w:val="004D54A1"/>
    <w:rsid w:val="004D730B"/>
    <w:rsid w:val="004D794F"/>
    <w:rsid w:val="004D7F01"/>
    <w:rsid w:val="004E05F3"/>
    <w:rsid w:val="004E1870"/>
    <w:rsid w:val="004E2873"/>
    <w:rsid w:val="004E311A"/>
    <w:rsid w:val="004E316D"/>
    <w:rsid w:val="004E3B65"/>
    <w:rsid w:val="004E3B67"/>
    <w:rsid w:val="004E4147"/>
    <w:rsid w:val="004E4AA2"/>
    <w:rsid w:val="004E50B0"/>
    <w:rsid w:val="004E6101"/>
    <w:rsid w:val="004E7762"/>
    <w:rsid w:val="004E7E3F"/>
    <w:rsid w:val="004F0054"/>
    <w:rsid w:val="004F008B"/>
    <w:rsid w:val="004F0A4D"/>
    <w:rsid w:val="004F145C"/>
    <w:rsid w:val="004F2649"/>
    <w:rsid w:val="004F314D"/>
    <w:rsid w:val="004F3A93"/>
    <w:rsid w:val="004F3C8F"/>
    <w:rsid w:val="004F4446"/>
    <w:rsid w:val="004F4BC7"/>
    <w:rsid w:val="004F57AC"/>
    <w:rsid w:val="004F5F75"/>
    <w:rsid w:val="004F605E"/>
    <w:rsid w:val="004F639F"/>
    <w:rsid w:val="004F750D"/>
    <w:rsid w:val="005004ED"/>
    <w:rsid w:val="005026B7"/>
    <w:rsid w:val="005036B4"/>
    <w:rsid w:val="00503724"/>
    <w:rsid w:val="00504093"/>
    <w:rsid w:val="00504A84"/>
    <w:rsid w:val="00504CCD"/>
    <w:rsid w:val="00505114"/>
    <w:rsid w:val="00505F7F"/>
    <w:rsid w:val="005062D0"/>
    <w:rsid w:val="005064F3"/>
    <w:rsid w:val="0050705E"/>
    <w:rsid w:val="00507156"/>
    <w:rsid w:val="0051161B"/>
    <w:rsid w:val="00511651"/>
    <w:rsid w:val="00511D8F"/>
    <w:rsid w:val="005123CD"/>
    <w:rsid w:val="00512675"/>
    <w:rsid w:val="005129BD"/>
    <w:rsid w:val="00512A9D"/>
    <w:rsid w:val="00513A9F"/>
    <w:rsid w:val="0051472E"/>
    <w:rsid w:val="00515C10"/>
    <w:rsid w:val="00515EB3"/>
    <w:rsid w:val="005160BB"/>
    <w:rsid w:val="00516400"/>
    <w:rsid w:val="00516B06"/>
    <w:rsid w:val="005170AB"/>
    <w:rsid w:val="0051767D"/>
    <w:rsid w:val="005178F0"/>
    <w:rsid w:val="00520392"/>
    <w:rsid w:val="0052107B"/>
    <w:rsid w:val="005220D4"/>
    <w:rsid w:val="005225A2"/>
    <w:rsid w:val="00522C59"/>
    <w:rsid w:val="0052301C"/>
    <w:rsid w:val="00524B10"/>
    <w:rsid w:val="0052582A"/>
    <w:rsid w:val="0052728F"/>
    <w:rsid w:val="00527B94"/>
    <w:rsid w:val="00527FD6"/>
    <w:rsid w:val="00527FEE"/>
    <w:rsid w:val="0053077C"/>
    <w:rsid w:val="00530A15"/>
    <w:rsid w:val="00530C6A"/>
    <w:rsid w:val="005320BC"/>
    <w:rsid w:val="005332E8"/>
    <w:rsid w:val="00533FA5"/>
    <w:rsid w:val="0053537C"/>
    <w:rsid w:val="00536F7E"/>
    <w:rsid w:val="00537C4E"/>
    <w:rsid w:val="00541531"/>
    <w:rsid w:val="00542C45"/>
    <w:rsid w:val="005433D5"/>
    <w:rsid w:val="00543C99"/>
    <w:rsid w:val="00544073"/>
    <w:rsid w:val="00544D46"/>
    <w:rsid w:val="00545328"/>
    <w:rsid w:val="00551B36"/>
    <w:rsid w:val="005522F8"/>
    <w:rsid w:val="00552807"/>
    <w:rsid w:val="00553632"/>
    <w:rsid w:val="005538F1"/>
    <w:rsid w:val="00556929"/>
    <w:rsid w:val="0055783D"/>
    <w:rsid w:val="005617FE"/>
    <w:rsid w:val="00562F93"/>
    <w:rsid w:val="00564C94"/>
    <w:rsid w:val="00564FA8"/>
    <w:rsid w:val="0056504D"/>
    <w:rsid w:val="00565506"/>
    <w:rsid w:val="005657C9"/>
    <w:rsid w:val="005661E6"/>
    <w:rsid w:val="00566E5B"/>
    <w:rsid w:val="00566E93"/>
    <w:rsid w:val="00567EFB"/>
    <w:rsid w:val="00570088"/>
    <w:rsid w:val="0057044F"/>
    <w:rsid w:val="0057060E"/>
    <w:rsid w:val="00570B90"/>
    <w:rsid w:val="00570C5B"/>
    <w:rsid w:val="00571296"/>
    <w:rsid w:val="00571FBD"/>
    <w:rsid w:val="0057275B"/>
    <w:rsid w:val="00572AE4"/>
    <w:rsid w:val="00573482"/>
    <w:rsid w:val="00573FE5"/>
    <w:rsid w:val="00574697"/>
    <w:rsid w:val="0057499C"/>
    <w:rsid w:val="00574C9D"/>
    <w:rsid w:val="0057569C"/>
    <w:rsid w:val="005764F2"/>
    <w:rsid w:val="0057711F"/>
    <w:rsid w:val="00577CB8"/>
    <w:rsid w:val="005803B6"/>
    <w:rsid w:val="00580C4C"/>
    <w:rsid w:val="00580D07"/>
    <w:rsid w:val="00581207"/>
    <w:rsid w:val="00581F5F"/>
    <w:rsid w:val="005824D6"/>
    <w:rsid w:val="00583075"/>
    <w:rsid w:val="005832F0"/>
    <w:rsid w:val="00583BCC"/>
    <w:rsid w:val="00584AFB"/>
    <w:rsid w:val="0058565D"/>
    <w:rsid w:val="00585EFB"/>
    <w:rsid w:val="00586507"/>
    <w:rsid w:val="00587CE7"/>
    <w:rsid w:val="00587F92"/>
    <w:rsid w:val="0059015E"/>
    <w:rsid w:val="005920CD"/>
    <w:rsid w:val="0059293F"/>
    <w:rsid w:val="005929A3"/>
    <w:rsid w:val="005945AC"/>
    <w:rsid w:val="00594688"/>
    <w:rsid w:val="00594B7A"/>
    <w:rsid w:val="00594C89"/>
    <w:rsid w:val="00595D88"/>
    <w:rsid w:val="00596467"/>
    <w:rsid w:val="0059695C"/>
    <w:rsid w:val="005977ED"/>
    <w:rsid w:val="005979B3"/>
    <w:rsid w:val="005A07D1"/>
    <w:rsid w:val="005A1239"/>
    <w:rsid w:val="005A19CB"/>
    <w:rsid w:val="005A3247"/>
    <w:rsid w:val="005A360F"/>
    <w:rsid w:val="005A3D70"/>
    <w:rsid w:val="005A3E5C"/>
    <w:rsid w:val="005A4735"/>
    <w:rsid w:val="005A53F1"/>
    <w:rsid w:val="005A5E88"/>
    <w:rsid w:val="005A6033"/>
    <w:rsid w:val="005A67A9"/>
    <w:rsid w:val="005A73F9"/>
    <w:rsid w:val="005A7737"/>
    <w:rsid w:val="005A7D4F"/>
    <w:rsid w:val="005B0CA7"/>
    <w:rsid w:val="005B203C"/>
    <w:rsid w:val="005B2600"/>
    <w:rsid w:val="005B283C"/>
    <w:rsid w:val="005B2AB1"/>
    <w:rsid w:val="005B2B1B"/>
    <w:rsid w:val="005B3F83"/>
    <w:rsid w:val="005B54E3"/>
    <w:rsid w:val="005B58EF"/>
    <w:rsid w:val="005B5B2D"/>
    <w:rsid w:val="005B600D"/>
    <w:rsid w:val="005B62D2"/>
    <w:rsid w:val="005B655D"/>
    <w:rsid w:val="005B692A"/>
    <w:rsid w:val="005B6C77"/>
    <w:rsid w:val="005B7A65"/>
    <w:rsid w:val="005C0E50"/>
    <w:rsid w:val="005C1812"/>
    <w:rsid w:val="005C2E5D"/>
    <w:rsid w:val="005C3347"/>
    <w:rsid w:val="005C39D4"/>
    <w:rsid w:val="005C49B4"/>
    <w:rsid w:val="005C4A26"/>
    <w:rsid w:val="005C512B"/>
    <w:rsid w:val="005C60CD"/>
    <w:rsid w:val="005C6362"/>
    <w:rsid w:val="005C6D86"/>
    <w:rsid w:val="005C7648"/>
    <w:rsid w:val="005C79DE"/>
    <w:rsid w:val="005D097F"/>
    <w:rsid w:val="005D0AC2"/>
    <w:rsid w:val="005D1BE3"/>
    <w:rsid w:val="005D37DE"/>
    <w:rsid w:val="005D4AE2"/>
    <w:rsid w:val="005D5C34"/>
    <w:rsid w:val="005D6645"/>
    <w:rsid w:val="005D6E52"/>
    <w:rsid w:val="005D71BF"/>
    <w:rsid w:val="005D73A5"/>
    <w:rsid w:val="005D7EEE"/>
    <w:rsid w:val="005E0D43"/>
    <w:rsid w:val="005E33FF"/>
    <w:rsid w:val="005E4E30"/>
    <w:rsid w:val="005E5D4A"/>
    <w:rsid w:val="005E61E7"/>
    <w:rsid w:val="005E66FB"/>
    <w:rsid w:val="005E68A2"/>
    <w:rsid w:val="005E6F5E"/>
    <w:rsid w:val="005E72BF"/>
    <w:rsid w:val="005E7566"/>
    <w:rsid w:val="005F097C"/>
    <w:rsid w:val="005F0BD0"/>
    <w:rsid w:val="005F15C1"/>
    <w:rsid w:val="005F19D1"/>
    <w:rsid w:val="005F2A68"/>
    <w:rsid w:val="005F3F58"/>
    <w:rsid w:val="005F6709"/>
    <w:rsid w:val="005F6ADE"/>
    <w:rsid w:val="005F70CA"/>
    <w:rsid w:val="005F748C"/>
    <w:rsid w:val="00601130"/>
    <w:rsid w:val="00601463"/>
    <w:rsid w:val="00602408"/>
    <w:rsid w:val="0060310F"/>
    <w:rsid w:val="00603EC9"/>
    <w:rsid w:val="00605231"/>
    <w:rsid w:val="006052B9"/>
    <w:rsid w:val="00605844"/>
    <w:rsid w:val="00610110"/>
    <w:rsid w:val="00610688"/>
    <w:rsid w:val="00610A9D"/>
    <w:rsid w:val="00611EAD"/>
    <w:rsid w:val="0061234A"/>
    <w:rsid w:val="00612B65"/>
    <w:rsid w:val="00612F8C"/>
    <w:rsid w:val="00613AFA"/>
    <w:rsid w:val="00613D57"/>
    <w:rsid w:val="00614D42"/>
    <w:rsid w:val="006157CA"/>
    <w:rsid w:val="0061619E"/>
    <w:rsid w:val="00617918"/>
    <w:rsid w:val="00622446"/>
    <w:rsid w:val="00622887"/>
    <w:rsid w:val="00623001"/>
    <w:rsid w:val="00624496"/>
    <w:rsid w:val="006249BF"/>
    <w:rsid w:val="006257FA"/>
    <w:rsid w:val="00625EB2"/>
    <w:rsid w:val="00625F88"/>
    <w:rsid w:val="006274C2"/>
    <w:rsid w:val="00630182"/>
    <w:rsid w:val="006307F6"/>
    <w:rsid w:val="006308E9"/>
    <w:rsid w:val="00630EE5"/>
    <w:rsid w:val="006312D7"/>
    <w:rsid w:val="00631904"/>
    <w:rsid w:val="0063269A"/>
    <w:rsid w:val="00632DC1"/>
    <w:rsid w:val="006339D0"/>
    <w:rsid w:val="00634248"/>
    <w:rsid w:val="006343EC"/>
    <w:rsid w:val="00635DC4"/>
    <w:rsid w:val="00636A36"/>
    <w:rsid w:val="00637B87"/>
    <w:rsid w:val="00637EAE"/>
    <w:rsid w:val="006402D6"/>
    <w:rsid w:val="0064328D"/>
    <w:rsid w:val="006432E4"/>
    <w:rsid w:val="00643757"/>
    <w:rsid w:val="0064387D"/>
    <w:rsid w:val="0064388B"/>
    <w:rsid w:val="00646378"/>
    <w:rsid w:val="0064680F"/>
    <w:rsid w:val="00646BB0"/>
    <w:rsid w:val="00647B04"/>
    <w:rsid w:val="00650686"/>
    <w:rsid w:val="00651BC2"/>
    <w:rsid w:val="00653458"/>
    <w:rsid w:val="00653FCD"/>
    <w:rsid w:val="00654565"/>
    <w:rsid w:val="0065462A"/>
    <w:rsid w:val="00655D42"/>
    <w:rsid w:val="0065755F"/>
    <w:rsid w:val="00657B79"/>
    <w:rsid w:val="00662BCB"/>
    <w:rsid w:val="006631A6"/>
    <w:rsid w:val="006640C5"/>
    <w:rsid w:val="00664101"/>
    <w:rsid w:val="00670135"/>
    <w:rsid w:val="00671621"/>
    <w:rsid w:val="00671636"/>
    <w:rsid w:val="00671EFD"/>
    <w:rsid w:val="00673301"/>
    <w:rsid w:val="0067765C"/>
    <w:rsid w:val="0067775A"/>
    <w:rsid w:val="006803B1"/>
    <w:rsid w:val="00680E30"/>
    <w:rsid w:val="00681911"/>
    <w:rsid w:val="00681C90"/>
    <w:rsid w:val="006825ED"/>
    <w:rsid w:val="00682912"/>
    <w:rsid w:val="00682955"/>
    <w:rsid w:val="0068305E"/>
    <w:rsid w:val="0068309D"/>
    <w:rsid w:val="00684120"/>
    <w:rsid w:val="00685F92"/>
    <w:rsid w:val="00686471"/>
    <w:rsid w:val="00686645"/>
    <w:rsid w:val="00686FFE"/>
    <w:rsid w:val="00687D61"/>
    <w:rsid w:val="00687F06"/>
    <w:rsid w:val="00690786"/>
    <w:rsid w:val="00691391"/>
    <w:rsid w:val="00692171"/>
    <w:rsid w:val="006935F2"/>
    <w:rsid w:val="00695676"/>
    <w:rsid w:val="00695C0D"/>
    <w:rsid w:val="00695CA5"/>
    <w:rsid w:val="00695DA3"/>
    <w:rsid w:val="00696215"/>
    <w:rsid w:val="00697A29"/>
    <w:rsid w:val="00697EED"/>
    <w:rsid w:val="006A0F0B"/>
    <w:rsid w:val="006A14AF"/>
    <w:rsid w:val="006A1A22"/>
    <w:rsid w:val="006A1F90"/>
    <w:rsid w:val="006A3232"/>
    <w:rsid w:val="006A358B"/>
    <w:rsid w:val="006A6525"/>
    <w:rsid w:val="006A65DA"/>
    <w:rsid w:val="006A7E2B"/>
    <w:rsid w:val="006B0AA4"/>
    <w:rsid w:val="006B0BDF"/>
    <w:rsid w:val="006B163A"/>
    <w:rsid w:val="006B1BB0"/>
    <w:rsid w:val="006B1C9B"/>
    <w:rsid w:val="006B2C08"/>
    <w:rsid w:val="006B3126"/>
    <w:rsid w:val="006B33B7"/>
    <w:rsid w:val="006B37E7"/>
    <w:rsid w:val="006B3998"/>
    <w:rsid w:val="006B53ED"/>
    <w:rsid w:val="006B55CF"/>
    <w:rsid w:val="006B6D7D"/>
    <w:rsid w:val="006C0E1F"/>
    <w:rsid w:val="006C0F64"/>
    <w:rsid w:val="006C13E7"/>
    <w:rsid w:val="006C2513"/>
    <w:rsid w:val="006C2800"/>
    <w:rsid w:val="006C2862"/>
    <w:rsid w:val="006C31F8"/>
    <w:rsid w:val="006C3D4C"/>
    <w:rsid w:val="006C457F"/>
    <w:rsid w:val="006C4E1B"/>
    <w:rsid w:val="006C652E"/>
    <w:rsid w:val="006C6F23"/>
    <w:rsid w:val="006C7645"/>
    <w:rsid w:val="006D0A42"/>
    <w:rsid w:val="006D0CD5"/>
    <w:rsid w:val="006D0DC5"/>
    <w:rsid w:val="006D0FF1"/>
    <w:rsid w:val="006D1BB4"/>
    <w:rsid w:val="006D2051"/>
    <w:rsid w:val="006D2304"/>
    <w:rsid w:val="006D3C42"/>
    <w:rsid w:val="006D4098"/>
    <w:rsid w:val="006D41F9"/>
    <w:rsid w:val="006D4EEB"/>
    <w:rsid w:val="006D54B9"/>
    <w:rsid w:val="006D69C7"/>
    <w:rsid w:val="006D6E82"/>
    <w:rsid w:val="006E0365"/>
    <w:rsid w:val="006E18EC"/>
    <w:rsid w:val="006E2313"/>
    <w:rsid w:val="006E47B0"/>
    <w:rsid w:val="006E4AD0"/>
    <w:rsid w:val="006F047E"/>
    <w:rsid w:val="006F0792"/>
    <w:rsid w:val="006F0E23"/>
    <w:rsid w:val="006F107E"/>
    <w:rsid w:val="006F225C"/>
    <w:rsid w:val="006F40DA"/>
    <w:rsid w:val="006F46D2"/>
    <w:rsid w:val="006F47EC"/>
    <w:rsid w:val="006F4C33"/>
    <w:rsid w:val="006F5148"/>
    <w:rsid w:val="006F570B"/>
    <w:rsid w:val="006F71F3"/>
    <w:rsid w:val="00700025"/>
    <w:rsid w:val="007004EA"/>
    <w:rsid w:val="00700AF9"/>
    <w:rsid w:val="00701421"/>
    <w:rsid w:val="00702FDA"/>
    <w:rsid w:val="0070304E"/>
    <w:rsid w:val="00703618"/>
    <w:rsid w:val="00703F70"/>
    <w:rsid w:val="007044DF"/>
    <w:rsid w:val="00704F36"/>
    <w:rsid w:val="00707B1F"/>
    <w:rsid w:val="007101FB"/>
    <w:rsid w:val="0071173E"/>
    <w:rsid w:val="00712B1C"/>
    <w:rsid w:val="007131D2"/>
    <w:rsid w:val="0071333B"/>
    <w:rsid w:val="00713780"/>
    <w:rsid w:val="00713D90"/>
    <w:rsid w:val="00713EBF"/>
    <w:rsid w:val="00714078"/>
    <w:rsid w:val="007140FC"/>
    <w:rsid w:val="0071434D"/>
    <w:rsid w:val="00714A51"/>
    <w:rsid w:val="007151F1"/>
    <w:rsid w:val="00715ACC"/>
    <w:rsid w:val="00715ADE"/>
    <w:rsid w:val="00716D66"/>
    <w:rsid w:val="00717151"/>
    <w:rsid w:val="00720D8C"/>
    <w:rsid w:val="007232C1"/>
    <w:rsid w:val="007242D4"/>
    <w:rsid w:val="0072439A"/>
    <w:rsid w:val="00724465"/>
    <w:rsid w:val="007250F9"/>
    <w:rsid w:val="00725110"/>
    <w:rsid w:val="007256D1"/>
    <w:rsid w:val="0072579A"/>
    <w:rsid w:val="007257B7"/>
    <w:rsid w:val="00725868"/>
    <w:rsid w:val="00725E5F"/>
    <w:rsid w:val="00726128"/>
    <w:rsid w:val="00726B15"/>
    <w:rsid w:val="0072722C"/>
    <w:rsid w:val="00727D39"/>
    <w:rsid w:val="00730ACD"/>
    <w:rsid w:val="007316A1"/>
    <w:rsid w:val="007318CC"/>
    <w:rsid w:val="00732D54"/>
    <w:rsid w:val="00734F9C"/>
    <w:rsid w:val="007350C3"/>
    <w:rsid w:val="007358A9"/>
    <w:rsid w:val="00735FB4"/>
    <w:rsid w:val="00736284"/>
    <w:rsid w:val="00736561"/>
    <w:rsid w:val="0073668F"/>
    <w:rsid w:val="0073694C"/>
    <w:rsid w:val="007376CC"/>
    <w:rsid w:val="007405A5"/>
    <w:rsid w:val="00740B29"/>
    <w:rsid w:val="007423DF"/>
    <w:rsid w:val="0074365D"/>
    <w:rsid w:val="00743E87"/>
    <w:rsid w:val="00743EF1"/>
    <w:rsid w:val="00743F19"/>
    <w:rsid w:val="00745389"/>
    <w:rsid w:val="00745BC5"/>
    <w:rsid w:val="00747928"/>
    <w:rsid w:val="0075049A"/>
    <w:rsid w:val="00750701"/>
    <w:rsid w:val="00750796"/>
    <w:rsid w:val="00750864"/>
    <w:rsid w:val="0075103B"/>
    <w:rsid w:val="00751C7D"/>
    <w:rsid w:val="0075212B"/>
    <w:rsid w:val="007521F6"/>
    <w:rsid w:val="007522C8"/>
    <w:rsid w:val="00752402"/>
    <w:rsid w:val="007525A6"/>
    <w:rsid w:val="00753007"/>
    <w:rsid w:val="00753422"/>
    <w:rsid w:val="0075384A"/>
    <w:rsid w:val="00753A2E"/>
    <w:rsid w:val="0075411B"/>
    <w:rsid w:val="00754E63"/>
    <w:rsid w:val="007555E9"/>
    <w:rsid w:val="00755E54"/>
    <w:rsid w:val="00755FA6"/>
    <w:rsid w:val="007569BE"/>
    <w:rsid w:val="00756DF0"/>
    <w:rsid w:val="00762E31"/>
    <w:rsid w:val="007647A5"/>
    <w:rsid w:val="007649A2"/>
    <w:rsid w:val="0076710E"/>
    <w:rsid w:val="00767323"/>
    <w:rsid w:val="007673E1"/>
    <w:rsid w:val="00767A9C"/>
    <w:rsid w:val="00767E3C"/>
    <w:rsid w:val="00771177"/>
    <w:rsid w:val="0077173D"/>
    <w:rsid w:val="00772618"/>
    <w:rsid w:val="00773E35"/>
    <w:rsid w:val="00774116"/>
    <w:rsid w:val="007744FD"/>
    <w:rsid w:val="00774E97"/>
    <w:rsid w:val="00774FF7"/>
    <w:rsid w:val="00775107"/>
    <w:rsid w:val="00776B5C"/>
    <w:rsid w:val="00776CF5"/>
    <w:rsid w:val="007775E4"/>
    <w:rsid w:val="007777F9"/>
    <w:rsid w:val="00780A18"/>
    <w:rsid w:val="00780C20"/>
    <w:rsid w:val="00780E13"/>
    <w:rsid w:val="00781293"/>
    <w:rsid w:val="0078172C"/>
    <w:rsid w:val="00782046"/>
    <w:rsid w:val="0078234A"/>
    <w:rsid w:val="00783CB4"/>
    <w:rsid w:val="007848DC"/>
    <w:rsid w:val="007850C5"/>
    <w:rsid w:val="007863B5"/>
    <w:rsid w:val="0078739C"/>
    <w:rsid w:val="00787AFB"/>
    <w:rsid w:val="00790FD1"/>
    <w:rsid w:val="007911B4"/>
    <w:rsid w:val="00791249"/>
    <w:rsid w:val="00792759"/>
    <w:rsid w:val="007939C2"/>
    <w:rsid w:val="00793E47"/>
    <w:rsid w:val="007974D9"/>
    <w:rsid w:val="007A1AA0"/>
    <w:rsid w:val="007A1BA4"/>
    <w:rsid w:val="007A1CDA"/>
    <w:rsid w:val="007A1DC8"/>
    <w:rsid w:val="007A1EBA"/>
    <w:rsid w:val="007A2BF6"/>
    <w:rsid w:val="007A2C3C"/>
    <w:rsid w:val="007A45BC"/>
    <w:rsid w:val="007A4A97"/>
    <w:rsid w:val="007A4F59"/>
    <w:rsid w:val="007A6128"/>
    <w:rsid w:val="007A6DB8"/>
    <w:rsid w:val="007B0C4C"/>
    <w:rsid w:val="007B0F99"/>
    <w:rsid w:val="007B10FB"/>
    <w:rsid w:val="007B1D64"/>
    <w:rsid w:val="007B3ADE"/>
    <w:rsid w:val="007B3B40"/>
    <w:rsid w:val="007B3E37"/>
    <w:rsid w:val="007B41B0"/>
    <w:rsid w:val="007B491F"/>
    <w:rsid w:val="007B4A37"/>
    <w:rsid w:val="007B4AB1"/>
    <w:rsid w:val="007B592F"/>
    <w:rsid w:val="007B6BD6"/>
    <w:rsid w:val="007B6D67"/>
    <w:rsid w:val="007B7F5E"/>
    <w:rsid w:val="007C0877"/>
    <w:rsid w:val="007C0DE2"/>
    <w:rsid w:val="007C1607"/>
    <w:rsid w:val="007C1D1E"/>
    <w:rsid w:val="007C1F17"/>
    <w:rsid w:val="007C5FDB"/>
    <w:rsid w:val="007C6C56"/>
    <w:rsid w:val="007C7324"/>
    <w:rsid w:val="007D006C"/>
    <w:rsid w:val="007D0240"/>
    <w:rsid w:val="007D17E6"/>
    <w:rsid w:val="007D2C46"/>
    <w:rsid w:val="007D4E55"/>
    <w:rsid w:val="007D5710"/>
    <w:rsid w:val="007D5FC5"/>
    <w:rsid w:val="007D6089"/>
    <w:rsid w:val="007D613F"/>
    <w:rsid w:val="007D6501"/>
    <w:rsid w:val="007D685B"/>
    <w:rsid w:val="007D6DD2"/>
    <w:rsid w:val="007D76EA"/>
    <w:rsid w:val="007D78EF"/>
    <w:rsid w:val="007D7A30"/>
    <w:rsid w:val="007E1677"/>
    <w:rsid w:val="007E1C68"/>
    <w:rsid w:val="007E2352"/>
    <w:rsid w:val="007E291B"/>
    <w:rsid w:val="007E4B40"/>
    <w:rsid w:val="007E55A9"/>
    <w:rsid w:val="007E5FA3"/>
    <w:rsid w:val="007E6360"/>
    <w:rsid w:val="007E63D0"/>
    <w:rsid w:val="007E69EE"/>
    <w:rsid w:val="007E7A22"/>
    <w:rsid w:val="007E7AF1"/>
    <w:rsid w:val="007E7DD3"/>
    <w:rsid w:val="007F0749"/>
    <w:rsid w:val="007F129F"/>
    <w:rsid w:val="007F18FC"/>
    <w:rsid w:val="007F1D98"/>
    <w:rsid w:val="007F22B9"/>
    <w:rsid w:val="007F23A3"/>
    <w:rsid w:val="007F280E"/>
    <w:rsid w:val="007F2C5E"/>
    <w:rsid w:val="007F338F"/>
    <w:rsid w:val="007F348B"/>
    <w:rsid w:val="007F38F6"/>
    <w:rsid w:val="007F3D59"/>
    <w:rsid w:val="007F3DC5"/>
    <w:rsid w:val="007F4666"/>
    <w:rsid w:val="007F47FB"/>
    <w:rsid w:val="007F5290"/>
    <w:rsid w:val="007F5C17"/>
    <w:rsid w:val="007F5E2B"/>
    <w:rsid w:val="007F5F0C"/>
    <w:rsid w:val="008000AA"/>
    <w:rsid w:val="008005D0"/>
    <w:rsid w:val="00803264"/>
    <w:rsid w:val="00805AAD"/>
    <w:rsid w:val="00805B9B"/>
    <w:rsid w:val="0081032A"/>
    <w:rsid w:val="00811B65"/>
    <w:rsid w:val="00812AE1"/>
    <w:rsid w:val="00812FEC"/>
    <w:rsid w:val="008131CF"/>
    <w:rsid w:val="00814DEB"/>
    <w:rsid w:val="008178E8"/>
    <w:rsid w:val="00820946"/>
    <w:rsid w:val="00820ECB"/>
    <w:rsid w:val="00822052"/>
    <w:rsid w:val="00823264"/>
    <w:rsid w:val="00824375"/>
    <w:rsid w:val="008254B8"/>
    <w:rsid w:val="008256E9"/>
    <w:rsid w:val="00825AA4"/>
    <w:rsid w:val="00826A68"/>
    <w:rsid w:val="00826C70"/>
    <w:rsid w:val="008271D0"/>
    <w:rsid w:val="008278A7"/>
    <w:rsid w:val="0083086F"/>
    <w:rsid w:val="00830987"/>
    <w:rsid w:val="00830D41"/>
    <w:rsid w:val="0083198B"/>
    <w:rsid w:val="00833003"/>
    <w:rsid w:val="0083354F"/>
    <w:rsid w:val="00833801"/>
    <w:rsid w:val="00833F73"/>
    <w:rsid w:val="00834F29"/>
    <w:rsid w:val="00835008"/>
    <w:rsid w:val="0083595C"/>
    <w:rsid w:val="008368A2"/>
    <w:rsid w:val="0084328A"/>
    <w:rsid w:val="00843371"/>
    <w:rsid w:val="00843B5F"/>
    <w:rsid w:val="00845813"/>
    <w:rsid w:val="0084613C"/>
    <w:rsid w:val="0084650B"/>
    <w:rsid w:val="008478F9"/>
    <w:rsid w:val="0085092C"/>
    <w:rsid w:val="00851CE4"/>
    <w:rsid w:val="00853739"/>
    <w:rsid w:val="0085495F"/>
    <w:rsid w:val="00854BE0"/>
    <w:rsid w:val="00855D5A"/>
    <w:rsid w:val="0086059D"/>
    <w:rsid w:val="008628C8"/>
    <w:rsid w:val="00862E3D"/>
    <w:rsid w:val="0086346D"/>
    <w:rsid w:val="00863790"/>
    <w:rsid w:val="00864E89"/>
    <w:rsid w:val="008653D7"/>
    <w:rsid w:val="008656CF"/>
    <w:rsid w:val="00867806"/>
    <w:rsid w:val="00867D08"/>
    <w:rsid w:val="00867D3A"/>
    <w:rsid w:val="00867DA3"/>
    <w:rsid w:val="00870552"/>
    <w:rsid w:val="00870806"/>
    <w:rsid w:val="008721D8"/>
    <w:rsid w:val="008721F2"/>
    <w:rsid w:val="00872969"/>
    <w:rsid w:val="00872B7A"/>
    <w:rsid w:val="0087305C"/>
    <w:rsid w:val="008752D3"/>
    <w:rsid w:val="00875D8E"/>
    <w:rsid w:val="00876008"/>
    <w:rsid w:val="00876F43"/>
    <w:rsid w:val="00877F1C"/>
    <w:rsid w:val="00880532"/>
    <w:rsid w:val="00880716"/>
    <w:rsid w:val="00881AFD"/>
    <w:rsid w:val="00881CF3"/>
    <w:rsid w:val="008829C6"/>
    <w:rsid w:val="00882C6E"/>
    <w:rsid w:val="008835EA"/>
    <w:rsid w:val="00886623"/>
    <w:rsid w:val="00887BD1"/>
    <w:rsid w:val="0089069D"/>
    <w:rsid w:val="008916BB"/>
    <w:rsid w:val="008916F2"/>
    <w:rsid w:val="00891990"/>
    <w:rsid w:val="00892834"/>
    <w:rsid w:val="00894628"/>
    <w:rsid w:val="00897A83"/>
    <w:rsid w:val="008A03CE"/>
    <w:rsid w:val="008A072C"/>
    <w:rsid w:val="008A0812"/>
    <w:rsid w:val="008A0CB6"/>
    <w:rsid w:val="008A154B"/>
    <w:rsid w:val="008A273A"/>
    <w:rsid w:val="008A2D01"/>
    <w:rsid w:val="008A2E0E"/>
    <w:rsid w:val="008A395B"/>
    <w:rsid w:val="008A3996"/>
    <w:rsid w:val="008A5AE2"/>
    <w:rsid w:val="008A6193"/>
    <w:rsid w:val="008A64D6"/>
    <w:rsid w:val="008A6925"/>
    <w:rsid w:val="008A7A60"/>
    <w:rsid w:val="008A7B8F"/>
    <w:rsid w:val="008B0217"/>
    <w:rsid w:val="008B14A6"/>
    <w:rsid w:val="008B1D5E"/>
    <w:rsid w:val="008B280D"/>
    <w:rsid w:val="008B2995"/>
    <w:rsid w:val="008B5430"/>
    <w:rsid w:val="008B584F"/>
    <w:rsid w:val="008B6801"/>
    <w:rsid w:val="008B79C9"/>
    <w:rsid w:val="008C14CC"/>
    <w:rsid w:val="008C19F8"/>
    <w:rsid w:val="008C4C9A"/>
    <w:rsid w:val="008C502F"/>
    <w:rsid w:val="008C5915"/>
    <w:rsid w:val="008C5AF1"/>
    <w:rsid w:val="008C6024"/>
    <w:rsid w:val="008C7EAD"/>
    <w:rsid w:val="008D075F"/>
    <w:rsid w:val="008D0B28"/>
    <w:rsid w:val="008D2179"/>
    <w:rsid w:val="008D2CB0"/>
    <w:rsid w:val="008D3B1D"/>
    <w:rsid w:val="008D4D92"/>
    <w:rsid w:val="008D661B"/>
    <w:rsid w:val="008D72CC"/>
    <w:rsid w:val="008D7CB2"/>
    <w:rsid w:val="008D7D2A"/>
    <w:rsid w:val="008E036D"/>
    <w:rsid w:val="008E0F66"/>
    <w:rsid w:val="008E15C4"/>
    <w:rsid w:val="008E175B"/>
    <w:rsid w:val="008E1E67"/>
    <w:rsid w:val="008E1EA4"/>
    <w:rsid w:val="008E22C1"/>
    <w:rsid w:val="008E2776"/>
    <w:rsid w:val="008E27C5"/>
    <w:rsid w:val="008E2E41"/>
    <w:rsid w:val="008E4299"/>
    <w:rsid w:val="008E46A7"/>
    <w:rsid w:val="008E4BA1"/>
    <w:rsid w:val="008E5481"/>
    <w:rsid w:val="008E5D1A"/>
    <w:rsid w:val="008E7251"/>
    <w:rsid w:val="008E7926"/>
    <w:rsid w:val="008F116D"/>
    <w:rsid w:val="008F22E7"/>
    <w:rsid w:val="008F2A5E"/>
    <w:rsid w:val="008F3631"/>
    <w:rsid w:val="008F4A44"/>
    <w:rsid w:val="008F6EA0"/>
    <w:rsid w:val="009007C5"/>
    <w:rsid w:val="00900F63"/>
    <w:rsid w:val="00902249"/>
    <w:rsid w:val="00903427"/>
    <w:rsid w:val="0090344B"/>
    <w:rsid w:val="00903820"/>
    <w:rsid w:val="00903D3B"/>
    <w:rsid w:val="009046E4"/>
    <w:rsid w:val="009060A1"/>
    <w:rsid w:val="00907215"/>
    <w:rsid w:val="00910BD4"/>
    <w:rsid w:val="009110BF"/>
    <w:rsid w:val="009111E7"/>
    <w:rsid w:val="00911216"/>
    <w:rsid w:val="00911A4F"/>
    <w:rsid w:val="00913892"/>
    <w:rsid w:val="009151C3"/>
    <w:rsid w:val="009158E6"/>
    <w:rsid w:val="00916D9C"/>
    <w:rsid w:val="00917B12"/>
    <w:rsid w:val="00920A3C"/>
    <w:rsid w:val="009212AA"/>
    <w:rsid w:val="00922159"/>
    <w:rsid w:val="00922D85"/>
    <w:rsid w:val="009243BA"/>
    <w:rsid w:val="00924881"/>
    <w:rsid w:val="00924EEE"/>
    <w:rsid w:val="00924F4E"/>
    <w:rsid w:val="00926434"/>
    <w:rsid w:val="009266A4"/>
    <w:rsid w:val="00927DCB"/>
    <w:rsid w:val="00930D71"/>
    <w:rsid w:val="00931580"/>
    <w:rsid w:val="00933F27"/>
    <w:rsid w:val="0093493B"/>
    <w:rsid w:val="00935DA2"/>
    <w:rsid w:val="0093762F"/>
    <w:rsid w:val="0093784A"/>
    <w:rsid w:val="009411E3"/>
    <w:rsid w:val="00942ED1"/>
    <w:rsid w:val="00943358"/>
    <w:rsid w:val="00943AE6"/>
    <w:rsid w:val="00945243"/>
    <w:rsid w:val="00945510"/>
    <w:rsid w:val="0094777C"/>
    <w:rsid w:val="00947EE3"/>
    <w:rsid w:val="00950404"/>
    <w:rsid w:val="00950DF5"/>
    <w:rsid w:val="0095107A"/>
    <w:rsid w:val="00951504"/>
    <w:rsid w:val="00951580"/>
    <w:rsid w:val="00951A91"/>
    <w:rsid w:val="00952177"/>
    <w:rsid w:val="00952F3D"/>
    <w:rsid w:val="00954AA9"/>
    <w:rsid w:val="00954E03"/>
    <w:rsid w:val="009550E5"/>
    <w:rsid w:val="009558C8"/>
    <w:rsid w:val="00955B15"/>
    <w:rsid w:val="00955D67"/>
    <w:rsid w:val="00955E19"/>
    <w:rsid w:val="00957FCC"/>
    <w:rsid w:val="009600F7"/>
    <w:rsid w:val="00961C3E"/>
    <w:rsid w:val="00962251"/>
    <w:rsid w:val="00962BB2"/>
    <w:rsid w:val="00962C9B"/>
    <w:rsid w:val="00964906"/>
    <w:rsid w:val="00965656"/>
    <w:rsid w:val="00966E9F"/>
    <w:rsid w:val="009678DE"/>
    <w:rsid w:val="0096794F"/>
    <w:rsid w:val="00973172"/>
    <w:rsid w:val="0097317D"/>
    <w:rsid w:val="009740FC"/>
    <w:rsid w:val="00974429"/>
    <w:rsid w:val="009745D2"/>
    <w:rsid w:val="009768DE"/>
    <w:rsid w:val="00977509"/>
    <w:rsid w:val="00977EC9"/>
    <w:rsid w:val="0098207A"/>
    <w:rsid w:val="00982C36"/>
    <w:rsid w:val="009843FB"/>
    <w:rsid w:val="009862E3"/>
    <w:rsid w:val="0098779D"/>
    <w:rsid w:val="00987F9E"/>
    <w:rsid w:val="00990302"/>
    <w:rsid w:val="00990DE3"/>
    <w:rsid w:val="009911B4"/>
    <w:rsid w:val="009913CC"/>
    <w:rsid w:val="00991477"/>
    <w:rsid w:val="009919E4"/>
    <w:rsid w:val="009929D5"/>
    <w:rsid w:val="00992B5D"/>
    <w:rsid w:val="0099418A"/>
    <w:rsid w:val="0099424A"/>
    <w:rsid w:val="0099583A"/>
    <w:rsid w:val="00996E99"/>
    <w:rsid w:val="00997372"/>
    <w:rsid w:val="00997904"/>
    <w:rsid w:val="009A036E"/>
    <w:rsid w:val="009A0E9B"/>
    <w:rsid w:val="009A2256"/>
    <w:rsid w:val="009A3ADB"/>
    <w:rsid w:val="009A5135"/>
    <w:rsid w:val="009A5DAE"/>
    <w:rsid w:val="009A78E6"/>
    <w:rsid w:val="009A794B"/>
    <w:rsid w:val="009A7EC9"/>
    <w:rsid w:val="009B1246"/>
    <w:rsid w:val="009B191C"/>
    <w:rsid w:val="009B1FD1"/>
    <w:rsid w:val="009B2551"/>
    <w:rsid w:val="009B25C8"/>
    <w:rsid w:val="009B3B59"/>
    <w:rsid w:val="009B4CA7"/>
    <w:rsid w:val="009B51F3"/>
    <w:rsid w:val="009B53C9"/>
    <w:rsid w:val="009B6008"/>
    <w:rsid w:val="009B7421"/>
    <w:rsid w:val="009B7824"/>
    <w:rsid w:val="009C0ED9"/>
    <w:rsid w:val="009C1134"/>
    <w:rsid w:val="009C1BC3"/>
    <w:rsid w:val="009C2DB4"/>
    <w:rsid w:val="009C3DE6"/>
    <w:rsid w:val="009C3E66"/>
    <w:rsid w:val="009C49D9"/>
    <w:rsid w:val="009C4A3D"/>
    <w:rsid w:val="009C51AB"/>
    <w:rsid w:val="009C62DD"/>
    <w:rsid w:val="009C6A42"/>
    <w:rsid w:val="009C6AFD"/>
    <w:rsid w:val="009C720E"/>
    <w:rsid w:val="009C76DF"/>
    <w:rsid w:val="009C7E93"/>
    <w:rsid w:val="009C7FF0"/>
    <w:rsid w:val="009D1207"/>
    <w:rsid w:val="009D17DA"/>
    <w:rsid w:val="009D1AAB"/>
    <w:rsid w:val="009D22B6"/>
    <w:rsid w:val="009D3E70"/>
    <w:rsid w:val="009D4014"/>
    <w:rsid w:val="009D410D"/>
    <w:rsid w:val="009D53AD"/>
    <w:rsid w:val="009D61A7"/>
    <w:rsid w:val="009D771D"/>
    <w:rsid w:val="009D7BAA"/>
    <w:rsid w:val="009E1770"/>
    <w:rsid w:val="009E19C3"/>
    <w:rsid w:val="009E2126"/>
    <w:rsid w:val="009E2E2C"/>
    <w:rsid w:val="009E3342"/>
    <w:rsid w:val="009E3E3A"/>
    <w:rsid w:val="009E3E4D"/>
    <w:rsid w:val="009E52AF"/>
    <w:rsid w:val="009E5AFA"/>
    <w:rsid w:val="009E623C"/>
    <w:rsid w:val="009E63DE"/>
    <w:rsid w:val="009E6F56"/>
    <w:rsid w:val="009E73F9"/>
    <w:rsid w:val="009E7F63"/>
    <w:rsid w:val="009F15BA"/>
    <w:rsid w:val="009F1955"/>
    <w:rsid w:val="009F29ED"/>
    <w:rsid w:val="009F2C13"/>
    <w:rsid w:val="009F2FDC"/>
    <w:rsid w:val="009F3081"/>
    <w:rsid w:val="009F3A41"/>
    <w:rsid w:val="009F44C5"/>
    <w:rsid w:val="009F58A7"/>
    <w:rsid w:val="009F600A"/>
    <w:rsid w:val="009F6448"/>
    <w:rsid w:val="009F6D74"/>
    <w:rsid w:val="009F7007"/>
    <w:rsid w:val="00A00624"/>
    <w:rsid w:val="00A00C4F"/>
    <w:rsid w:val="00A045F9"/>
    <w:rsid w:val="00A04967"/>
    <w:rsid w:val="00A061C7"/>
    <w:rsid w:val="00A06B5B"/>
    <w:rsid w:val="00A115B0"/>
    <w:rsid w:val="00A11DF6"/>
    <w:rsid w:val="00A12786"/>
    <w:rsid w:val="00A1350D"/>
    <w:rsid w:val="00A13982"/>
    <w:rsid w:val="00A145D5"/>
    <w:rsid w:val="00A15946"/>
    <w:rsid w:val="00A168C6"/>
    <w:rsid w:val="00A173CF"/>
    <w:rsid w:val="00A17AE3"/>
    <w:rsid w:val="00A17B44"/>
    <w:rsid w:val="00A20875"/>
    <w:rsid w:val="00A23478"/>
    <w:rsid w:val="00A23486"/>
    <w:rsid w:val="00A234E1"/>
    <w:rsid w:val="00A23578"/>
    <w:rsid w:val="00A23A8D"/>
    <w:rsid w:val="00A241DD"/>
    <w:rsid w:val="00A24D35"/>
    <w:rsid w:val="00A27152"/>
    <w:rsid w:val="00A27F35"/>
    <w:rsid w:val="00A30EA6"/>
    <w:rsid w:val="00A3103D"/>
    <w:rsid w:val="00A31635"/>
    <w:rsid w:val="00A319A1"/>
    <w:rsid w:val="00A32462"/>
    <w:rsid w:val="00A324C5"/>
    <w:rsid w:val="00A328D2"/>
    <w:rsid w:val="00A33086"/>
    <w:rsid w:val="00A35583"/>
    <w:rsid w:val="00A35DB0"/>
    <w:rsid w:val="00A35E6E"/>
    <w:rsid w:val="00A36606"/>
    <w:rsid w:val="00A36A0D"/>
    <w:rsid w:val="00A373F1"/>
    <w:rsid w:val="00A40720"/>
    <w:rsid w:val="00A41D8F"/>
    <w:rsid w:val="00A42CB7"/>
    <w:rsid w:val="00A43055"/>
    <w:rsid w:val="00A4341C"/>
    <w:rsid w:val="00A44196"/>
    <w:rsid w:val="00A4726D"/>
    <w:rsid w:val="00A47F6C"/>
    <w:rsid w:val="00A50434"/>
    <w:rsid w:val="00A52149"/>
    <w:rsid w:val="00A5338F"/>
    <w:rsid w:val="00A53D63"/>
    <w:rsid w:val="00A54417"/>
    <w:rsid w:val="00A54AE1"/>
    <w:rsid w:val="00A54F9B"/>
    <w:rsid w:val="00A552D7"/>
    <w:rsid w:val="00A5535D"/>
    <w:rsid w:val="00A55B7D"/>
    <w:rsid w:val="00A5702E"/>
    <w:rsid w:val="00A57CE3"/>
    <w:rsid w:val="00A602CD"/>
    <w:rsid w:val="00A60604"/>
    <w:rsid w:val="00A61F12"/>
    <w:rsid w:val="00A63282"/>
    <w:rsid w:val="00A6366F"/>
    <w:rsid w:val="00A649FC"/>
    <w:rsid w:val="00A64A0F"/>
    <w:rsid w:val="00A650FB"/>
    <w:rsid w:val="00A658E7"/>
    <w:rsid w:val="00A65ABA"/>
    <w:rsid w:val="00A6691B"/>
    <w:rsid w:val="00A703FC"/>
    <w:rsid w:val="00A71A34"/>
    <w:rsid w:val="00A73B55"/>
    <w:rsid w:val="00A75626"/>
    <w:rsid w:val="00A759FD"/>
    <w:rsid w:val="00A75B37"/>
    <w:rsid w:val="00A75FFD"/>
    <w:rsid w:val="00A76591"/>
    <w:rsid w:val="00A768B9"/>
    <w:rsid w:val="00A76B17"/>
    <w:rsid w:val="00A77ABB"/>
    <w:rsid w:val="00A77B92"/>
    <w:rsid w:val="00A80287"/>
    <w:rsid w:val="00A81769"/>
    <w:rsid w:val="00A83FFC"/>
    <w:rsid w:val="00A842BF"/>
    <w:rsid w:val="00A84302"/>
    <w:rsid w:val="00A84655"/>
    <w:rsid w:val="00A85127"/>
    <w:rsid w:val="00A8629A"/>
    <w:rsid w:val="00A86789"/>
    <w:rsid w:val="00A868E8"/>
    <w:rsid w:val="00A8720B"/>
    <w:rsid w:val="00A878FB"/>
    <w:rsid w:val="00A906CE"/>
    <w:rsid w:val="00A9119B"/>
    <w:rsid w:val="00A91339"/>
    <w:rsid w:val="00A916F8"/>
    <w:rsid w:val="00A9231A"/>
    <w:rsid w:val="00A94323"/>
    <w:rsid w:val="00A94BE3"/>
    <w:rsid w:val="00A953DE"/>
    <w:rsid w:val="00A972F9"/>
    <w:rsid w:val="00AA0C07"/>
    <w:rsid w:val="00AA0E62"/>
    <w:rsid w:val="00AA272D"/>
    <w:rsid w:val="00AA2BAE"/>
    <w:rsid w:val="00AA2FB4"/>
    <w:rsid w:val="00AA356A"/>
    <w:rsid w:val="00AA493C"/>
    <w:rsid w:val="00AA5271"/>
    <w:rsid w:val="00AA5B31"/>
    <w:rsid w:val="00AA68A8"/>
    <w:rsid w:val="00AA68F8"/>
    <w:rsid w:val="00AA6CF8"/>
    <w:rsid w:val="00AA6DD9"/>
    <w:rsid w:val="00AA6E7D"/>
    <w:rsid w:val="00AA7741"/>
    <w:rsid w:val="00AB0142"/>
    <w:rsid w:val="00AB0577"/>
    <w:rsid w:val="00AB05CD"/>
    <w:rsid w:val="00AB1045"/>
    <w:rsid w:val="00AB1BA9"/>
    <w:rsid w:val="00AB2927"/>
    <w:rsid w:val="00AB3B7A"/>
    <w:rsid w:val="00AB421E"/>
    <w:rsid w:val="00AB4258"/>
    <w:rsid w:val="00AB44C1"/>
    <w:rsid w:val="00AB467E"/>
    <w:rsid w:val="00AB5FC8"/>
    <w:rsid w:val="00AB6F21"/>
    <w:rsid w:val="00AC012C"/>
    <w:rsid w:val="00AC0145"/>
    <w:rsid w:val="00AC0A8C"/>
    <w:rsid w:val="00AC0FC2"/>
    <w:rsid w:val="00AC161B"/>
    <w:rsid w:val="00AC182B"/>
    <w:rsid w:val="00AC1A3C"/>
    <w:rsid w:val="00AC478A"/>
    <w:rsid w:val="00AC4E5E"/>
    <w:rsid w:val="00AC5E78"/>
    <w:rsid w:val="00AC627A"/>
    <w:rsid w:val="00AC6656"/>
    <w:rsid w:val="00AC68F2"/>
    <w:rsid w:val="00AC7837"/>
    <w:rsid w:val="00AC7AEC"/>
    <w:rsid w:val="00AC7D7A"/>
    <w:rsid w:val="00AD01FE"/>
    <w:rsid w:val="00AD1281"/>
    <w:rsid w:val="00AD2172"/>
    <w:rsid w:val="00AD2835"/>
    <w:rsid w:val="00AD34F6"/>
    <w:rsid w:val="00AD3A9C"/>
    <w:rsid w:val="00AD525D"/>
    <w:rsid w:val="00AD5FC0"/>
    <w:rsid w:val="00AD6681"/>
    <w:rsid w:val="00AD66F0"/>
    <w:rsid w:val="00AD7FFA"/>
    <w:rsid w:val="00AE019D"/>
    <w:rsid w:val="00AE02AD"/>
    <w:rsid w:val="00AE089C"/>
    <w:rsid w:val="00AE0905"/>
    <w:rsid w:val="00AE0AD6"/>
    <w:rsid w:val="00AE127E"/>
    <w:rsid w:val="00AE12AA"/>
    <w:rsid w:val="00AE199C"/>
    <w:rsid w:val="00AE3729"/>
    <w:rsid w:val="00AE3AD8"/>
    <w:rsid w:val="00AE4EBC"/>
    <w:rsid w:val="00AE53A3"/>
    <w:rsid w:val="00AE62B2"/>
    <w:rsid w:val="00AF03B1"/>
    <w:rsid w:val="00AF05AD"/>
    <w:rsid w:val="00AF096B"/>
    <w:rsid w:val="00AF1040"/>
    <w:rsid w:val="00AF1775"/>
    <w:rsid w:val="00AF26F3"/>
    <w:rsid w:val="00AF2C9B"/>
    <w:rsid w:val="00AF301D"/>
    <w:rsid w:val="00AF40CB"/>
    <w:rsid w:val="00AF412B"/>
    <w:rsid w:val="00AF4365"/>
    <w:rsid w:val="00AF4792"/>
    <w:rsid w:val="00AF577C"/>
    <w:rsid w:val="00AF5814"/>
    <w:rsid w:val="00B0223E"/>
    <w:rsid w:val="00B02C27"/>
    <w:rsid w:val="00B03DAF"/>
    <w:rsid w:val="00B05522"/>
    <w:rsid w:val="00B0604B"/>
    <w:rsid w:val="00B06B95"/>
    <w:rsid w:val="00B06CC3"/>
    <w:rsid w:val="00B1279A"/>
    <w:rsid w:val="00B12F39"/>
    <w:rsid w:val="00B12FA2"/>
    <w:rsid w:val="00B14023"/>
    <w:rsid w:val="00B14914"/>
    <w:rsid w:val="00B150D7"/>
    <w:rsid w:val="00B15D4E"/>
    <w:rsid w:val="00B17058"/>
    <w:rsid w:val="00B170AE"/>
    <w:rsid w:val="00B211F8"/>
    <w:rsid w:val="00B22834"/>
    <w:rsid w:val="00B233D1"/>
    <w:rsid w:val="00B23B12"/>
    <w:rsid w:val="00B24D65"/>
    <w:rsid w:val="00B25495"/>
    <w:rsid w:val="00B258FC"/>
    <w:rsid w:val="00B25C78"/>
    <w:rsid w:val="00B3133E"/>
    <w:rsid w:val="00B31593"/>
    <w:rsid w:val="00B3522C"/>
    <w:rsid w:val="00B3532B"/>
    <w:rsid w:val="00B36663"/>
    <w:rsid w:val="00B37538"/>
    <w:rsid w:val="00B37FA1"/>
    <w:rsid w:val="00B401F9"/>
    <w:rsid w:val="00B40B9B"/>
    <w:rsid w:val="00B429E6"/>
    <w:rsid w:val="00B446C5"/>
    <w:rsid w:val="00B450C2"/>
    <w:rsid w:val="00B45A10"/>
    <w:rsid w:val="00B45D50"/>
    <w:rsid w:val="00B463C4"/>
    <w:rsid w:val="00B50F02"/>
    <w:rsid w:val="00B51614"/>
    <w:rsid w:val="00B51EEE"/>
    <w:rsid w:val="00B52C05"/>
    <w:rsid w:val="00B52D59"/>
    <w:rsid w:val="00B5338F"/>
    <w:rsid w:val="00B542F8"/>
    <w:rsid w:val="00B54EAF"/>
    <w:rsid w:val="00B557C7"/>
    <w:rsid w:val="00B55B42"/>
    <w:rsid w:val="00B55B79"/>
    <w:rsid w:val="00B5731B"/>
    <w:rsid w:val="00B600AE"/>
    <w:rsid w:val="00B609C1"/>
    <w:rsid w:val="00B61258"/>
    <w:rsid w:val="00B61359"/>
    <w:rsid w:val="00B616CC"/>
    <w:rsid w:val="00B61C10"/>
    <w:rsid w:val="00B6211B"/>
    <w:rsid w:val="00B622D7"/>
    <w:rsid w:val="00B62B0F"/>
    <w:rsid w:val="00B63D48"/>
    <w:rsid w:val="00B64C9A"/>
    <w:rsid w:val="00B65166"/>
    <w:rsid w:val="00B65535"/>
    <w:rsid w:val="00B6576A"/>
    <w:rsid w:val="00B65F7D"/>
    <w:rsid w:val="00B661ED"/>
    <w:rsid w:val="00B66AA5"/>
    <w:rsid w:val="00B66B26"/>
    <w:rsid w:val="00B67447"/>
    <w:rsid w:val="00B67DAA"/>
    <w:rsid w:val="00B67F39"/>
    <w:rsid w:val="00B71499"/>
    <w:rsid w:val="00B74AA5"/>
    <w:rsid w:val="00B750BC"/>
    <w:rsid w:val="00B76DCD"/>
    <w:rsid w:val="00B76ED7"/>
    <w:rsid w:val="00B76FA3"/>
    <w:rsid w:val="00B8045A"/>
    <w:rsid w:val="00B820A3"/>
    <w:rsid w:val="00B84A0C"/>
    <w:rsid w:val="00B855A9"/>
    <w:rsid w:val="00B85D25"/>
    <w:rsid w:val="00B86B69"/>
    <w:rsid w:val="00B86C63"/>
    <w:rsid w:val="00B86DB4"/>
    <w:rsid w:val="00B879A8"/>
    <w:rsid w:val="00B907C7"/>
    <w:rsid w:val="00B9130D"/>
    <w:rsid w:val="00B91421"/>
    <w:rsid w:val="00B9237E"/>
    <w:rsid w:val="00B9276A"/>
    <w:rsid w:val="00B948D9"/>
    <w:rsid w:val="00B94BE0"/>
    <w:rsid w:val="00B94DD9"/>
    <w:rsid w:val="00B950FB"/>
    <w:rsid w:val="00B9562F"/>
    <w:rsid w:val="00B96013"/>
    <w:rsid w:val="00B9791D"/>
    <w:rsid w:val="00BA073A"/>
    <w:rsid w:val="00BA13F2"/>
    <w:rsid w:val="00BA1532"/>
    <w:rsid w:val="00BA1A2C"/>
    <w:rsid w:val="00BA1FD4"/>
    <w:rsid w:val="00BA23E0"/>
    <w:rsid w:val="00BA2591"/>
    <w:rsid w:val="00BA2C9F"/>
    <w:rsid w:val="00BA5C48"/>
    <w:rsid w:val="00BA62B3"/>
    <w:rsid w:val="00BA65D6"/>
    <w:rsid w:val="00BA68AA"/>
    <w:rsid w:val="00BA6C1A"/>
    <w:rsid w:val="00BA7319"/>
    <w:rsid w:val="00BA765B"/>
    <w:rsid w:val="00BB1863"/>
    <w:rsid w:val="00BB1F51"/>
    <w:rsid w:val="00BB3620"/>
    <w:rsid w:val="00BB4835"/>
    <w:rsid w:val="00BB5353"/>
    <w:rsid w:val="00BB5C68"/>
    <w:rsid w:val="00BB72EA"/>
    <w:rsid w:val="00BB773C"/>
    <w:rsid w:val="00BC05B5"/>
    <w:rsid w:val="00BC0929"/>
    <w:rsid w:val="00BC12A3"/>
    <w:rsid w:val="00BC12CB"/>
    <w:rsid w:val="00BC1B06"/>
    <w:rsid w:val="00BC1B8B"/>
    <w:rsid w:val="00BC28AE"/>
    <w:rsid w:val="00BC2AD6"/>
    <w:rsid w:val="00BC3044"/>
    <w:rsid w:val="00BC3D74"/>
    <w:rsid w:val="00BC40B9"/>
    <w:rsid w:val="00BC411C"/>
    <w:rsid w:val="00BC490E"/>
    <w:rsid w:val="00BC4B98"/>
    <w:rsid w:val="00BC4CC8"/>
    <w:rsid w:val="00BC5635"/>
    <w:rsid w:val="00BC7676"/>
    <w:rsid w:val="00BD0FE7"/>
    <w:rsid w:val="00BD12B5"/>
    <w:rsid w:val="00BD14B5"/>
    <w:rsid w:val="00BD242C"/>
    <w:rsid w:val="00BD2B81"/>
    <w:rsid w:val="00BD3B9E"/>
    <w:rsid w:val="00BD5063"/>
    <w:rsid w:val="00BD6917"/>
    <w:rsid w:val="00BD7133"/>
    <w:rsid w:val="00BD77B9"/>
    <w:rsid w:val="00BD7F1E"/>
    <w:rsid w:val="00BE060B"/>
    <w:rsid w:val="00BE1719"/>
    <w:rsid w:val="00BE18A1"/>
    <w:rsid w:val="00BE2CB1"/>
    <w:rsid w:val="00BE4F61"/>
    <w:rsid w:val="00BE56D3"/>
    <w:rsid w:val="00BE5E59"/>
    <w:rsid w:val="00BE6553"/>
    <w:rsid w:val="00BE67F1"/>
    <w:rsid w:val="00BE7A57"/>
    <w:rsid w:val="00BE7C57"/>
    <w:rsid w:val="00BF01E1"/>
    <w:rsid w:val="00BF10DD"/>
    <w:rsid w:val="00BF1BC8"/>
    <w:rsid w:val="00BF27C4"/>
    <w:rsid w:val="00BF2C57"/>
    <w:rsid w:val="00BF57C4"/>
    <w:rsid w:val="00BF645C"/>
    <w:rsid w:val="00BF64CF"/>
    <w:rsid w:val="00BF6CEC"/>
    <w:rsid w:val="00C00265"/>
    <w:rsid w:val="00C01156"/>
    <w:rsid w:val="00C0205F"/>
    <w:rsid w:val="00C0228A"/>
    <w:rsid w:val="00C035B0"/>
    <w:rsid w:val="00C03AFE"/>
    <w:rsid w:val="00C07A48"/>
    <w:rsid w:val="00C07C2E"/>
    <w:rsid w:val="00C119A3"/>
    <w:rsid w:val="00C11A9B"/>
    <w:rsid w:val="00C12781"/>
    <w:rsid w:val="00C14B25"/>
    <w:rsid w:val="00C15077"/>
    <w:rsid w:val="00C163BF"/>
    <w:rsid w:val="00C16520"/>
    <w:rsid w:val="00C171FF"/>
    <w:rsid w:val="00C1736C"/>
    <w:rsid w:val="00C23D63"/>
    <w:rsid w:val="00C23EA2"/>
    <w:rsid w:val="00C24CC1"/>
    <w:rsid w:val="00C254F2"/>
    <w:rsid w:val="00C2573E"/>
    <w:rsid w:val="00C25AB2"/>
    <w:rsid w:val="00C26117"/>
    <w:rsid w:val="00C277C8"/>
    <w:rsid w:val="00C3093A"/>
    <w:rsid w:val="00C30A5C"/>
    <w:rsid w:val="00C30CAA"/>
    <w:rsid w:val="00C31370"/>
    <w:rsid w:val="00C31515"/>
    <w:rsid w:val="00C31671"/>
    <w:rsid w:val="00C31D0B"/>
    <w:rsid w:val="00C32240"/>
    <w:rsid w:val="00C32ED1"/>
    <w:rsid w:val="00C333D4"/>
    <w:rsid w:val="00C3396D"/>
    <w:rsid w:val="00C343C6"/>
    <w:rsid w:val="00C346E9"/>
    <w:rsid w:val="00C34A0A"/>
    <w:rsid w:val="00C40851"/>
    <w:rsid w:val="00C40B46"/>
    <w:rsid w:val="00C41460"/>
    <w:rsid w:val="00C41C8C"/>
    <w:rsid w:val="00C42D7C"/>
    <w:rsid w:val="00C4497F"/>
    <w:rsid w:val="00C4703C"/>
    <w:rsid w:val="00C47BE4"/>
    <w:rsid w:val="00C50448"/>
    <w:rsid w:val="00C50BA2"/>
    <w:rsid w:val="00C51210"/>
    <w:rsid w:val="00C513EE"/>
    <w:rsid w:val="00C526E1"/>
    <w:rsid w:val="00C52A27"/>
    <w:rsid w:val="00C52BAB"/>
    <w:rsid w:val="00C52E39"/>
    <w:rsid w:val="00C52EBD"/>
    <w:rsid w:val="00C5387B"/>
    <w:rsid w:val="00C541F4"/>
    <w:rsid w:val="00C563E0"/>
    <w:rsid w:val="00C56459"/>
    <w:rsid w:val="00C572C2"/>
    <w:rsid w:val="00C57388"/>
    <w:rsid w:val="00C5744C"/>
    <w:rsid w:val="00C600F5"/>
    <w:rsid w:val="00C601FC"/>
    <w:rsid w:val="00C60C44"/>
    <w:rsid w:val="00C60EAD"/>
    <w:rsid w:val="00C61B01"/>
    <w:rsid w:val="00C61BDC"/>
    <w:rsid w:val="00C61F51"/>
    <w:rsid w:val="00C62543"/>
    <w:rsid w:val="00C62B2E"/>
    <w:rsid w:val="00C62E55"/>
    <w:rsid w:val="00C64619"/>
    <w:rsid w:val="00C64744"/>
    <w:rsid w:val="00C64A80"/>
    <w:rsid w:val="00C64A93"/>
    <w:rsid w:val="00C64AA1"/>
    <w:rsid w:val="00C65314"/>
    <w:rsid w:val="00C65392"/>
    <w:rsid w:val="00C6589B"/>
    <w:rsid w:val="00C67202"/>
    <w:rsid w:val="00C67571"/>
    <w:rsid w:val="00C67E7E"/>
    <w:rsid w:val="00C708BA"/>
    <w:rsid w:val="00C71FA5"/>
    <w:rsid w:val="00C723CB"/>
    <w:rsid w:val="00C72BB5"/>
    <w:rsid w:val="00C72E22"/>
    <w:rsid w:val="00C73047"/>
    <w:rsid w:val="00C73E45"/>
    <w:rsid w:val="00C751B8"/>
    <w:rsid w:val="00C754FC"/>
    <w:rsid w:val="00C756B5"/>
    <w:rsid w:val="00C757F5"/>
    <w:rsid w:val="00C76A85"/>
    <w:rsid w:val="00C7757D"/>
    <w:rsid w:val="00C801DD"/>
    <w:rsid w:val="00C808D1"/>
    <w:rsid w:val="00C81165"/>
    <w:rsid w:val="00C8179C"/>
    <w:rsid w:val="00C818B0"/>
    <w:rsid w:val="00C8193E"/>
    <w:rsid w:val="00C81F65"/>
    <w:rsid w:val="00C84063"/>
    <w:rsid w:val="00C84DE4"/>
    <w:rsid w:val="00C9081C"/>
    <w:rsid w:val="00C90BEB"/>
    <w:rsid w:val="00C91A85"/>
    <w:rsid w:val="00C92E8A"/>
    <w:rsid w:val="00C935D0"/>
    <w:rsid w:val="00C94CDB"/>
    <w:rsid w:val="00C95F5F"/>
    <w:rsid w:val="00C96849"/>
    <w:rsid w:val="00C97F28"/>
    <w:rsid w:val="00CA0236"/>
    <w:rsid w:val="00CA0413"/>
    <w:rsid w:val="00CA0589"/>
    <w:rsid w:val="00CA0674"/>
    <w:rsid w:val="00CA09C2"/>
    <w:rsid w:val="00CA2CF4"/>
    <w:rsid w:val="00CA3136"/>
    <w:rsid w:val="00CA3A87"/>
    <w:rsid w:val="00CA47AA"/>
    <w:rsid w:val="00CA523B"/>
    <w:rsid w:val="00CA5328"/>
    <w:rsid w:val="00CA6903"/>
    <w:rsid w:val="00CA6E88"/>
    <w:rsid w:val="00CA7BC2"/>
    <w:rsid w:val="00CB18D3"/>
    <w:rsid w:val="00CB1905"/>
    <w:rsid w:val="00CB2D43"/>
    <w:rsid w:val="00CB2EDF"/>
    <w:rsid w:val="00CB5135"/>
    <w:rsid w:val="00CB554F"/>
    <w:rsid w:val="00CB60B3"/>
    <w:rsid w:val="00CB647C"/>
    <w:rsid w:val="00CB7BD3"/>
    <w:rsid w:val="00CC0224"/>
    <w:rsid w:val="00CC0353"/>
    <w:rsid w:val="00CC256C"/>
    <w:rsid w:val="00CC2A20"/>
    <w:rsid w:val="00CC35E8"/>
    <w:rsid w:val="00CC39DB"/>
    <w:rsid w:val="00CC3B30"/>
    <w:rsid w:val="00CC3E47"/>
    <w:rsid w:val="00CC417D"/>
    <w:rsid w:val="00CC4FA9"/>
    <w:rsid w:val="00CC614A"/>
    <w:rsid w:val="00CC61D6"/>
    <w:rsid w:val="00CC6DD4"/>
    <w:rsid w:val="00CC7C70"/>
    <w:rsid w:val="00CD0B68"/>
    <w:rsid w:val="00CD14B2"/>
    <w:rsid w:val="00CD1C8E"/>
    <w:rsid w:val="00CD1ED4"/>
    <w:rsid w:val="00CD2294"/>
    <w:rsid w:val="00CD3FAD"/>
    <w:rsid w:val="00CD59AD"/>
    <w:rsid w:val="00CD5BDE"/>
    <w:rsid w:val="00CD6052"/>
    <w:rsid w:val="00CD63C2"/>
    <w:rsid w:val="00CD6B4E"/>
    <w:rsid w:val="00CD6EA2"/>
    <w:rsid w:val="00CD74E7"/>
    <w:rsid w:val="00CD783C"/>
    <w:rsid w:val="00CE0079"/>
    <w:rsid w:val="00CE0E80"/>
    <w:rsid w:val="00CE1525"/>
    <w:rsid w:val="00CE18F7"/>
    <w:rsid w:val="00CE1FCF"/>
    <w:rsid w:val="00CE2A0F"/>
    <w:rsid w:val="00CE2B08"/>
    <w:rsid w:val="00CE6A2E"/>
    <w:rsid w:val="00CE78FE"/>
    <w:rsid w:val="00CF1B08"/>
    <w:rsid w:val="00CF36BE"/>
    <w:rsid w:val="00CF3BD1"/>
    <w:rsid w:val="00CF4491"/>
    <w:rsid w:val="00CF56A5"/>
    <w:rsid w:val="00CF7573"/>
    <w:rsid w:val="00D012B1"/>
    <w:rsid w:val="00D01A60"/>
    <w:rsid w:val="00D02096"/>
    <w:rsid w:val="00D03420"/>
    <w:rsid w:val="00D03F88"/>
    <w:rsid w:val="00D0449E"/>
    <w:rsid w:val="00D05C79"/>
    <w:rsid w:val="00D06267"/>
    <w:rsid w:val="00D062BB"/>
    <w:rsid w:val="00D11583"/>
    <w:rsid w:val="00D119B8"/>
    <w:rsid w:val="00D11C04"/>
    <w:rsid w:val="00D11D6D"/>
    <w:rsid w:val="00D11EA5"/>
    <w:rsid w:val="00D13F1C"/>
    <w:rsid w:val="00D14702"/>
    <w:rsid w:val="00D15296"/>
    <w:rsid w:val="00D15A6D"/>
    <w:rsid w:val="00D16009"/>
    <w:rsid w:val="00D16F5A"/>
    <w:rsid w:val="00D17040"/>
    <w:rsid w:val="00D174D9"/>
    <w:rsid w:val="00D1759D"/>
    <w:rsid w:val="00D20FCC"/>
    <w:rsid w:val="00D210C7"/>
    <w:rsid w:val="00D219F2"/>
    <w:rsid w:val="00D21EAB"/>
    <w:rsid w:val="00D22A6C"/>
    <w:rsid w:val="00D22E1A"/>
    <w:rsid w:val="00D238B2"/>
    <w:rsid w:val="00D23B2A"/>
    <w:rsid w:val="00D23DB3"/>
    <w:rsid w:val="00D2406D"/>
    <w:rsid w:val="00D24493"/>
    <w:rsid w:val="00D245B6"/>
    <w:rsid w:val="00D24B2A"/>
    <w:rsid w:val="00D26F05"/>
    <w:rsid w:val="00D26F76"/>
    <w:rsid w:val="00D2726F"/>
    <w:rsid w:val="00D27BFC"/>
    <w:rsid w:val="00D27FFB"/>
    <w:rsid w:val="00D313E5"/>
    <w:rsid w:val="00D3166C"/>
    <w:rsid w:val="00D31CD0"/>
    <w:rsid w:val="00D32616"/>
    <w:rsid w:val="00D32D50"/>
    <w:rsid w:val="00D3322B"/>
    <w:rsid w:val="00D3374C"/>
    <w:rsid w:val="00D33957"/>
    <w:rsid w:val="00D34913"/>
    <w:rsid w:val="00D34B87"/>
    <w:rsid w:val="00D368E7"/>
    <w:rsid w:val="00D37470"/>
    <w:rsid w:val="00D377BD"/>
    <w:rsid w:val="00D37B15"/>
    <w:rsid w:val="00D40363"/>
    <w:rsid w:val="00D408AA"/>
    <w:rsid w:val="00D41101"/>
    <w:rsid w:val="00D412EA"/>
    <w:rsid w:val="00D41FF4"/>
    <w:rsid w:val="00D42721"/>
    <w:rsid w:val="00D4288A"/>
    <w:rsid w:val="00D42DE4"/>
    <w:rsid w:val="00D43C1A"/>
    <w:rsid w:val="00D450CF"/>
    <w:rsid w:val="00D4711D"/>
    <w:rsid w:val="00D478F3"/>
    <w:rsid w:val="00D47A69"/>
    <w:rsid w:val="00D50657"/>
    <w:rsid w:val="00D507A9"/>
    <w:rsid w:val="00D51DD0"/>
    <w:rsid w:val="00D54AAF"/>
    <w:rsid w:val="00D55013"/>
    <w:rsid w:val="00D55A44"/>
    <w:rsid w:val="00D57B87"/>
    <w:rsid w:val="00D57BC3"/>
    <w:rsid w:val="00D605DC"/>
    <w:rsid w:val="00D60DDD"/>
    <w:rsid w:val="00D613B7"/>
    <w:rsid w:val="00D61C36"/>
    <w:rsid w:val="00D61DE0"/>
    <w:rsid w:val="00D62B26"/>
    <w:rsid w:val="00D64465"/>
    <w:rsid w:val="00D6599A"/>
    <w:rsid w:val="00D65E8D"/>
    <w:rsid w:val="00D66464"/>
    <w:rsid w:val="00D70839"/>
    <w:rsid w:val="00D718C3"/>
    <w:rsid w:val="00D72535"/>
    <w:rsid w:val="00D734C4"/>
    <w:rsid w:val="00D736A6"/>
    <w:rsid w:val="00D739CE"/>
    <w:rsid w:val="00D73E7B"/>
    <w:rsid w:val="00D746E8"/>
    <w:rsid w:val="00D749C6"/>
    <w:rsid w:val="00D74AA1"/>
    <w:rsid w:val="00D74D2C"/>
    <w:rsid w:val="00D75A64"/>
    <w:rsid w:val="00D76FD5"/>
    <w:rsid w:val="00D778AE"/>
    <w:rsid w:val="00D77917"/>
    <w:rsid w:val="00D8008B"/>
    <w:rsid w:val="00D80F1F"/>
    <w:rsid w:val="00D81D43"/>
    <w:rsid w:val="00D83DA7"/>
    <w:rsid w:val="00D856C9"/>
    <w:rsid w:val="00D85EFE"/>
    <w:rsid w:val="00D86452"/>
    <w:rsid w:val="00D86759"/>
    <w:rsid w:val="00D86D74"/>
    <w:rsid w:val="00D870C5"/>
    <w:rsid w:val="00D87E47"/>
    <w:rsid w:val="00D908DF"/>
    <w:rsid w:val="00D90B97"/>
    <w:rsid w:val="00D90E74"/>
    <w:rsid w:val="00D910C9"/>
    <w:rsid w:val="00D914B4"/>
    <w:rsid w:val="00D9225B"/>
    <w:rsid w:val="00D93AAD"/>
    <w:rsid w:val="00D93B28"/>
    <w:rsid w:val="00D94C5D"/>
    <w:rsid w:val="00D95F3A"/>
    <w:rsid w:val="00D9697A"/>
    <w:rsid w:val="00D97594"/>
    <w:rsid w:val="00D97C1A"/>
    <w:rsid w:val="00D97F29"/>
    <w:rsid w:val="00DA12AA"/>
    <w:rsid w:val="00DA18C2"/>
    <w:rsid w:val="00DA24E6"/>
    <w:rsid w:val="00DA2F2B"/>
    <w:rsid w:val="00DA3DB9"/>
    <w:rsid w:val="00DA4672"/>
    <w:rsid w:val="00DA54E6"/>
    <w:rsid w:val="00DA5F00"/>
    <w:rsid w:val="00DA6CE3"/>
    <w:rsid w:val="00DA729E"/>
    <w:rsid w:val="00DA745E"/>
    <w:rsid w:val="00DA7863"/>
    <w:rsid w:val="00DB09A8"/>
    <w:rsid w:val="00DB0A45"/>
    <w:rsid w:val="00DB0BA4"/>
    <w:rsid w:val="00DB0F9D"/>
    <w:rsid w:val="00DB1023"/>
    <w:rsid w:val="00DB2026"/>
    <w:rsid w:val="00DB21E4"/>
    <w:rsid w:val="00DB2E89"/>
    <w:rsid w:val="00DB34D1"/>
    <w:rsid w:val="00DB356C"/>
    <w:rsid w:val="00DB41F0"/>
    <w:rsid w:val="00DB4BB5"/>
    <w:rsid w:val="00DB511C"/>
    <w:rsid w:val="00DB5A4D"/>
    <w:rsid w:val="00DB5CB6"/>
    <w:rsid w:val="00DB65C3"/>
    <w:rsid w:val="00DB7C24"/>
    <w:rsid w:val="00DC031F"/>
    <w:rsid w:val="00DC0766"/>
    <w:rsid w:val="00DC08F3"/>
    <w:rsid w:val="00DC0D8C"/>
    <w:rsid w:val="00DC2734"/>
    <w:rsid w:val="00DC29CD"/>
    <w:rsid w:val="00DC48F8"/>
    <w:rsid w:val="00DC628C"/>
    <w:rsid w:val="00DC6F85"/>
    <w:rsid w:val="00DC780A"/>
    <w:rsid w:val="00DC7FC3"/>
    <w:rsid w:val="00DD0D82"/>
    <w:rsid w:val="00DD1C08"/>
    <w:rsid w:val="00DD25D8"/>
    <w:rsid w:val="00DD30AF"/>
    <w:rsid w:val="00DD5180"/>
    <w:rsid w:val="00DD6E90"/>
    <w:rsid w:val="00DD73F5"/>
    <w:rsid w:val="00DE02EC"/>
    <w:rsid w:val="00DE07B2"/>
    <w:rsid w:val="00DE1B77"/>
    <w:rsid w:val="00DE1D89"/>
    <w:rsid w:val="00DE2851"/>
    <w:rsid w:val="00DE3F1E"/>
    <w:rsid w:val="00DE48DA"/>
    <w:rsid w:val="00DE4B70"/>
    <w:rsid w:val="00DE5F63"/>
    <w:rsid w:val="00DE61F5"/>
    <w:rsid w:val="00DE67C3"/>
    <w:rsid w:val="00DE6C91"/>
    <w:rsid w:val="00DF067F"/>
    <w:rsid w:val="00DF0E17"/>
    <w:rsid w:val="00DF0E98"/>
    <w:rsid w:val="00DF11C0"/>
    <w:rsid w:val="00DF1482"/>
    <w:rsid w:val="00DF2F51"/>
    <w:rsid w:val="00DF3501"/>
    <w:rsid w:val="00DF3605"/>
    <w:rsid w:val="00DF4048"/>
    <w:rsid w:val="00DF417B"/>
    <w:rsid w:val="00DF4FAC"/>
    <w:rsid w:val="00DF55ED"/>
    <w:rsid w:val="00DF686A"/>
    <w:rsid w:val="00DF7273"/>
    <w:rsid w:val="00DF7D02"/>
    <w:rsid w:val="00E00ADC"/>
    <w:rsid w:val="00E00B8E"/>
    <w:rsid w:val="00E0225C"/>
    <w:rsid w:val="00E02E4B"/>
    <w:rsid w:val="00E03002"/>
    <w:rsid w:val="00E0391C"/>
    <w:rsid w:val="00E04078"/>
    <w:rsid w:val="00E04389"/>
    <w:rsid w:val="00E04F09"/>
    <w:rsid w:val="00E05D65"/>
    <w:rsid w:val="00E06971"/>
    <w:rsid w:val="00E06A14"/>
    <w:rsid w:val="00E06C0B"/>
    <w:rsid w:val="00E06C55"/>
    <w:rsid w:val="00E06C6E"/>
    <w:rsid w:val="00E0752D"/>
    <w:rsid w:val="00E07A9E"/>
    <w:rsid w:val="00E07C27"/>
    <w:rsid w:val="00E110F7"/>
    <w:rsid w:val="00E111CE"/>
    <w:rsid w:val="00E12D30"/>
    <w:rsid w:val="00E12DCA"/>
    <w:rsid w:val="00E13AA4"/>
    <w:rsid w:val="00E13AFC"/>
    <w:rsid w:val="00E1485F"/>
    <w:rsid w:val="00E14D2C"/>
    <w:rsid w:val="00E156FF"/>
    <w:rsid w:val="00E162EF"/>
    <w:rsid w:val="00E16E23"/>
    <w:rsid w:val="00E21714"/>
    <w:rsid w:val="00E21D9D"/>
    <w:rsid w:val="00E24ACC"/>
    <w:rsid w:val="00E270D0"/>
    <w:rsid w:val="00E27769"/>
    <w:rsid w:val="00E30939"/>
    <w:rsid w:val="00E3209A"/>
    <w:rsid w:val="00E3244E"/>
    <w:rsid w:val="00E32484"/>
    <w:rsid w:val="00E32D07"/>
    <w:rsid w:val="00E32F54"/>
    <w:rsid w:val="00E34B0C"/>
    <w:rsid w:val="00E34E08"/>
    <w:rsid w:val="00E35C0B"/>
    <w:rsid w:val="00E361C6"/>
    <w:rsid w:val="00E3758D"/>
    <w:rsid w:val="00E4077D"/>
    <w:rsid w:val="00E41D7C"/>
    <w:rsid w:val="00E42F00"/>
    <w:rsid w:val="00E43A36"/>
    <w:rsid w:val="00E4496A"/>
    <w:rsid w:val="00E4559F"/>
    <w:rsid w:val="00E4670C"/>
    <w:rsid w:val="00E47BA7"/>
    <w:rsid w:val="00E5097A"/>
    <w:rsid w:val="00E51B82"/>
    <w:rsid w:val="00E51CAC"/>
    <w:rsid w:val="00E51FAC"/>
    <w:rsid w:val="00E5389F"/>
    <w:rsid w:val="00E53AC1"/>
    <w:rsid w:val="00E55551"/>
    <w:rsid w:val="00E55A08"/>
    <w:rsid w:val="00E56020"/>
    <w:rsid w:val="00E56759"/>
    <w:rsid w:val="00E60BC4"/>
    <w:rsid w:val="00E6181D"/>
    <w:rsid w:val="00E61A9C"/>
    <w:rsid w:val="00E63ED9"/>
    <w:rsid w:val="00E65623"/>
    <w:rsid w:val="00E65B64"/>
    <w:rsid w:val="00E6664F"/>
    <w:rsid w:val="00E66FF4"/>
    <w:rsid w:val="00E67BA2"/>
    <w:rsid w:val="00E709E8"/>
    <w:rsid w:val="00E70C49"/>
    <w:rsid w:val="00E715EA"/>
    <w:rsid w:val="00E71CC3"/>
    <w:rsid w:val="00E71CC5"/>
    <w:rsid w:val="00E71CE9"/>
    <w:rsid w:val="00E727D0"/>
    <w:rsid w:val="00E72D8A"/>
    <w:rsid w:val="00E730E9"/>
    <w:rsid w:val="00E74074"/>
    <w:rsid w:val="00E74DA6"/>
    <w:rsid w:val="00E74ED0"/>
    <w:rsid w:val="00E757B4"/>
    <w:rsid w:val="00E75F94"/>
    <w:rsid w:val="00E7659C"/>
    <w:rsid w:val="00E76664"/>
    <w:rsid w:val="00E77137"/>
    <w:rsid w:val="00E777AF"/>
    <w:rsid w:val="00E800CF"/>
    <w:rsid w:val="00E81554"/>
    <w:rsid w:val="00E84085"/>
    <w:rsid w:val="00E84751"/>
    <w:rsid w:val="00E85A5D"/>
    <w:rsid w:val="00E87A73"/>
    <w:rsid w:val="00E9037B"/>
    <w:rsid w:val="00E90737"/>
    <w:rsid w:val="00E90C0B"/>
    <w:rsid w:val="00E913D3"/>
    <w:rsid w:val="00E92587"/>
    <w:rsid w:val="00E92BB8"/>
    <w:rsid w:val="00E955BD"/>
    <w:rsid w:val="00E95983"/>
    <w:rsid w:val="00E95CB2"/>
    <w:rsid w:val="00E95CC7"/>
    <w:rsid w:val="00E97F72"/>
    <w:rsid w:val="00EA00E1"/>
    <w:rsid w:val="00EA047A"/>
    <w:rsid w:val="00EA10DF"/>
    <w:rsid w:val="00EA2776"/>
    <w:rsid w:val="00EA4328"/>
    <w:rsid w:val="00EA43C6"/>
    <w:rsid w:val="00EA471E"/>
    <w:rsid w:val="00EA55C9"/>
    <w:rsid w:val="00EA6219"/>
    <w:rsid w:val="00EA6B90"/>
    <w:rsid w:val="00EA77B5"/>
    <w:rsid w:val="00EA7D86"/>
    <w:rsid w:val="00EA7E2F"/>
    <w:rsid w:val="00EA7FC6"/>
    <w:rsid w:val="00EB0C6D"/>
    <w:rsid w:val="00EB0F7D"/>
    <w:rsid w:val="00EB20E9"/>
    <w:rsid w:val="00EB2353"/>
    <w:rsid w:val="00EB51EA"/>
    <w:rsid w:val="00EB6548"/>
    <w:rsid w:val="00EB69E7"/>
    <w:rsid w:val="00EB6BB9"/>
    <w:rsid w:val="00EB716A"/>
    <w:rsid w:val="00EB76F6"/>
    <w:rsid w:val="00EC0E30"/>
    <w:rsid w:val="00EC3008"/>
    <w:rsid w:val="00EC3227"/>
    <w:rsid w:val="00EC4A42"/>
    <w:rsid w:val="00EC4EF7"/>
    <w:rsid w:val="00EC55FD"/>
    <w:rsid w:val="00EC5602"/>
    <w:rsid w:val="00EC6A40"/>
    <w:rsid w:val="00EC6AF1"/>
    <w:rsid w:val="00EC6EA2"/>
    <w:rsid w:val="00EC7048"/>
    <w:rsid w:val="00EC7D4E"/>
    <w:rsid w:val="00ED000F"/>
    <w:rsid w:val="00ED0973"/>
    <w:rsid w:val="00ED0AA5"/>
    <w:rsid w:val="00ED19AF"/>
    <w:rsid w:val="00ED19C1"/>
    <w:rsid w:val="00ED22EA"/>
    <w:rsid w:val="00ED28BC"/>
    <w:rsid w:val="00ED29EE"/>
    <w:rsid w:val="00ED3963"/>
    <w:rsid w:val="00ED3F10"/>
    <w:rsid w:val="00ED4101"/>
    <w:rsid w:val="00ED4E9E"/>
    <w:rsid w:val="00ED5332"/>
    <w:rsid w:val="00ED5B75"/>
    <w:rsid w:val="00ED5D2F"/>
    <w:rsid w:val="00ED6243"/>
    <w:rsid w:val="00ED6361"/>
    <w:rsid w:val="00ED698F"/>
    <w:rsid w:val="00ED6B2E"/>
    <w:rsid w:val="00ED6B5B"/>
    <w:rsid w:val="00EE0C30"/>
    <w:rsid w:val="00EE0D9F"/>
    <w:rsid w:val="00EE2106"/>
    <w:rsid w:val="00EE2962"/>
    <w:rsid w:val="00EE2ED5"/>
    <w:rsid w:val="00EE40F9"/>
    <w:rsid w:val="00EE4363"/>
    <w:rsid w:val="00EE534A"/>
    <w:rsid w:val="00EE5422"/>
    <w:rsid w:val="00EE5870"/>
    <w:rsid w:val="00EE5AE6"/>
    <w:rsid w:val="00EE5F79"/>
    <w:rsid w:val="00EE5FE5"/>
    <w:rsid w:val="00EE6525"/>
    <w:rsid w:val="00EE654F"/>
    <w:rsid w:val="00EE6E68"/>
    <w:rsid w:val="00EE70BB"/>
    <w:rsid w:val="00EE76BD"/>
    <w:rsid w:val="00EE771A"/>
    <w:rsid w:val="00EF074B"/>
    <w:rsid w:val="00EF17E2"/>
    <w:rsid w:val="00EF1A26"/>
    <w:rsid w:val="00EF286B"/>
    <w:rsid w:val="00EF2B16"/>
    <w:rsid w:val="00EF4DBA"/>
    <w:rsid w:val="00EF51E5"/>
    <w:rsid w:val="00EF56F6"/>
    <w:rsid w:val="00EF7C9C"/>
    <w:rsid w:val="00F00794"/>
    <w:rsid w:val="00F008FC"/>
    <w:rsid w:val="00F01E32"/>
    <w:rsid w:val="00F01F68"/>
    <w:rsid w:val="00F02023"/>
    <w:rsid w:val="00F0451E"/>
    <w:rsid w:val="00F05425"/>
    <w:rsid w:val="00F0583C"/>
    <w:rsid w:val="00F064AF"/>
    <w:rsid w:val="00F06C6A"/>
    <w:rsid w:val="00F0785D"/>
    <w:rsid w:val="00F07876"/>
    <w:rsid w:val="00F07C21"/>
    <w:rsid w:val="00F106BE"/>
    <w:rsid w:val="00F114C9"/>
    <w:rsid w:val="00F11E2B"/>
    <w:rsid w:val="00F11F10"/>
    <w:rsid w:val="00F1264C"/>
    <w:rsid w:val="00F131F6"/>
    <w:rsid w:val="00F132A0"/>
    <w:rsid w:val="00F16DF5"/>
    <w:rsid w:val="00F20DFC"/>
    <w:rsid w:val="00F20F4A"/>
    <w:rsid w:val="00F21005"/>
    <w:rsid w:val="00F22416"/>
    <w:rsid w:val="00F22CDA"/>
    <w:rsid w:val="00F23C0F"/>
    <w:rsid w:val="00F24806"/>
    <w:rsid w:val="00F24AA0"/>
    <w:rsid w:val="00F252F4"/>
    <w:rsid w:val="00F25E7D"/>
    <w:rsid w:val="00F26F10"/>
    <w:rsid w:val="00F304C8"/>
    <w:rsid w:val="00F3061B"/>
    <w:rsid w:val="00F31513"/>
    <w:rsid w:val="00F31571"/>
    <w:rsid w:val="00F31C1E"/>
    <w:rsid w:val="00F325B0"/>
    <w:rsid w:val="00F33AF7"/>
    <w:rsid w:val="00F33C63"/>
    <w:rsid w:val="00F33CAC"/>
    <w:rsid w:val="00F3407E"/>
    <w:rsid w:val="00F346A5"/>
    <w:rsid w:val="00F34873"/>
    <w:rsid w:val="00F37072"/>
    <w:rsid w:val="00F3727F"/>
    <w:rsid w:val="00F401E3"/>
    <w:rsid w:val="00F412EA"/>
    <w:rsid w:val="00F41A97"/>
    <w:rsid w:val="00F434E8"/>
    <w:rsid w:val="00F43B05"/>
    <w:rsid w:val="00F43BE6"/>
    <w:rsid w:val="00F44552"/>
    <w:rsid w:val="00F453DE"/>
    <w:rsid w:val="00F45A26"/>
    <w:rsid w:val="00F45AD5"/>
    <w:rsid w:val="00F45F1F"/>
    <w:rsid w:val="00F46330"/>
    <w:rsid w:val="00F47B40"/>
    <w:rsid w:val="00F50004"/>
    <w:rsid w:val="00F50674"/>
    <w:rsid w:val="00F51D23"/>
    <w:rsid w:val="00F52B81"/>
    <w:rsid w:val="00F538B3"/>
    <w:rsid w:val="00F53F0C"/>
    <w:rsid w:val="00F53FB8"/>
    <w:rsid w:val="00F5437B"/>
    <w:rsid w:val="00F54CB9"/>
    <w:rsid w:val="00F54EDB"/>
    <w:rsid w:val="00F55E09"/>
    <w:rsid w:val="00F55EC1"/>
    <w:rsid w:val="00F568DE"/>
    <w:rsid w:val="00F576AE"/>
    <w:rsid w:val="00F57D30"/>
    <w:rsid w:val="00F60961"/>
    <w:rsid w:val="00F60C59"/>
    <w:rsid w:val="00F622B2"/>
    <w:rsid w:val="00F62399"/>
    <w:rsid w:val="00F62A74"/>
    <w:rsid w:val="00F62AAC"/>
    <w:rsid w:val="00F636E7"/>
    <w:rsid w:val="00F642D5"/>
    <w:rsid w:val="00F65756"/>
    <w:rsid w:val="00F65B2F"/>
    <w:rsid w:val="00F669CC"/>
    <w:rsid w:val="00F67934"/>
    <w:rsid w:val="00F6799E"/>
    <w:rsid w:val="00F71652"/>
    <w:rsid w:val="00F7685F"/>
    <w:rsid w:val="00F76A95"/>
    <w:rsid w:val="00F81191"/>
    <w:rsid w:val="00F8393E"/>
    <w:rsid w:val="00F83C49"/>
    <w:rsid w:val="00F853A1"/>
    <w:rsid w:val="00F8551D"/>
    <w:rsid w:val="00F85974"/>
    <w:rsid w:val="00F86157"/>
    <w:rsid w:val="00F863C5"/>
    <w:rsid w:val="00F87986"/>
    <w:rsid w:val="00F87997"/>
    <w:rsid w:val="00F87CCC"/>
    <w:rsid w:val="00F9025C"/>
    <w:rsid w:val="00F907A7"/>
    <w:rsid w:val="00F90FF4"/>
    <w:rsid w:val="00F91524"/>
    <w:rsid w:val="00F94153"/>
    <w:rsid w:val="00F95B8A"/>
    <w:rsid w:val="00F96CB6"/>
    <w:rsid w:val="00F96EE1"/>
    <w:rsid w:val="00F96EFF"/>
    <w:rsid w:val="00FA0671"/>
    <w:rsid w:val="00FA0995"/>
    <w:rsid w:val="00FA1B64"/>
    <w:rsid w:val="00FA1C21"/>
    <w:rsid w:val="00FA2F48"/>
    <w:rsid w:val="00FA6043"/>
    <w:rsid w:val="00FA6EA8"/>
    <w:rsid w:val="00FB0544"/>
    <w:rsid w:val="00FB35F1"/>
    <w:rsid w:val="00FB374D"/>
    <w:rsid w:val="00FB3B56"/>
    <w:rsid w:val="00FB447B"/>
    <w:rsid w:val="00FB44B3"/>
    <w:rsid w:val="00FB48A5"/>
    <w:rsid w:val="00FB536E"/>
    <w:rsid w:val="00FB54B2"/>
    <w:rsid w:val="00FB5A63"/>
    <w:rsid w:val="00FB5DA4"/>
    <w:rsid w:val="00FB5FDD"/>
    <w:rsid w:val="00FB62A0"/>
    <w:rsid w:val="00FB66C6"/>
    <w:rsid w:val="00FB7201"/>
    <w:rsid w:val="00FB77EB"/>
    <w:rsid w:val="00FC00C5"/>
    <w:rsid w:val="00FC0841"/>
    <w:rsid w:val="00FC1772"/>
    <w:rsid w:val="00FC2D73"/>
    <w:rsid w:val="00FC37FE"/>
    <w:rsid w:val="00FC3D5E"/>
    <w:rsid w:val="00FC4060"/>
    <w:rsid w:val="00FC477F"/>
    <w:rsid w:val="00FC506D"/>
    <w:rsid w:val="00FC62D2"/>
    <w:rsid w:val="00FC63AF"/>
    <w:rsid w:val="00FC6511"/>
    <w:rsid w:val="00FC6D79"/>
    <w:rsid w:val="00FC794D"/>
    <w:rsid w:val="00FD1402"/>
    <w:rsid w:val="00FD1E44"/>
    <w:rsid w:val="00FD34A4"/>
    <w:rsid w:val="00FD686F"/>
    <w:rsid w:val="00FE047D"/>
    <w:rsid w:val="00FE0BAB"/>
    <w:rsid w:val="00FE1703"/>
    <w:rsid w:val="00FE2C6C"/>
    <w:rsid w:val="00FE3328"/>
    <w:rsid w:val="00FE3748"/>
    <w:rsid w:val="00FE46B0"/>
    <w:rsid w:val="00FE634D"/>
    <w:rsid w:val="00FE66B3"/>
    <w:rsid w:val="00FE686F"/>
    <w:rsid w:val="00FE6ADA"/>
    <w:rsid w:val="00FE6ECE"/>
    <w:rsid w:val="00FE6F91"/>
    <w:rsid w:val="00FF025C"/>
    <w:rsid w:val="00FF0268"/>
    <w:rsid w:val="00FF0A4E"/>
    <w:rsid w:val="00FF0F83"/>
    <w:rsid w:val="00FF2543"/>
    <w:rsid w:val="00FF2719"/>
    <w:rsid w:val="00FF2BFC"/>
    <w:rsid w:val="00FF37E6"/>
    <w:rsid w:val="00FF5645"/>
    <w:rsid w:val="00FF5B28"/>
    <w:rsid w:val="00FF6113"/>
    <w:rsid w:val="00FF6E51"/>
    <w:rsid w:val="00FF7D24"/>
    <w:rsid w:val="00FF7D49"/>
    <w:rsid w:val="04E3449E"/>
    <w:rsid w:val="08609461"/>
    <w:rsid w:val="0E4926EC"/>
    <w:rsid w:val="12A92056"/>
    <w:rsid w:val="15500E29"/>
    <w:rsid w:val="1E242AD6"/>
    <w:rsid w:val="1EB4294B"/>
    <w:rsid w:val="1F640FD3"/>
    <w:rsid w:val="209AF35A"/>
    <w:rsid w:val="275C85BF"/>
    <w:rsid w:val="27EDC939"/>
    <w:rsid w:val="2B259BA4"/>
    <w:rsid w:val="2DADED56"/>
    <w:rsid w:val="2F709557"/>
    <w:rsid w:val="31F4496F"/>
    <w:rsid w:val="3281A6D6"/>
    <w:rsid w:val="350D46F4"/>
    <w:rsid w:val="394AC4F9"/>
    <w:rsid w:val="3C8A962A"/>
    <w:rsid w:val="3CF05385"/>
    <w:rsid w:val="3F3F1DCF"/>
    <w:rsid w:val="3FBDEC61"/>
    <w:rsid w:val="40C224CD"/>
    <w:rsid w:val="457A5962"/>
    <w:rsid w:val="46F46A2F"/>
    <w:rsid w:val="4821B366"/>
    <w:rsid w:val="4AAA0E77"/>
    <w:rsid w:val="4C45C0D1"/>
    <w:rsid w:val="4F6B1FA7"/>
    <w:rsid w:val="563A1DAB"/>
    <w:rsid w:val="5A6E3675"/>
    <w:rsid w:val="5B1D1BC6"/>
    <w:rsid w:val="5CBC929C"/>
    <w:rsid w:val="5EAF5C13"/>
    <w:rsid w:val="5F83B3C7"/>
    <w:rsid w:val="5FBD854B"/>
    <w:rsid w:val="62D6F413"/>
    <w:rsid w:val="63CF1533"/>
    <w:rsid w:val="654642AC"/>
    <w:rsid w:val="6557B0EB"/>
    <w:rsid w:val="67921741"/>
    <w:rsid w:val="67A8671C"/>
    <w:rsid w:val="680A4374"/>
    <w:rsid w:val="6A3A2146"/>
    <w:rsid w:val="6ABC98C6"/>
    <w:rsid w:val="74C75E95"/>
    <w:rsid w:val="756CBEDF"/>
    <w:rsid w:val="7611741B"/>
    <w:rsid w:val="7EF24C8C"/>
    <w:rsid w:val="7FC031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14:docId w14:val="0AEB5C04"/>
  <w15:docId w15:val="{DC76F247-5ED4-4015-8670-FE619E3BD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Narrow" w:eastAsia="Times New Roman" w:hAnsi="Arial Narrow"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40" w:unhideWhenUsed="1" w:qFormat="1"/>
    <w:lsdException w:name="heading 7" w:uiPriority="40" w:unhideWhenUsed="1" w:qFormat="1"/>
    <w:lsdException w:name="heading 8" w:uiPriority="40" w:unhideWhenUsed="1" w:qFormat="1"/>
    <w:lsdException w:name="heading 9" w:uiPriority="4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semiHidden="1" w:uiPriority="4" w:unhideWhenUsed="1" w:qFormat="1"/>
    <w:lsdException w:name="footer" w:semiHidden="1" w:uiPriority="39"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nhideWhenUsed="1"/>
    <w:lsdException w:name="endnote reference" w:semiHidden="1" w:unhideWhenUsed="1"/>
    <w:lsdException w:name="endnote text" w:semiHidden="1" w:unhideWhenUsed="1"/>
    <w:lsdException w:name="table of authorities"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6"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57"/>
    <w:lsdException w:name="Emphasis" w:semiHidden="1" w:uiPriority="53"/>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54"/>
    <w:lsdException w:name="Intense Quote" w:semiHidden="1" w:uiPriority="55"/>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53"/>
    <w:lsdException w:name="Intense Emphasis" w:semiHidden="1" w:uiPriority="55"/>
    <w:lsdException w:name="Subtle Reference" w:semiHidden="1" w:uiPriority="57"/>
    <w:lsdException w:name="Intense Reference" w:semiHidden="1" w:uiPriority="55"/>
    <w:lsdException w:name="Book Title" w:semiHidden="1" w:uiPriority="56"/>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E63"/>
    <w:pPr>
      <w:overflowPunct w:val="0"/>
      <w:autoSpaceDE w:val="0"/>
      <w:autoSpaceDN w:val="0"/>
      <w:adjustRightInd w:val="0"/>
      <w:textAlignment w:val="baseline"/>
    </w:pPr>
  </w:style>
  <w:style w:type="paragraph" w:styleId="Heading1">
    <w:name w:val="heading 1"/>
    <w:basedOn w:val="Normal"/>
    <w:next w:val="BodyText"/>
    <w:link w:val="Heading1Char"/>
    <w:uiPriority w:val="1"/>
    <w:qFormat/>
    <w:rsid w:val="00B55B42"/>
    <w:pPr>
      <w:pageBreakBefore/>
      <w:numPr>
        <w:numId w:val="8"/>
      </w:numPr>
      <w:spacing w:after="240"/>
      <w:jc w:val="center"/>
      <w:outlineLvl w:val="0"/>
    </w:pPr>
    <w:rPr>
      <w:b/>
      <w:caps/>
      <w:sz w:val="28"/>
    </w:rPr>
  </w:style>
  <w:style w:type="paragraph" w:styleId="Heading2">
    <w:name w:val="heading 2"/>
    <w:basedOn w:val="Normal"/>
    <w:next w:val="BodyText"/>
    <w:link w:val="Heading2Char"/>
    <w:uiPriority w:val="1"/>
    <w:qFormat/>
    <w:rsid w:val="005D6E52"/>
    <w:pPr>
      <w:keepNext/>
      <w:numPr>
        <w:ilvl w:val="1"/>
        <w:numId w:val="8"/>
      </w:numPr>
      <w:spacing w:before="200" w:after="120"/>
      <w:outlineLvl w:val="1"/>
    </w:pPr>
    <w:rPr>
      <w:b/>
      <w:sz w:val="24"/>
    </w:rPr>
  </w:style>
  <w:style w:type="paragraph" w:styleId="Heading3">
    <w:name w:val="heading 3"/>
    <w:basedOn w:val="Normal"/>
    <w:next w:val="BodyText"/>
    <w:link w:val="Heading3Char"/>
    <w:uiPriority w:val="1"/>
    <w:qFormat/>
    <w:rsid w:val="006B6D7D"/>
    <w:pPr>
      <w:keepNext/>
      <w:numPr>
        <w:ilvl w:val="2"/>
        <w:numId w:val="8"/>
      </w:numPr>
      <w:spacing w:before="200" w:after="120"/>
      <w:outlineLvl w:val="2"/>
    </w:pPr>
    <w:rPr>
      <w:b/>
      <w:sz w:val="24"/>
    </w:rPr>
  </w:style>
  <w:style w:type="paragraph" w:styleId="Heading4">
    <w:name w:val="heading 4"/>
    <w:basedOn w:val="Normal"/>
    <w:next w:val="BodyText"/>
    <w:link w:val="Heading4Char"/>
    <w:uiPriority w:val="1"/>
    <w:qFormat/>
    <w:rsid w:val="005D6E52"/>
    <w:pPr>
      <w:keepNext/>
      <w:numPr>
        <w:ilvl w:val="3"/>
        <w:numId w:val="1"/>
      </w:numPr>
      <w:spacing w:before="200" w:after="120"/>
      <w:outlineLvl w:val="3"/>
    </w:pPr>
    <w:rPr>
      <w:b/>
      <w:sz w:val="24"/>
    </w:rPr>
  </w:style>
  <w:style w:type="paragraph" w:styleId="Heading5">
    <w:name w:val="heading 5"/>
    <w:basedOn w:val="Normal"/>
    <w:next w:val="BodyText"/>
    <w:link w:val="Heading5Char"/>
    <w:uiPriority w:val="1"/>
    <w:qFormat/>
    <w:rsid w:val="005D6E52"/>
    <w:pPr>
      <w:keepNext/>
      <w:numPr>
        <w:ilvl w:val="4"/>
        <w:numId w:val="1"/>
      </w:numPr>
      <w:tabs>
        <w:tab w:val="clear" w:pos="0"/>
      </w:tabs>
      <w:spacing w:before="200" w:after="120"/>
      <w:ind w:left="3600" w:hanging="360"/>
      <w:outlineLvl w:val="4"/>
    </w:pPr>
    <w:rPr>
      <w:b/>
      <w:sz w:val="24"/>
    </w:rPr>
  </w:style>
  <w:style w:type="paragraph" w:styleId="Heading6">
    <w:name w:val="heading 6"/>
    <w:basedOn w:val="Normal"/>
    <w:next w:val="BodyText"/>
    <w:link w:val="Heading6Char"/>
    <w:uiPriority w:val="40"/>
    <w:qFormat/>
    <w:rsid w:val="00812AE1"/>
    <w:pPr>
      <w:keepNext/>
      <w:numPr>
        <w:ilvl w:val="5"/>
        <w:numId w:val="1"/>
      </w:numPr>
      <w:tabs>
        <w:tab w:val="clear" w:pos="0"/>
      </w:tabs>
      <w:spacing w:before="200" w:after="120"/>
      <w:ind w:left="4320" w:hanging="180"/>
      <w:outlineLvl w:val="5"/>
    </w:pPr>
    <w:rPr>
      <w:b/>
      <w:sz w:val="24"/>
    </w:rPr>
  </w:style>
  <w:style w:type="paragraph" w:styleId="Heading7">
    <w:name w:val="heading 7"/>
    <w:basedOn w:val="Normal"/>
    <w:next w:val="BodyText"/>
    <w:link w:val="Heading7Char"/>
    <w:uiPriority w:val="40"/>
    <w:qFormat/>
    <w:rsid w:val="005D6E52"/>
    <w:pPr>
      <w:keepNext/>
      <w:numPr>
        <w:ilvl w:val="6"/>
        <w:numId w:val="1"/>
      </w:numPr>
      <w:tabs>
        <w:tab w:val="clear" w:pos="0"/>
      </w:tabs>
      <w:spacing w:before="200" w:after="120"/>
      <w:ind w:left="5040" w:hanging="360"/>
      <w:outlineLvl w:val="6"/>
    </w:pPr>
    <w:rPr>
      <w:b/>
      <w:sz w:val="24"/>
    </w:rPr>
  </w:style>
  <w:style w:type="paragraph" w:styleId="Heading8">
    <w:name w:val="heading 8"/>
    <w:basedOn w:val="Normal"/>
    <w:next w:val="BodyText"/>
    <w:link w:val="Heading8Char"/>
    <w:uiPriority w:val="40"/>
    <w:qFormat/>
    <w:rsid w:val="005D6E52"/>
    <w:pPr>
      <w:keepNext/>
      <w:numPr>
        <w:ilvl w:val="7"/>
        <w:numId w:val="1"/>
      </w:numPr>
      <w:tabs>
        <w:tab w:val="clear" w:pos="0"/>
      </w:tabs>
      <w:spacing w:before="200" w:after="120"/>
      <w:ind w:left="5760" w:hanging="360"/>
      <w:outlineLvl w:val="7"/>
    </w:pPr>
    <w:rPr>
      <w:b/>
      <w:sz w:val="24"/>
      <w:szCs w:val="24"/>
    </w:rPr>
  </w:style>
  <w:style w:type="paragraph" w:styleId="Heading9">
    <w:name w:val="heading 9"/>
    <w:basedOn w:val="Normal"/>
    <w:next w:val="BodyText"/>
    <w:link w:val="Heading9Char"/>
    <w:uiPriority w:val="40"/>
    <w:qFormat/>
    <w:rsid w:val="005D6E52"/>
    <w:pPr>
      <w:keepNext/>
      <w:numPr>
        <w:ilvl w:val="8"/>
        <w:numId w:val="1"/>
      </w:numPr>
      <w:tabs>
        <w:tab w:val="clear" w:pos="0"/>
      </w:tabs>
      <w:spacing w:before="200" w:after="120"/>
      <w:ind w:left="6480" w:hanging="180"/>
      <w:outlineLvl w:val="8"/>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
    <w:name w:val="Bullet"/>
    <w:basedOn w:val="Normal"/>
    <w:link w:val="BulletChar"/>
    <w:uiPriority w:val="7"/>
    <w:qFormat/>
    <w:rsid w:val="00D11583"/>
    <w:pPr>
      <w:numPr>
        <w:numId w:val="2"/>
      </w:numPr>
      <w:tabs>
        <w:tab w:val="left" w:pos="720"/>
      </w:tabs>
      <w:spacing w:after="120"/>
      <w:ind w:left="720"/>
      <w:jc w:val="both"/>
    </w:pPr>
  </w:style>
  <w:style w:type="paragraph" w:styleId="TOC4">
    <w:name w:val="toc 4"/>
    <w:basedOn w:val="TOC3"/>
    <w:next w:val="Normal"/>
    <w:link w:val="TOC4Char"/>
    <w:autoRedefine/>
    <w:uiPriority w:val="39"/>
    <w:rsid w:val="00DC29CD"/>
    <w:pPr>
      <w:ind w:left="2700" w:hanging="1080"/>
    </w:pPr>
    <w:rPr>
      <w:szCs w:val="21"/>
    </w:rPr>
  </w:style>
  <w:style w:type="paragraph" w:styleId="TOC3">
    <w:name w:val="toc 3"/>
    <w:basedOn w:val="TOC2"/>
    <w:next w:val="Normal"/>
    <w:link w:val="TOC3Char"/>
    <w:autoRedefine/>
    <w:uiPriority w:val="39"/>
    <w:rsid w:val="00DC29CD"/>
    <w:pPr>
      <w:ind w:left="1980"/>
    </w:pPr>
    <w:rPr>
      <w:iCs/>
      <w:noProof/>
    </w:rPr>
  </w:style>
  <w:style w:type="paragraph" w:styleId="TOC2">
    <w:name w:val="toc 2"/>
    <w:basedOn w:val="Normal"/>
    <w:next w:val="Normal"/>
    <w:link w:val="TOC2Char"/>
    <w:autoRedefine/>
    <w:uiPriority w:val="39"/>
    <w:rsid w:val="00DC29CD"/>
    <w:pPr>
      <w:tabs>
        <w:tab w:val="right" w:leader="dot" w:pos="9360"/>
      </w:tabs>
      <w:ind w:left="1440" w:hanging="900"/>
    </w:pPr>
  </w:style>
  <w:style w:type="paragraph" w:styleId="TOC1">
    <w:name w:val="toc 1"/>
    <w:basedOn w:val="Normal"/>
    <w:next w:val="Normal"/>
    <w:link w:val="TOC1Char"/>
    <w:autoRedefine/>
    <w:uiPriority w:val="39"/>
    <w:rsid w:val="00A878FB"/>
    <w:pPr>
      <w:tabs>
        <w:tab w:val="right" w:leader="dot" w:pos="9360"/>
      </w:tabs>
      <w:ind w:left="547" w:hanging="547"/>
    </w:pPr>
    <w:rPr>
      <w:bCs/>
      <w:noProof/>
    </w:rPr>
  </w:style>
  <w:style w:type="paragraph" w:styleId="Footer">
    <w:name w:val="footer"/>
    <w:basedOn w:val="Normal"/>
    <w:link w:val="FooterChar"/>
    <w:uiPriority w:val="39"/>
    <w:qFormat/>
    <w:rsid w:val="00CC35E8"/>
    <w:pPr>
      <w:pBdr>
        <w:top w:val="single" w:sz="4" w:space="0" w:color="auto"/>
      </w:pBdr>
      <w:tabs>
        <w:tab w:val="center" w:pos="4320"/>
        <w:tab w:val="right" w:pos="8280"/>
      </w:tabs>
    </w:pPr>
    <w:rPr>
      <w:rFonts w:cs="Arial"/>
      <w:sz w:val="20"/>
      <w:szCs w:val="20"/>
    </w:rPr>
  </w:style>
  <w:style w:type="paragraph" w:customStyle="1" w:styleId="TableHeading">
    <w:name w:val="Table Heading"/>
    <w:basedOn w:val="FigureHeading"/>
    <w:next w:val="Normal"/>
    <w:link w:val="TableHeadingChar"/>
    <w:uiPriority w:val="2"/>
    <w:qFormat/>
    <w:rsid w:val="00F3407E"/>
  </w:style>
  <w:style w:type="paragraph" w:customStyle="1" w:styleId="FigureHeading">
    <w:name w:val="Figure Heading"/>
    <w:basedOn w:val="Heading3"/>
    <w:next w:val="Normal"/>
    <w:link w:val="FigureHeadingChar"/>
    <w:uiPriority w:val="3"/>
    <w:qFormat/>
    <w:rsid w:val="00536F7E"/>
    <w:pPr>
      <w:numPr>
        <w:ilvl w:val="0"/>
        <w:numId w:val="0"/>
      </w:numPr>
      <w:tabs>
        <w:tab w:val="left" w:pos="720"/>
      </w:tabs>
      <w:ind w:left="720" w:hanging="720"/>
      <w:jc w:val="center"/>
    </w:pPr>
  </w:style>
  <w:style w:type="character" w:styleId="Hyperlink">
    <w:name w:val="Hyperlink"/>
    <w:uiPriority w:val="99"/>
    <w:qFormat/>
    <w:rsid w:val="00DC29CD"/>
    <w:rPr>
      <w:rFonts w:ascii="Arial Narrow" w:hAnsi="Arial Narrow"/>
      <w:b w:val="0"/>
      <w:i w:val="0"/>
      <w:color w:val="0000FF"/>
      <w:sz w:val="22"/>
      <w:u w:val="single"/>
    </w:rPr>
  </w:style>
  <w:style w:type="paragraph" w:customStyle="1" w:styleId="AppendixHeading">
    <w:name w:val="Appendix Heading"/>
    <w:basedOn w:val="Heading1"/>
    <w:link w:val="AppendixHeadingChar"/>
    <w:uiPriority w:val="4"/>
    <w:qFormat/>
    <w:rsid w:val="00536F7E"/>
    <w:pPr>
      <w:pageBreakBefore w:val="0"/>
      <w:numPr>
        <w:numId w:val="0"/>
      </w:numPr>
      <w:spacing w:before="840"/>
      <w:ind w:left="2160" w:hanging="2160"/>
      <w:jc w:val="left"/>
    </w:pPr>
    <w:rPr>
      <w:szCs w:val="28"/>
    </w:rPr>
  </w:style>
  <w:style w:type="paragraph" w:customStyle="1" w:styleId="BulletIndent">
    <w:name w:val="Bullet Indent"/>
    <w:basedOn w:val="Normal"/>
    <w:link w:val="BulletIndentChar"/>
    <w:uiPriority w:val="7"/>
    <w:qFormat/>
    <w:rsid w:val="00DC29CD"/>
    <w:pPr>
      <w:numPr>
        <w:numId w:val="3"/>
      </w:numPr>
      <w:tabs>
        <w:tab w:val="left" w:pos="1080"/>
      </w:tabs>
      <w:spacing w:after="120"/>
      <w:jc w:val="both"/>
    </w:pPr>
  </w:style>
  <w:style w:type="paragraph" w:styleId="Subtitle">
    <w:name w:val="Subtitle"/>
    <w:basedOn w:val="Normal"/>
    <w:next w:val="BodyText"/>
    <w:link w:val="SubtitleChar"/>
    <w:uiPriority w:val="6"/>
    <w:qFormat/>
    <w:rsid w:val="00F22CDA"/>
    <w:pPr>
      <w:spacing w:before="200" w:after="120"/>
      <w:outlineLvl w:val="1"/>
    </w:pPr>
    <w:rPr>
      <w:b/>
      <w:bCs/>
      <w:sz w:val="24"/>
    </w:rPr>
  </w:style>
  <w:style w:type="paragraph" w:styleId="Title">
    <w:name w:val="Title"/>
    <w:basedOn w:val="Normal"/>
    <w:next w:val="Normal"/>
    <w:uiPriority w:val="5"/>
    <w:qFormat/>
    <w:rsid w:val="00DC29CD"/>
    <w:pPr>
      <w:spacing w:before="240"/>
      <w:jc w:val="center"/>
      <w:outlineLvl w:val="0"/>
    </w:pPr>
    <w:rPr>
      <w:rFonts w:cs="Arial"/>
      <w:b/>
      <w:bCs/>
      <w:sz w:val="28"/>
      <w:szCs w:val="28"/>
    </w:rPr>
  </w:style>
  <w:style w:type="paragraph" w:styleId="TOCHeading">
    <w:name w:val="TOC Heading"/>
    <w:basedOn w:val="Heading1"/>
    <w:next w:val="Normal"/>
    <w:uiPriority w:val="39"/>
    <w:semiHidden/>
    <w:qFormat/>
    <w:rsid w:val="003C4FF3"/>
    <w:pPr>
      <w:keepLines/>
      <w:pageBreakBefore w:val="0"/>
      <w:numPr>
        <w:numId w:val="0"/>
      </w:numPr>
      <w:spacing w:before="480" w:after="0" w:line="276" w:lineRule="auto"/>
      <w:jc w:val="left"/>
      <w:outlineLvl w:val="9"/>
    </w:pPr>
    <w:rPr>
      <w:rFonts w:eastAsia="MS Gothic"/>
      <w:bCs/>
      <w:caps w:val="0"/>
      <w:color w:val="365F91"/>
      <w:szCs w:val="28"/>
      <w:lang w:eastAsia="ja-JP"/>
    </w:rPr>
  </w:style>
  <w:style w:type="paragraph" w:styleId="BalloonText">
    <w:name w:val="Balloon Text"/>
    <w:basedOn w:val="Normal"/>
    <w:link w:val="BalloonTextChar"/>
    <w:uiPriority w:val="99"/>
    <w:semiHidden/>
    <w:rsid w:val="00DC29CD"/>
    <w:rPr>
      <w:rFonts w:ascii="Tahoma" w:hAnsi="Tahoma" w:cs="Tahoma"/>
      <w:sz w:val="16"/>
      <w:szCs w:val="16"/>
    </w:rPr>
  </w:style>
  <w:style w:type="character" w:customStyle="1" w:styleId="BalloonTextChar">
    <w:name w:val="Balloon Text Char"/>
    <w:link w:val="BalloonText"/>
    <w:uiPriority w:val="99"/>
    <w:semiHidden/>
    <w:rsid w:val="00B450C2"/>
    <w:rPr>
      <w:rFonts w:ascii="Tahoma" w:hAnsi="Tahoma" w:cs="Tahoma"/>
      <w:sz w:val="16"/>
      <w:szCs w:val="16"/>
    </w:rPr>
  </w:style>
  <w:style w:type="paragraph" w:customStyle="1" w:styleId="HeadingES">
    <w:name w:val="Heading ES"/>
    <w:basedOn w:val="Header"/>
    <w:next w:val="BodyText"/>
    <w:link w:val="HeadingESChar"/>
    <w:uiPriority w:val="4"/>
    <w:semiHidden/>
    <w:qFormat/>
    <w:rsid w:val="00304ED9"/>
    <w:pPr>
      <w:keepNext/>
      <w:keepLines/>
    </w:pPr>
  </w:style>
  <w:style w:type="paragraph" w:styleId="TOC5">
    <w:name w:val="toc 5"/>
    <w:basedOn w:val="TOC4"/>
    <w:next w:val="Normal"/>
    <w:link w:val="TOC5Char"/>
    <w:autoRedefine/>
    <w:uiPriority w:val="39"/>
    <w:rsid w:val="00DC29CD"/>
    <w:pPr>
      <w:ind w:left="3420"/>
    </w:pPr>
  </w:style>
  <w:style w:type="character" w:customStyle="1" w:styleId="Heading1Char">
    <w:name w:val="Heading 1 Char"/>
    <w:link w:val="Heading1"/>
    <w:uiPriority w:val="1"/>
    <w:rsid w:val="00B55B42"/>
    <w:rPr>
      <w:b/>
      <w:caps/>
      <w:sz w:val="28"/>
    </w:rPr>
  </w:style>
  <w:style w:type="character" w:customStyle="1" w:styleId="HeadingESChar">
    <w:name w:val="Heading ES Char"/>
    <w:link w:val="HeadingES"/>
    <w:uiPriority w:val="4"/>
    <w:semiHidden/>
    <w:rsid w:val="00E32F54"/>
    <w:rPr>
      <w:b/>
      <w:caps/>
      <w:sz w:val="28"/>
      <w:szCs w:val="28"/>
    </w:rPr>
  </w:style>
  <w:style w:type="table" w:styleId="TableGrid">
    <w:name w:val="Table Grid"/>
    <w:basedOn w:val="TableNormal"/>
    <w:uiPriority w:val="39"/>
    <w:rsid w:val="00DC2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ing">
    <w:name w:val="Numbering"/>
    <w:basedOn w:val="Normal"/>
    <w:link w:val="NumberingChar"/>
    <w:uiPriority w:val="8"/>
    <w:qFormat/>
    <w:rsid w:val="00DC29CD"/>
    <w:pPr>
      <w:numPr>
        <w:numId w:val="4"/>
      </w:numPr>
      <w:tabs>
        <w:tab w:val="left" w:pos="720"/>
      </w:tabs>
      <w:spacing w:after="120"/>
      <w:jc w:val="both"/>
    </w:pPr>
  </w:style>
  <w:style w:type="paragraph" w:customStyle="1" w:styleId="NumberingIndent">
    <w:name w:val="Numbering Indent"/>
    <w:basedOn w:val="Normal"/>
    <w:link w:val="NumberingIndentChar"/>
    <w:uiPriority w:val="8"/>
    <w:qFormat/>
    <w:rsid w:val="00AE0905"/>
    <w:pPr>
      <w:numPr>
        <w:ilvl w:val="1"/>
        <w:numId w:val="4"/>
      </w:numPr>
      <w:tabs>
        <w:tab w:val="left" w:pos="1080"/>
      </w:tabs>
      <w:spacing w:after="120"/>
      <w:ind w:left="1080"/>
      <w:jc w:val="both"/>
    </w:pPr>
  </w:style>
  <w:style w:type="character" w:customStyle="1" w:styleId="NumberingChar">
    <w:name w:val="Numbering Char"/>
    <w:basedOn w:val="DefaultParagraphFont"/>
    <w:link w:val="Numbering"/>
    <w:uiPriority w:val="8"/>
    <w:rsid w:val="00AE0905"/>
  </w:style>
  <w:style w:type="character" w:customStyle="1" w:styleId="NumberingIndentChar">
    <w:name w:val="Numbering Indent Char"/>
    <w:basedOn w:val="DefaultParagraphFont"/>
    <w:link w:val="NumberingIndent"/>
    <w:uiPriority w:val="8"/>
    <w:rsid w:val="00AE0905"/>
  </w:style>
  <w:style w:type="paragraph" w:customStyle="1" w:styleId="CoverA">
    <w:name w:val="*Cover A"/>
    <w:basedOn w:val="Heading1"/>
    <w:next w:val="CoverB"/>
    <w:link w:val="CoverAChar"/>
    <w:uiPriority w:val="41"/>
    <w:unhideWhenUsed/>
    <w:rsid w:val="00610A9D"/>
    <w:pPr>
      <w:numPr>
        <w:numId w:val="0"/>
      </w:numPr>
      <w:overflowPunct/>
      <w:autoSpaceDE/>
      <w:autoSpaceDN/>
      <w:adjustRightInd/>
      <w:jc w:val="left"/>
      <w:textAlignment w:val="auto"/>
    </w:pPr>
    <w:rPr>
      <w:color w:val="FFFFFF"/>
      <w:spacing w:val="-24"/>
      <w:sz w:val="48"/>
      <w:szCs w:val="48"/>
    </w:rPr>
  </w:style>
  <w:style w:type="paragraph" w:customStyle="1" w:styleId="TextBox">
    <w:name w:val="Text Box"/>
    <w:basedOn w:val="Normal"/>
    <w:uiPriority w:val="44"/>
    <w:qFormat/>
    <w:rsid w:val="00DC29CD"/>
    <w:pPr>
      <w:jc w:val="right"/>
    </w:pPr>
  </w:style>
  <w:style w:type="paragraph" w:customStyle="1" w:styleId="CoverB">
    <w:name w:val="*Cover B"/>
    <w:basedOn w:val="Normal"/>
    <w:uiPriority w:val="41"/>
    <w:unhideWhenUsed/>
    <w:rsid w:val="00DC29CD"/>
    <w:pPr>
      <w:overflowPunct/>
      <w:autoSpaceDE/>
      <w:autoSpaceDN/>
      <w:adjustRightInd/>
      <w:textAlignment w:val="auto"/>
    </w:pPr>
    <w:rPr>
      <w:color w:val="FFFFFF"/>
      <w:sz w:val="36"/>
      <w:szCs w:val="36"/>
    </w:rPr>
  </w:style>
  <w:style w:type="paragraph" w:customStyle="1" w:styleId="CoverC">
    <w:name w:val="*Cover C"/>
    <w:basedOn w:val="Normal"/>
    <w:link w:val="CoverCChar"/>
    <w:uiPriority w:val="41"/>
    <w:unhideWhenUsed/>
    <w:rsid w:val="00DC29CD"/>
    <w:rPr>
      <w:b/>
      <w:color w:val="FFFFFF"/>
      <w:sz w:val="36"/>
      <w:szCs w:val="36"/>
    </w:rPr>
  </w:style>
  <w:style w:type="paragraph" w:styleId="TOC6">
    <w:name w:val="toc 6"/>
    <w:basedOn w:val="TOC5"/>
    <w:next w:val="Normal"/>
    <w:link w:val="TOC6Char"/>
    <w:autoRedefine/>
    <w:uiPriority w:val="39"/>
    <w:rsid w:val="003A54FD"/>
    <w:pPr>
      <w:tabs>
        <w:tab w:val="clear" w:pos="9360"/>
        <w:tab w:val="left" w:pos="4320"/>
        <w:tab w:val="right" w:leader="dot" w:pos="9350"/>
      </w:tabs>
      <w:ind w:left="4320" w:hanging="1260"/>
    </w:pPr>
    <w:rPr>
      <w:rFonts w:asciiTheme="minorHAnsi" w:eastAsiaTheme="minorEastAsia" w:hAnsiTheme="minorHAnsi" w:cstheme="minorBidi"/>
    </w:rPr>
  </w:style>
  <w:style w:type="character" w:customStyle="1" w:styleId="CoverCChar">
    <w:name w:val="*Cover C Char"/>
    <w:link w:val="CoverC"/>
    <w:uiPriority w:val="41"/>
    <w:rsid w:val="00CC35E8"/>
    <w:rPr>
      <w:rFonts w:ascii="Comic Sans MS" w:hAnsi="Comic Sans MS"/>
      <w:b/>
      <w:color w:val="FFFFFF"/>
      <w:sz w:val="36"/>
      <w:szCs w:val="36"/>
    </w:rPr>
  </w:style>
  <w:style w:type="paragraph" w:styleId="TOC7">
    <w:name w:val="toc 7"/>
    <w:basedOn w:val="TOC6"/>
    <w:next w:val="Normal"/>
    <w:link w:val="TOC7Char"/>
    <w:autoRedefine/>
    <w:uiPriority w:val="39"/>
    <w:rsid w:val="003A54FD"/>
    <w:pPr>
      <w:tabs>
        <w:tab w:val="clear" w:pos="4320"/>
        <w:tab w:val="left" w:pos="5220"/>
      </w:tabs>
      <w:ind w:left="5220" w:hanging="1440"/>
    </w:pPr>
  </w:style>
  <w:style w:type="paragraph" w:styleId="BodyText">
    <w:name w:val="Body Text"/>
    <w:basedOn w:val="Normal"/>
    <w:link w:val="BodyTextChar"/>
    <w:qFormat/>
    <w:rsid w:val="00DC29CD"/>
    <w:pPr>
      <w:spacing w:before="200" w:after="120"/>
      <w:jc w:val="both"/>
    </w:pPr>
  </w:style>
  <w:style w:type="character" w:customStyle="1" w:styleId="BodyTextChar">
    <w:name w:val="Body Text Char"/>
    <w:basedOn w:val="DefaultParagraphFont"/>
    <w:link w:val="BodyText"/>
    <w:rsid w:val="00FF2543"/>
  </w:style>
  <w:style w:type="paragraph" w:customStyle="1" w:styleId="SenderAddress">
    <w:name w:val="Sender Address"/>
    <w:rsid w:val="00DC29CD"/>
    <w:pPr>
      <w:spacing w:line="259" w:lineRule="auto"/>
    </w:pPr>
    <w:rPr>
      <w:color w:val="718674"/>
    </w:rPr>
  </w:style>
  <w:style w:type="paragraph" w:customStyle="1" w:styleId="SenderTelephoneNumbers">
    <w:name w:val="Sender Telephone Numbers"/>
    <w:rsid w:val="00DC29CD"/>
    <w:pPr>
      <w:spacing w:line="259" w:lineRule="auto"/>
    </w:pPr>
    <w:rPr>
      <w:color w:val="718674"/>
    </w:rPr>
  </w:style>
  <w:style w:type="paragraph" w:customStyle="1" w:styleId="WC-TagLine">
    <w:name w:val="W&amp;C - Tag Line"/>
    <w:uiPriority w:val="26"/>
    <w:rsid w:val="00DC29CD"/>
    <w:rPr>
      <w:rFonts w:eastAsia="Calibri"/>
      <w:b/>
      <w:bCs/>
      <w:color w:val="21578A"/>
    </w:rPr>
  </w:style>
  <w:style w:type="paragraph" w:customStyle="1" w:styleId="SenderWebPage">
    <w:name w:val="Sender Web Page"/>
    <w:uiPriority w:val="26"/>
    <w:rsid w:val="00DC29CD"/>
    <w:pPr>
      <w:spacing w:line="259" w:lineRule="auto"/>
    </w:pPr>
    <w:rPr>
      <w:color w:val="718674"/>
    </w:rPr>
  </w:style>
  <w:style w:type="table" w:customStyle="1" w:styleId="TableGrid5">
    <w:name w:val="Table Grid5"/>
    <w:basedOn w:val="TableNormal"/>
    <w:next w:val="TableGrid"/>
    <w:rsid w:val="00DC29C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DC29C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DC29CD"/>
    <w:rPr>
      <w:color w:val="808080"/>
    </w:rPr>
  </w:style>
  <w:style w:type="character" w:customStyle="1" w:styleId="FooterChar">
    <w:name w:val="Footer Char"/>
    <w:link w:val="Footer"/>
    <w:uiPriority w:val="39"/>
    <w:rsid w:val="00FF2543"/>
    <w:rPr>
      <w:rFonts w:cs="Arial"/>
      <w:sz w:val="20"/>
      <w:szCs w:val="20"/>
    </w:rPr>
  </w:style>
  <w:style w:type="paragraph" w:styleId="TableofFigures">
    <w:name w:val="table of figures"/>
    <w:basedOn w:val="Normal"/>
    <w:next w:val="Normal"/>
    <w:autoRedefine/>
    <w:uiPriority w:val="99"/>
    <w:rsid w:val="00DC0766"/>
    <w:pPr>
      <w:tabs>
        <w:tab w:val="right" w:leader="dot" w:pos="9350"/>
      </w:tabs>
      <w:ind w:left="1440" w:hanging="1440"/>
    </w:pPr>
  </w:style>
  <w:style w:type="paragraph" w:styleId="TOC8">
    <w:name w:val="toc 8"/>
    <w:basedOn w:val="TOC7"/>
    <w:next w:val="Normal"/>
    <w:link w:val="TOC8Char"/>
    <w:autoRedefine/>
    <w:uiPriority w:val="39"/>
    <w:rsid w:val="003A54FD"/>
    <w:pPr>
      <w:tabs>
        <w:tab w:val="clear" w:pos="5220"/>
        <w:tab w:val="left" w:pos="6120"/>
      </w:tabs>
      <w:ind w:left="6120" w:hanging="1620"/>
    </w:pPr>
  </w:style>
  <w:style w:type="paragraph" w:customStyle="1" w:styleId="QuickPartsAddress">
    <w:name w:val="QuickPartsAddress"/>
    <w:basedOn w:val="Normal"/>
    <w:next w:val="Normal"/>
    <w:link w:val="QuickPartsAddressChar"/>
    <w:uiPriority w:val="43"/>
    <w:rsid w:val="00DC29CD"/>
    <w:pPr>
      <w:tabs>
        <w:tab w:val="left" w:pos="7200"/>
      </w:tabs>
      <w:ind w:left="4320" w:right="4320"/>
      <w:jc w:val="right"/>
    </w:pPr>
  </w:style>
  <w:style w:type="character" w:customStyle="1" w:styleId="QuickPartsAddressChar">
    <w:name w:val="QuickPartsAddress Char"/>
    <w:basedOn w:val="DefaultParagraphFont"/>
    <w:link w:val="QuickPartsAddress"/>
    <w:uiPriority w:val="43"/>
    <w:rsid w:val="00BF64CF"/>
  </w:style>
  <w:style w:type="character" w:customStyle="1" w:styleId="BulletChar">
    <w:name w:val="Bullet Char"/>
    <w:basedOn w:val="DefaultParagraphFont"/>
    <w:link w:val="Bullet"/>
    <w:uiPriority w:val="7"/>
    <w:rsid w:val="00D11583"/>
  </w:style>
  <w:style w:type="character" w:customStyle="1" w:styleId="SubtitleChar">
    <w:name w:val="Subtitle Char"/>
    <w:link w:val="Subtitle"/>
    <w:uiPriority w:val="6"/>
    <w:rsid w:val="00F22CDA"/>
    <w:rPr>
      <w:b/>
      <w:bCs/>
      <w:sz w:val="24"/>
    </w:rPr>
  </w:style>
  <w:style w:type="character" w:customStyle="1" w:styleId="BulletIndentChar">
    <w:name w:val="Bullet Indent Char"/>
    <w:basedOn w:val="DefaultParagraphFont"/>
    <w:link w:val="BulletIndent"/>
    <w:uiPriority w:val="7"/>
    <w:rsid w:val="00D11583"/>
  </w:style>
  <w:style w:type="paragraph" w:styleId="NoSpacing">
    <w:name w:val="No Spacing"/>
    <w:uiPriority w:val="39"/>
    <w:semiHidden/>
    <w:rsid w:val="00DC29CD"/>
    <w:pPr>
      <w:overflowPunct w:val="0"/>
      <w:autoSpaceDE w:val="0"/>
      <w:autoSpaceDN w:val="0"/>
      <w:adjustRightInd w:val="0"/>
      <w:jc w:val="both"/>
      <w:textAlignment w:val="baseline"/>
    </w:pPr>
  </w:style>
  <w:style w:type="paragraph" w:styleId="ListParagraph">
    <w:name w:val="List Paragraph"/>
    <w:basedOn w:val="Normal"/>
    <w:uiPriority w:val="34"/>
    <w:qFormat/>
    <w:rsid w:val="00DC29CD"/>
    <w:pPr>
      <w:ind w:left="720"/>
      <w:contextualSpacing/>
    </w:pPr>
  </w:style>
  <w:style w:type="character" w:customStyle="1" w:styleId="Heading2Char">
    <w:name w:val="Heading 2 Char"/>
    <w:link w:val="Heading2"/>
    <w:uiPriority w:val="1"/>
    <w:rsid w:val="005D6E52"/>
    <w:rPr>
      <w:b/>
      <w:sz w:val="24"/>
    </w:rPr>
  </w:style>
  <w:style w:type="character" w:customStyle="1" w:styleId="Heading3Char">
    <w:name w:val="Heading 3 Char"/>
    <w:link w:val="Heading3"/>
    <w:uiPriority w:val="1"/>
    <w:rsid w:val="006B6D7D"/>
    <w:rPr>
      <w:b/>
      <w:sz w:val="24"/>
    </w:rPr>
  </w:style>
  <w:style w:type="character" w:customStyle="1" w:styleId="Heading4Char">
    <w:name w:val="Heading 4 Char"/>
    <w:link w:val="Heading4"/>
    <w:uiPriority w:val="1"/>
    <w:rsid w:val="005D6E52"/>
    <w:rPr>
      <w:b/>
      <w:sz w:val="24"/>
    </w:rPr>
  </w:style>
  <w:style w:type="character" w:customStyle="1" w:styleId="Heading5Char">
    <w:name w:val="Heading 5 Char"/>
    <w:link w:val="Heading5"/>
    <w:uiPriority w:val="1"/>
    <w:rsid w:val="005D6E52"/>
    <w:rPr>
      <w:b/>
      <w:sz w:val="24"/>
    </w:rPr>
  </w:style>
  <w:style w:type="character" w:customStyle="1" w:styleId="Heading6Char">
    <w:name w:val="Heading 6 Char"/>
    <w:link w:val="Heading6"/>
    <w:uiPriority w:val="40"/>
    <w:rsid w:val="00812AE1"/>
    <w:rPr>
      <w:b/>
      <w:sz w:val="24"/>
    </w:rPr>
  </w:style>
  <w:style w:type="character" w:customStyle="1" w:styleId="Heading7Char">
    <w:name w:val="Heading 7 Char"/>
    <w:link w:val="Heading7"/>
    <w:uiPriority w:val="40"/>
    <w:rsid w:val="005D6E52"/>
    <w:rPr>
      <w:b/>
      <w:sz w:val="24"/>
    </w:rPr>
  </w:style>
  <w:style w:type="character" w:customStyle="1" w:styleId="Heading8Char">
    <w:name w:val="Heading 8 Char"/>
    <w:link w:val="Heading8"/>
    <w:uiPriority w:val="40"/>
    <w:rsid w:val="005D6E52"/>
    <w:rPr>
      <w:b/>
      <w:sz w:val="24"/>
      <w:szCs w:val="24"/>
    </w:rPr>
  </w:style>
  <w:style w:type="character" w:customStyle="1" w:styleId="Heading9Char">
    <w:name w:val="Heading 9 Char"/>
    <w:link w:val="Heading9"/>
    <w:uiPriority w:val="40"/>
    <w:rsid w:val="005D6E52"/>
    <w:rPr>
      <w:b/>
      <w:sz w:val="24"/>
      <w:szCs w:val="24"/>
    </w:rPr>
  </w:style>
  <w:style w:type="character" w:customStyle="1" w:styleId="TableHeadingChar">
    <w:name w:val="Table Heading Char"/>
    <w:link w:val="TableHeading"/>
    <w:uiPriority w:val="2"/>
    <w:rsid w:val="00F3407E"/>
    <w:rPr>
      <w:b/>
      <w:caps/>
      <w:sz w:val="24"/>
    </w:rPr>
  </w:style>
  <w:style w:type="character" w:customStyle="1" w:styleId="FigureHeadingChar">
    <w:name w:val="Figure Heading Char"/>
    <w:link w:val="FigureHeading"/>
    <w:uiPriority w:val="3"/>
    <w:rsid w:val="00536F7E"/>
    <w:rPr>
      <w:b/>
      <w:sz w:val="24"/>
    </w:rPr>
  </w:style>
  <w:style w:type="paragraph" w:styleId="Header">
    <w:name w:val="header"/>
    <w:basedOn w:val="Heading1"/>
    <w:next w:val="BodyText"/>
    <w:link w:val="HeaderChar"/>
    <w:uiPriority w:val="4"/>
    <w:qFormat/>
    <w:rsid w:val="006B6D7D"/>
    <w:pPr>
      <w:numPr>
        <w:numId w:val="0"/>
      </w:numPr>
      <w:spacing w:after="280"/>
      <w:ind w:left="547"/>
    </w:pPr>
    <w:rPr>
      <w:szCs w:val="28"/>
    </w:rPr>
  </w:style>
  <w:style w:type="character" w:customStyle="1" w:styleId="HeaderChar">
    <w:name w:val="Header Char"/>
    <w:link w:val="Header"/>
    <w:uiPriority w:val="4"/>
    <w:rsid w:val="006B6D7D"/>
    <w:rPr>
      <w:b/>
      <w:caps/>
      <w:sz w:val="28"/>
      <w:szCs w:val="28"/>
    </w:rPr>
  </w:style>
  <w:style w:type="character" w:customStyle="1" w:styleId="TOC1Char">
    <w:name w:val="TOC 1 Char"/>
    <w:link w:val="TOC1"/>
    <w:uiPriority w:val="39"/>
    <w:rsid w:val="00A878FB"/>
    <w:rPr>
      <w:bCs/>
      <w:noProof/>
    </w:rPr>
  </w:style>
  <w:style w:type="character" w:customStyle="1" w:styleId="TOC3Char">
    <w:name w:val="TOC 3 Char"/>
    <w:link w:val="TOC3"/>
    <w:uiPriority w:val="39"/>
    <w:rsid w:val="004467EC"/>
    <w:rPr>
      <w:iCs/>
      <w:noProof/>
    </w:rPr>
  </w:style>
  <w:style w:type="character" w:customStyle="1" w:styleId="TOC2Char">
    <w:name w:val="TOC 2 Char"/>
    <w:link w:val="TOC2"/>
    <w:uiPriority w:val="39"/>
    <w:rsid w:val="004467EC"/>
  </w:style>
  <w:style w:type="character" w:customStyle="1" w:styleId="TOC4Char">
    <w:name w:val="TOC 4 Char"/>
    <w:link w:val="TOC4"/>
    <w:uiPriority w:val="39"/>
    <w:rsid w:val="004467EC"/>
    <w:rPr>
      <w:iCs/>
      <w:noProof/>
      <w:szCs w:val="21"/>
    </w:rPr>
  </w:style>
  <w:style w:type="character" w:customStyle="1" w:styleId="TOC5Char">
    <w:name w:val="TOC 5 Char"/>
    <w:link w:val="TOC5"/>
    <w:uiPriority w:val="39"/>
    <w:rsid w:val="00FB3B56"/>
    <w:rPr>
      <w:iCs/>
      <w:noProof/>
      <w:szCs w:val="21"/>
    </w:rPr>
  </w:style>
  <w:style w:type="paragraph" w:styleId="EnvelopeAddress">
    <w:name w:val="envelope address"/>
    <w:basedOn w:val="Normal"/>
    <w:uiPriority w:val="99"/>
    <w:semiHidden/>
    <w:rsid w:val="00DC29CD"/>
    <w:pPr>
      <w:framePr w:w="7920" w:h="1980" w:hRule="exact" w:hSpace="180" w:wrap="auto" w:hAnchor="page" w:xAlign="center" w:yAlign="bottom"/>
      <w:ind w:left="2880"/>
    </w:pPr>
    <w:rPr>
      <w:sz w:val="24"/>
      <w:szCs w:val="24"/>
    </w:rPr>
  </w:style>
  <w:style w:type="paragraph" w:styleId="EnvelopeReturn">
    <w:name w:val="envelope return"/>
    <w:basedOn w:val="Normal"/>
    <w:uiPriority w:val="99"/>
    <w:semiHidden/>
    <w:rsid w:val="00DC29CD"/>
    <w:rPr>
      <w:sz w:val="20"/>
      <w:szCs w:val="20"/>
    </w:rPr>
  </w:style>
  <w:style w:type="numbering" w:customStyle="1" w:styleId="WCBulletList">
    <w:name w:val="WC Bullet List"/>
    <w:uiPriority w:val="99"/>
    <w:rsid w:val="00DC29CD"/>
    <w:pPr>
      <w:numPr>
        <w:numId w:val="5"/>
      </w:numPr>
    </w:pPr>
  </w:style>
  <w:style w:type="paragraph" w:styleId="Caption">
    <w:name w:val="caption"/>
    <w:basedOn w:val="Normal"/>
    <w:next w:val="Normal"/>
    <w:link w:val="CaptionChar"/>
    <w:uiPriority w:val="2"/>
    <w:qFormat/>
    <w:rsid w:val="00CC35E8"/>
    <w:pPr>
      <w:keepNext/>
      <w:tabs>
        <w:tab w:val="left" w:pos="720"/>
      </w:tabs>
      <w:jc w:val="center"/>
      <w:outlineLvl w:val="0"/>
    </w:pPr>
    <w:rPr>
      <w:b/>
      <w:bCs/>
      <w:sz w:val="24"/>
      <w:szCs w:val="18"/>
    </w:rPr>
  </w:style>
  <w:style w:type="character" w:customStyle="1" w:styleId="CaptionChar">
    <w:name w:val="Caption Char"/>
    <w:basedOn w:val="HeaderChar"/>
    <w:link w:val="Caption"/>
    <w:uiPriority w:val="2"/>
    <w:rsid w:val="00FB3B56"/>
    <w:rPr>
      <w:b/>
      <w:bCs/>
      <w:caps w:val="0"/>
      <w:sz w:val="24"/>
      <w:szCs w:val="18"/>
    </w:rPr>
  </w:style>
  <w:style w:type="table" w:customStyle="1" w:styleId="GridTable1Light1">
    <w:name w:val="Grid Table 1 Light1"/>
    <w:basedOn w:val="TableNormal"/>
    <w:uiPriority w:val="46"/>
    <w:rsid w:val="00DC29C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3">
    <w:name w:val="Table Grid3"/>
    <w:basedOn w:val="TableNormal"/>
    <w:next w:val="TableGrid"/>
    <w:rsid w:val="00DC2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C29CD"/>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DC29CD"/>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DC29CD"/>
    <w:rPr>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C2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endixHeadingChar">
    <w:name w:val="Appendix Heading Char"/>
    <w:basedOn w:val="Heading1Char"/>
    <w:link w:val="AppendixHeading"/>
    <w:uiPriority w:val="4"/>
    <w:rsid w:val="00536F7E"/>
    <w:rPr>
      <w:b/>
      <w:caps/>
      <w:sz w:val="28"/>
      <w:szCs w:val="28"/>
    </w:rPr>
  </w:style>
  <w:style w:type="paragraph" w:styleId="List">
    <w:name w:val="List"/>
    <w:basedOn w:val="Normal"/>
    <w:uiPriority w:val="99"/>
    <w:semiHidden/>
    <w:rsid w:val="00FF2543"/>
    <w:pPr>
      <w:ind w:left="360" w:hanging="360"/>
      <w:contextualSpacing/>
    </w:pPr>
  </w:style>
  <w:style w:type="character" w:styleId="PageNumber">
    <w:name w:val="page number"/>
    <w:basedOn w:val="DefaultParagraphFont"/>
    <w:uiPriority w:val="99"/>
    <w:semiHidden/>
    <w:rsid w:val="00FF2543"/>
  </w:style>
  <w:style w:type="paragraph" w:styleId="TableofAuthorities">
    <w:name w:val="table of authorities"/>
    <w:basedOn w:val="Normal"/>
    <w:next w:val="Normal"/>
    <w:uiPriority w:val="99"/>
    <w:semiHidden/>
    <w:rsid w:val="00FF2543"/>
    <w:pPr>
      <w:ind w:left="220" w:hanging="220"/>
    </w:pPr>
  </w:style>
  <w:style w:type="numbering" w:styleId="111111">
    <w:name w:val="Outline List 2"/>
    <w:basedOn w:val="NoList"/>
    <w:uiPriority w:val="99"/>
    <w:semiHidden/>
    <w:unhideWhenUsed/>
    <w:rsid w:val="00FF2543"/>
    <w:pPr>
      <w:numPr>
        <w:numId w:val="6"/>
      </w:numPr>
    </w:pPr>
  </w:style>
  <w:style w:type="numbering" w:styleId="1ai">
    <w:name w:val="Outline List 1"/>
    <w:basedOn w:val="NoList"/>
    <w:uiPriority w:val="99"/>
    <w:semiHidden/>
    <w:unhideWhenUsed/>
    <w:rsid w:val="00FF2543"/>
    <w:pPr>
      <w:numPr>
        <w:numId w:val="7"/>
      </w:numPr>
    </w:pPr>
  </w:style>
  <w:style w:type="character" w:customStyle="1" w:styleId="CoverAChar">
    <w:name w:val="*Cover A Char"/>
    <w:basedOn w:val="Heading1Char"/>
    <w:link w:val="CoverA"/>
    <w:uiPriority w:val="41"/>
    <w:rsid w:val="00FB3B56"/>
    <w:rPr>
      <w:b/>
      <w:caps/>
      <w:color w:val="FFFFFF"/>
      <w:spacing w:val="-24"/>
      <w:sz w:val="48"/>
      <w:szCs w:val="48"/>
    </w:rPr>
  </w:style>
  <w:style w:type="paragraph" w:styleId="TOC9">
    <w:name w:val="toc 9"/>
    <w:basedOn w:val="TOC8"/>
    <w:next w:val="Normal"/>
    <w:link w:val="TOC9Char"/>
    <w:autoRedefine/>
    <w:uiPriority w:val="39"/>
    <w:rsid w:val="003A54FD"/>
    <w:pPr>
      <w:tabs>
        <w:tab w:val="left" w:pos="7020"/>
      </w:tabs>
      <w:spacing w:after="100"/>
      <w:ind w:left="7020" w:hanging="1800"/>
    </w:pPr>
  </w:style>
  <w:style w:type="character" w:customStyle="1" w:styleId="TOC6Char">
    <w:name w:val="TOC 6 Char"/>
    <w:basedOn w:val="TOC5Char"/>
    <w:link w:val="TOC6"/>
    <w:uiPriority w:val="39"/>
    <w:rsid w:val="00FB3B56"/>
    <w:rPr>
      <w:rFonts w:asciiTheme="minorHAnsi" w:eastAsiaTheme="minorEastAsia" w:hAnsiTheme="minorHAnsi" w:cstheme="minorBidi"/>
      <w:iCs/>
      <w:noProof/>
      <w:szCs w:val="21"/>
    </w:rPr>
  </w:style>
  <w:style w:type="character" w:customStyle="1" w:styleId="TOC7Char">
    <w:name w:val="TOC 7 Char"/>
    <w:basedOn w:val="TOC6Char"/>
    <w:link w:val="TOC7"/>
    <w:uiPriority w:val="39"/>
    <w:rsid w:val="00FB3B56"/>
    <w:rPr>
      <w:rFonts w:asciiTheme="minorHAnsi" w:eastAsiaTheme="minorEastAsia" w:hAnsiTheme="minorHAnsi" w:cstheme="minorBidi"/>
      <w:iCs/>
      <w:noProof/>
      <w:szCs w:val="21"/>
    </w:rPr>
  </w:style>
  <w:style w:type="character" w:customStyle="1" w:styleId="TOC8Char">
    <w:name w:val="TOC 8 Char"/>
    <w:basedOn w:val="TOC7Char"/>
    <w:link w:val="TOC8"/>
    <w:uiPriority w:val="39"/>
    <w:rsid w:val="00FB3B56"/>
    <w:rPr>
      <w:rFonts w:asciiTheme="minorHAnsi" w:eastAsiaTheme="minorEastAsia" w:hAnsiTheme="minorHAnsi" w:cstheme="minorBidi"/>
      <w:iCs/>
      <w:noProof/>
      <w:szCs w:val="21"/>
    </w:rPr>
  </w:style>
  <w:style w:type="character" w:customStyle="1" w:styleId="TOC9Char">
    <w:name w:val="TOC 9 Char"/>
    <w:basedOn w:val="TOC8Char"/>
    <w:link w:val="TOC9"/>
    <w:uiPriority w:val="39"/>
    <w:rsid w:val="00FB3B56"/>
    <w:rPr>
      <w:rFonts w:asciiTheme="minorHAnsi" w:eastAsiaTheme="minorEastAsia" w:hAnsiTheme="minorHAnsi" w:cstheme="minorBidi"/>
      <w:iCs/>
      <w:noProof/>
      <w:szCs w:val="21"/>
    </w:rPr>
  </w:style>
  <w:style w:type="character" w:customStyle="1" w:styleId="normaltextrun">
    <w:name w:val="normaltextrun"/>
    <w:basedOn w:val="DefaultParagraphFont"/>
    <w:rsid w:val="0024366E"/>
  </w:style>
  <w:style w:type="character" w:customStyle="1" w:styleId="eop">
    <w:name w:val="eop"/>
    <w:basedOn w:val="DefaultParagraphFont"/>
    <w:rsid w:val="0024366E"/>
  </w:style>
  <w:style w:type="character" w:styleId="UnresolvedMention">
    <w:name w:val="Unresolved Mention"/>
    <w:basedOn w:val="DefaultParagraphFont"/>
    <w:uiPriority w:val="99"/>
    <w:semiHidden/>
    <w:unhideWhenUsed/>
    <w:rsid w:val="00943358"/>
    <w:rPr>
      <w:color w:val="605E5C"/>
      <w:shd w:val="clear" w:color="auto" w:fill="E1DFDD"/>
    </w:rPr>
  </w:style>
  <w:style w:type="paragraph" w:customStyle="1" w:styleId="paragraph">
    <w:name w:val="paragraph"/>
    <w:basedOn w:val="Normal"/>
    <w:rsid w:val="007F3DC5"/>
    <w:pPr>
      <w:overflowPunct/>
      <w:autoSpaceDE/>
      <w:autoSpaceDN/>
      <w:adjustRightInd/>
      <w:spacing w:before="100" w:beforeAutospacing="1" w:after="100" w:afterAutospacing="1"/>
      <w:textAlignment w:val="auto"/>
    </w:pPr>
    <w:rPr>
      <w:rFonts w:ascii="Times New Roman" w:hAnsi="Times New Roman"/>
      <w:sz w:val="24"/>
      <w:szCs w:val="24"/>
    </w:rPr>
  </w:style>
  <w:style w:type="character" w:customStyle="1" w:styleId="spellingerror">
    <w:name w:val="spellingerror"/>
    <w:basedOn w:val="DefaultParagraphFont"/>
    <w:rsid w:val="00CA47AA"/>
  </w:style>
  <w:style w:type="character" w:styleId="CommentReference">
    <w:name w:val="annotation reference"/>
    <w:basedOn w:val="DefaultParagraphFont"/>
    <w:uiPriority w:val="99"/>
    <w:semiHidden/>
    <w:unhideWhenUsed/>
    <w:rsid w:val="00A5338F"/>
    <w:rPr>
      <w:sz w:val="16"/>
      <w:szCs w:val="16"/>
    </w:rPr>
  </w:style>
  <w:style w:type="paragraph" w:styleId="CommentText">
    <w:name w:val="annotation text"/>
    <w:basedOn w:val="Normal"/>
    <w:link w:val="CommentTextChar"/>
    <w:uiPriority w:val="99"/>
    <w:unhideWhenUsed/>
    <w:rsid w:val="00A5338F"/>
    <w:rPr>
      <w:sz w:val="20"/>
      <w:szCs w:val="20"/>
    </w:rPr>
  </w:style>
  <w:style w:type="character" w:customStyle="1" w:styleId="CommentTextChar">
    <w:name w:val="Comment Text Char"/>
    <w:basedOn w:val="DefaultParagraphFont"/>
    <w:link w:val="CommentText"/>
    <w:uiPriority w:val="99"/>
    <w:rsid w:val="00A5338F"/>
    <w:rPr>
      <w:sz w:val="20"/>
      <w:szCs w:val="20"/>
    </w:rPr>
  </w:style>
  <w:style w:type="paragraph" w:styleId="CommentSubject">
    <w:name w:val="annotation subject"/>
    <w:basedOn w:val="CommentText"/>
    <w:next w:val="CommentText"/>
    <w:link w:val="CommentSubjectChar"/>
    <w:uiPriority w:val="99"/>
    <w:semiHidden/>
    <w:unhideWhenUsed/>
    <w:rsid w:val="00A5338F"/>
    <w:rPr>
      <w:b/>
      <w:bCs/>
    </w:rPr>
  </w:style>
  <w:style w:type="character" w:customStyle="1" w:styleId="CommentSubjectChar">
    <w:name w:val="Comment Subject Char"/>
    <w:basedOn w:val="CommentTextChar"/>
    <w:link w:val="CommentSubject"/>
    <w:uiPriority w:val="99"/>
    <w:semiHidden/>
    <w:rsid w:val="00A5338F"/>
    <w:rPr>
      <w:b/>
      <w:bCs/>
      <w:sz w:val="20"/>
      <w:szCs w:val="20"/>
    </w:rPr>
  </w:style>
  <w:style w:type="paragraph" w:styleId="Revision">
    <w:name w:val="Revision"/>
    <w:hidden/>
    <w:uiPriority w:val="99"/>
    <w:semiHidden/>
    <w:rsid w:val="00E47BA7"/>
  </w:style>
  <w:style w:type="character" w:customStyle="1" w:styleId="UnresolvedMention1">
    <w:name w:val="Unresolved Mention1"/>
    <w:basedOn w:val="DefaultParagraphFont"/>
    <w:uiPriority w:val="99"/>
    <w:semiHidden/>
    <w:unhideWhenUsed/>
    <w:rsid w:val="00BD6917"/>
    <w:rPr>
      <w:color w:val="605E5C"/>
      <w:shd w:val="clear" w:color="auto" w:fill="E1DFDD"/>
    </w:rPr>
  </w:style>
  <w:style w:type="character" w:styleId="FollowedHyperlink">
    <w:name w:val="FollowedHyperlink"/>
    <w:basedOn w:val="DefaultParagraphFont"/>
    <w:uiPriority w:val="99"/>
    <w:semiHidden/>
    <w:unhideWhenUsed/>
    <w:rsid w:val="00F94153"/>
    <w:rPr>
      <w:color w:val="800080" w:themeColor="followedHyperlink"/>
      <w:u w:val="single"/>
    </w:rPr>
  </w:style>
  <w:style w:type="paragraph" w:styleId="FootnoteText">
    <w:name w:val="footnote text"/>
    <w:basedOn w:val="Normal"/>
    <w:link w:val="FootnoteTextChar"/>
    <w:uiPriority w:val="99"/>
    <w:semiHidden/>
    <w:unhideWhenUsed/>
    <w:rsid w:val="002F7DD7"/>
    <w:rPr>
      <w:sz w:val="20"/>
      <w:szCs w:val="20"/>
    </w:rPr>
  </w:style>
  <w:style w:type="character" w:customStyle="1" w:styleId="FootnoteTextChar">
    <w:name w:val="Footnote Text Char"/>
    <w:basedOn w:val="DefaultParagraphFont"/>
    <w:link w:val="FootnoteText"/>
    <w:uiPriority w:val="99"/>
    <w:semiHidden/>
    <w:rsid w:val="002F7DD7"/>
    <w:rPr>
      <w:sz w:val="20"/>
      <w:szCs w:val="20"/>
    </w:rPr>
  </w:style>
  <w:style w:type="character" w:styleId="FootnoteReference">
    <w:name w:val="footnote reference"/>
    <w:basedOn w:val="DefaultParagraphFont"/>
    <w:uiPriority w:val="99"/>
    <w:semiHidden/>
    <w:unhideWhenUsed/>
    <w:rsid w:val="002F7DD7"/>
    <w:rPr>
      <w:vertAlign w:val="superscript"/>
    </w:rPr>
  </w:style>
  <w:style w:type="paragraph" w:customStyle="1" w:styleId="CoverDB">
    <w:name w:val="*Cover DB"/>
    <w:next w:val="NoSpacing"/>
    <w:link w:val="CoverDBChar"/>
    <w:uiPriority w:val="41"/>
    <w:unhideWhenUsed/>
    <w:rsid w:val="004776AB"/>
    <w:pPr>
      <w:ind w:right="360"/>
      <w:jc w:val="right"/>
    </w:pPr>
    <w:rPr>
      <w:color w:val="FFFFFF"/>
      <w:sz w:val="72"/>
      <w:szCs w:val="72"/>
    </w:rPr>
  </w:style>
  <w:style w:type="character" w:customStyle="1" w:styleId="CoverDBChar">
    <w:name w:val="*Cover DB Char"/>
    <w:link w:val="CoverDB"/>
    <w:uiPriority w:val="41"/>
    <w:rsid w:val="004776AB"/>
    <w:rPr>
      <w:color w:val="FFFFFF"/>
      <w:sz w:val="72"/>
      <w:szCs w:val="72"/>
    </w:rPr>
  </w:style>
  <w:style w:type="paragraph" w:customStyle="1" w:styleId="CoverD">
    <w:name w:val="*Cover D"/>
    <w:basedOn w:val="Normal"/>
    <w:uiPriority w:val="41"/>
    <w:unhideWhenUsed/>
    <w:rsid w:val="004776AB"/>
    <w:pPr>
      <w:overflowPunct/>
      <w:autoSpaceDE/>
      <w:autoSpaceDN/>
      <w:adjustRightInd/>
      <w:textAlignment w:val="auto"/>
    </w:pPr>
    <w:rPr>
      <w:color w:val="FFFFFF"/>
      <w:sz w:val="36"/>
      <w:szCs w:val="36"/>
    </w:rPr>
  </w:style>
  <w:style w:type="table" w:styleId="GridTable1Light">
    <w:name w:val="Grid Table 1 Light"/>
    <w:basedOn w:val="TableNormal"/>
    <w:uiPriority w:val="46"/>
    <w:rsid w:val="004776A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Heading3a">
    <w:name w:val="Heading 3a"/>
    <w:basedOn w:val="Heading3"/>
    <w:link w:val="Heading3aChar"/>
    <w:qFormat/>
    <w:rsid w:val="004776AB"/>
    <w:pPr>
      <w:numPr>
        <w:ilvl w:val="0"/>
        <w:numId w:val="41"/>
      </w:numPr>
      <w:tabs>
        <w:tab w:val="num" w:pos="1260"/>
      </w:tabs>
    </w:pPr>
  </w:style>
  <w:style w:type="character" w:customStyle="1" w:styleId="Heading3aChar">
    <w:name w:val="Heading 3a Char"/>
    <w:basedOn w:val="Heading3Char"/>
    <w:link w:val="Heading3a"/>
    <w:rsid w:val="004776AB"/>
    <w:rPr>
      <w:b/>
      <w:sz w:val="24"/>
    </w:rPr>
  </w:style>
  <w:style w:type="paragraph" w:customStyle="1" w:styleId="TableText">
    <w:name w:val="Table Text"/>
    <w:basedOn w:val="Normal"/>
    <w:link w:val="TableTextChar"/>
    <w:rsid w:val="00D26F05"/>
    <w:pPr>
      <w:overflowPunct/>
      <w:autoSpaceDE/>
      <w:autoSpaceDN/>
      <w:adjustRightInd/>
      <w:spacing w:before="60" w:after="60"/>
      <w:textAlignment w:val="auto"/>
    </w:pPr>
    <w:rPr>
      <w:rFonts w:ascii="Arial" w:hAnsi="Arial"/>
      <w:szCs w:val="24"/>
      <w:lang w:eastAsia="en-AU"/>
    </w:rPr>
  </w:style>
  <w:style w:type="paragraph" w:customStyle="1" w:styleId="TableTextHeadings">
    <w:name w:val="Table Text Headings"/>
    <w:basedOn w:val="TableText"/>
    <w:rsid w:val="00D26F05"/>
    <w:rPr>
      <w:b/>
    </w:rPr>
  </w:style>
  <w:style w:type="character" w:customStyle="1" w:styleId="TableTextChar">
    <w:name w:val="Table Text Char"/>
    <w:link w:val="TableText"/>
    <w:rsid w:val="00D26F05"/>
    <w:rPr>
      <w:rFonts w:ascii="Arial" w:hAnsi="Arial"/>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38967">
      <w:bodyDiv w:val="1"/>
      <w:marLeft w:val="0"/>
      <w:marRight w:val="0"/>
      <w:marTop w:val="0"/>
      <w:marBottom w:val="0"/>
      <w:divBdr>
        <w:top w:val="none" w:sz="0" w:space="0" w:color="auto"/>
        <w:left w:val="none" w:sz="0" w:space="0" w:color="auto"/>
        <w:bottom w:val="none" w:sz="0" w:space="0" w:color="auto"/>
        <w:right w:val="none" w:sz="0" w:space="0" w:color="auto"/>
      </w:divBdr>
    </w:div>
    <w:div w:id="22559572">
      <w:bodyDiv w:val="1"/>
      <w:marLeft w:val="0"/>
      <w:marRight w:val="0"/>
      <w:marTop w:val="0"/>
      <w:marBottom w:val="0"/>
      <w:divBdr>
        <w:top w:val="none" w:sz="0" w:space="0" w:color="auto"/>
        <w:left w:val="none" w:sz="0" w:space="0" w:color="auto"/>
        <w:bottom w:val="none" w:sz="0" w:space="0" w:color="auto"/>
        <w:right w:val="none" w:sz="0" w:space="0" w:color="auto"/>
      </w:divBdr>
      <w:divsChild>
        <w:div w:id="36587625">
          <w:marLeft w:val="0"/>
          <w:marRight w:val="0"/>
          <w:marTop w:val="0"/>
          <w:marBottom w:val="0"/>
          <w:divBdr>
            <w:top w:val="none" w:sz="0" w:space="0" w:color="auto"/>
            <w:left w:val="none" w:sz="0" w:space="0" w:color="auto"/>
            <w:bottom w:val="none" w:sz="0" w:space="0" w:color="auto"/>
            <w:right w:val="none" w:sz="0" w:space="0" w:color="auto"/>
          </w:divBdr>
          <w:divsChild>
            <w:div w:id="103304761">
              <w:marLeft w:val="0"/>
              <w:marRight w:val="0"/>
              <w:marTop w:val="0"/>
              <w:marBottom w:val="0"/>
              <w:divBdr>
                <w:top w:val="none" w:sz="0" w:space="0" w:color="auto"/>
                <w:left w:val="none" w:sz="0" w:space="0" w:color="auto"/>
                <w:bottom w:val="none" w:sz="0" w:space="0" w:color="auto"/>
                <w:right w:val="none" w:sz="0" w:space="0" w:color="auto"/>
              </w:divBdr>
            </w:div>
          </w:divsChild>
        </w:div>
        <w:div w:id="99569683">
          <w:marLeft w:val="0"/>
          <w:marRight w:val="0"/>
          <w:marTop w:val="0"/>
          <w:marBottom w:val="0"/>
          <w:divBdr>
            <w:top w:val="none" w:sz="0" w:space="0" w:color="auto"/>
            <w:left w:val="none" w:sz="0" w:space="0" w:color="auto"/>
            <w:bottom w:val="none" w:sz="0" w:space="0" w:color="auto"/>
            <w:right w:val="none" w:sz="0" w:space="0" w:color="auto"/>
          </w:divBdr>
          <w:divsChild>
            <w:div w:id="499544719">
              <w:marLeft w:val="0"/>
              <w:marRight w:val="0"/>
              <w:marTop w:val="0"/>
              <w:marBottom w:val="0"/>
              <w:divBdr>
                <w:top w:val="none" w:sz="0" w:space="0" w:color="auto"/>
                <w:left w:val="none" w:sz="0" w:space="0" w:color="auto"/>
                <w:bottom w:val="none" w:sz="0" w:space="0" w:color="auto"/>
                <w:right w:val="none" w:sz="0" w:space="0" w:color="auto"/>
              </w:divBdr>
            </w:div>
          </w:divsChild>
        </w:div>
        <w:div w:id="165097376">
          <w:marLeft w:val="0"/>
          <w:marRight w:val="0"/>
          <w:marTop w:val="0"/>
          <w:marBottom w:val="0"/>
          <w:divBdr>
            <w:top w:val="none" w:sz="0" w:space="0" w:color="auto"/>
            <w:left w:val="none" w:sz="0" w:space="0" w:color="auto"/>
            <w:bottom w:val="none" w:sz="0" w:space="0" w:color="auto"/>
            <w:right w:val="none" w:sz="0" w:space="0" w:color="auto"/>
          </w:divBdr>
          <w:divsChild>
            <w:div w:id="762183974">
              <w:marLeft w:val="0"/>
              <w:marRight w:val="0"/>
              <w:marTop w:val="0"/>
              <w:marBottom w:val="0"/>
              <w:divBdr>
                <w:top w:val="none" w:sz="0" w:space="0" w:color="auto"/>
                <w:left w:val="none" w:sz="0" w:space="0" w:color="auto"/>
                <w:bottom w:val="none" w:sz="0" w:space="0" w:color="auto"/>
                <w:right w:val="none" w:sz="0" w:space="0" w:color="auto"/>
              </w:divBdr>
            </w:div>
          </w:divsChild>
        </w:div>
        <w:div w:id="169876352">
          <w:marLeft w:val="0"/>
          <w:marRight w:val="0"/>
          <w:marTop w:val="0"/>
          <w:marBottom w:val="0"/>
          <w:divBdr>
            <w:top w:val="none" w:sz="0" w:space="0" w:color="auto"/>
            <w:left w:val="none" w:sz="0" w:space="0" w:color="auto"/>
            <w:bottom w:val="none" w:sz="0" w:space="0" w:color="auto"/>
            <w:right w:val="none" w:sz="0" w:space="0" w:color="auto"/>
          </w:divBdr>
          <w:divsChild>
            <w:div w:id="129979979">
              <w:marLeft w:val="0"/>
              <w:marRight w:val="0"/>
              <w:marTop w:val="0"/>
              <w:marBottom w:val="0"/>
              <w:divBdr>
                <w:top w:val="none" w:sz="0" w:space="0" w:color="auto"/>
                <w:left w:val="none" w:sz="0" w:space="0" w:color="auto"/>
                <w:bottom w:val="none" w:sz="0" w:space="0" w:color="auto"/>
                <w:right w:val="none" w:sz="0" w:space="0" w:color="auto"/>
              </w:divBdr>
            </w:div>
          </w:divsChild>
        </w:div>
        <w:div w:id="189026392">
          <w:marLeft w:val="0"/>
          <w:marRight w:val="0"/>
          <w:marTop w:val="0"/>
          <w:marBottom w:val="0"/>
          <w:divBdr>
            <w:top w:val="none" w:sz="0" w:space="0" w:color="auto"/>
            <w:left w:val="none" w:sz="0" w:space="0" w:color="auto"/>
            <w:bottom w:val="none" w:sz="0" w:space="0" w:color="auto"/>
            <w:right w:val="none" w:sz="0" w:space="0" w:color="auto"/>
          </w:divBdr>
          <w:divsChild>
            <w:div w:id="174733199">
              <w:marLeft w:val="0"/>
              <w:marRight w:val="0"/>
              <w:marTop w:val="0"/>
              <w:marBottom w:val="0"/>
              <w:divBdr>
                <w:top w:val="none" w:sz="0" w:space="0" w:color="auto"/>
                <w:left w:val="none" w:sz="0" w:space="0" w:color="auto"/>
                <w:bottom w:val="none" w:sz="0" w:space="0" w:color="auto"/>
                <w:right w:val="none" w:sz="0" w:space="0" w:color="auto"/>
              </w:divBdr>
            </w:div>
          </w:divsChild>
        </w:div>
        <w:div w:id="232856488">
          <w:marLeft w:val="0"/>
          <w:marRight w:val="0"/>
          <w:marTop w:val="0"/>
          <w:marBottom w:val="0"/>
          <w:divBdr>
            <w:top w:val="none" w:sz="0" w:space="0" w:color="auto"/>
            <w:left w:val="none" w:sz="0" w:space="0" w:color="auto"/>
            <w:bottom w:val="none" w:sz="0" w:space="0" w:color="auto"/>
            <w:right w:val="none" w:sz="0" w:space="0" w:color="auto"/>
          </w:divBdr>
          <w:divsChild>
            <w:div w:id="1855261170">
              <w:marLeft w:val="0"/>
              <w:marRight w:val="0"/>
              <w:marTop w:val="0"/>
              <w:marBottom w:val="0"/>
              <w:divBdr>
                <w:top w:val="none" w:sz="0" w:space="0" w:color="auto"/>
                <w:left w:val="none" w:sz="0" w:space="0" w:color="auto"/>
                <w:bottom w:val="none" w:sz="0" w:space="0" w:color="auto"/>
                <w:right w:val="none" w:sz="0" w:space="0" w:color="auto"/>
              </w:divBdr>
            </w:div>
          </w:divsChild>
        </w:div>
        <w:div w:id="298271368">
          <w:marLeft w:val="0"/>
          <w:marRight w:val="0"/>
          <w:marTop w:val="0"/>
          <w:marBottom w:val="0"/>
          <w:divBdr>
            <w:top w:val="none" w:sz="0" w:space="0" w:color="auto"/>
            <w:left w:val="none" w:sz="0" w:space="0" w:color="auto"/>
            <w:bottom w:val="none" w:sz="0" w:space="0" w:color="auto"/>
            <w:right w:val="none" w:sz="0" w:space="0" w:color="auto"/>
          </w:divBdr>
          <w:divsChild>
            <w:div w:id="661129150">
              <w:marLeft w:val="0"/>
              <w:marRight w:val="0"/>
              <w:marTop w:val="0"/>
              <w:marBottom w:val="0"/>
              <w:divBdr>
                <w:top w:val="none" w:sz="0" w:space="0" w:color="auto"/>
                <w:left w:val="none" w:sz="0" w:space="0" w:color="auto"/>
                <w:bottom w:val="none" w:sz="0" w:space="0" w:color="auto"/>
                <w:right w:val="none" w:sz="0" w:space="0" w:color="auto"/>
              </w:divBdr>
            </w:div>
            <w:div w:id="853496902">
              <w:marLeft w:val="0"/>
              <w:marRight w:val="0"/>
              <w:marTop w:val="0"/>
              <w:marBottom w:val="0"/>
              <w:divBdr>
                <w:top w:val="none" w:sz="0" w:space="0" w:color="auto"/>
                <w:left w:val="none" w:sz="0" w:space="0" w:color="auto"/>
                <w:bottom w:val="none" w:sz="0" w:space="0" w:color="auto"/>
                <w:right w:val="none" w:sz="0" w:space="0" w:color="auto"/>
              </w:divBdr>
            </w:div>
          </w:divsChild>
        </w:div>
        <w:div w:id="324746175">
          <w:marLeft w:val="0"/>
          <w:marRight w:val="0"/>
          <w:marTop w:val="0"/>
          <w:marBottom w:val="0"/>
          <w:divBdr>
            <w:top w:val="none" w:sz="0" w:space="0" w:color="auto"/>
            <w:left w:val="none" w:sz="0" w:space="0" w:color="auto"/>
            <w:bottom w:val="none" w:sz="0" w:space="0" w:color="auto"/>
            <w:right w:val="none" w:sz="0" w:space="0" w:color="auto"/>
          </w:divBdr>
          <w:divsChild>
            <w:div w:id="240988004">
              <w:marLeft w:val="0"/>
              <w:marRight w:val="0"/>
              <w:marTop w:val="0"/>
              <w:marBottom w:val="0"/>
              <w:divBdr>
                <w:top w:val="none" w:sz="0" w:space="0" w:color="auto"/>
                <w:left w:val="none" w:sz="0" w:space="0" w:color="auto"/>
                <w:bottom w:val="none" w:sz="0" w:space="0" w:color="auto"/>
                <w:right w:val="none" w:sz="0" w:space="0" w:color="auto"/>
              </w:divBdr>
            </w:div>
          </w:divsChild>
        </w:div>
        <w:div w:id="341319231">
          <w:marLeft w:val="0"/>
          <w:marRight w:val="0"/>
          <w:marTop w:val="0"/>
          <w:marBottom w:val="0"/>
          <w:divBdr>
            <w:top w:val="none" w:sz="0" w:space="0" w:color="auto"/>
            <w:left w:val="none" w:sz="0" w:space="0" w:color="auto"/>
            <w:bottom w:val="none" w:sz="0" w:space="0" w:color="auto"/>
            <w:right w:val="none" w:sz="0" w:space="0" w:color="auto"/>
          </w:divBdr>
          <w:divsChild>
            <w:div w:id="1139113326">
              <w:marLeft w:val="0"/>
              <w:marRight w:val="0"/>
              <w:marTop w:val="0"/>
              <w:marBottom w:val="0"/>
              <w:divBdr>
                <w:top w:val="none" w:sz="0" w:space="0" w:color="auto"/>
                <w:left w:val="none" w:sz="0" w:space="0" w:color="auto"/>
                <w:bottom w:val="none" w:sz="0" w:space="0" w:color="auto"/>
                <w:right w:val="none" w:sz="0" w:space="0" w:color="auto"/>
              </w:divBdr>
            </w:div>
          </w:divsChild>
        </w:div>
        <w:div w:id="446195730">
          <w:marLeft w:val="0"/>
          <w:marRight w:val="0"/>
          <w:marTop w:val="0"/>
          <w:marBottom w:val="0"/>
          <w:divBdr>
            <w:top w:val="none" w:sz="0" w:space="0" w:color="auto"/>
            <w:left w:val="none" w:sz="0" w:space="0" w:color="auto"/>
            <w:bottom w:val="none" w:sz="0" w:space="0" w:color="auto"/>
            <w:right w:val="none" w:sz="0" w:space="0" w:color="auto"/>
          </w:divBdr>
          <w:divsChild>
            <w:div w:id="982000319">
              <w:marLeft w:val="0"/>
              <w:marRight w:val="0"/>
              <w:marTop w:val="0"/>
              <w:marBottom w:val="0"/>
              <w:divBdr>
                <w:top w:val="none" w:sz="0" w:space="0" w:color="auto"/>
                <w:left w:val="none" w:sz="0" w:space="0" w:color="auto"/>
                <w:bottom w:val="none" w:sz="0" w:space="0" w:color="auto"/>
                <w:right w:val="none" w:sz="0" w:space="0" w:color="auto"/>
              </w:divBdr>
            </w:div>
            <w:div w:id="1258519615">
              <w:marLeft w:val="0"/>
              <w:marRight w:val="0"/>
              <w:marTop w:val="0"/>
              <w:marBottom w:val="0"/>
              <w:divBdr>
                <w:top w:val="none" w:sz="0" w:space="0" w:color="auto"/>
                <w:left w:val="none" w:sz="0" w:space="0" w:color="auto"/>
                <w:bottom w:val="none" w:sz="0" w:space="0" w:color="auto"/>
                <w:right w:val="none" w:sz="0" w:space="0" w:color="auto"/>
              </w:divBdr>
            </w:div>
          </w:divsChild>
        </w:div>
        <w:div w:id="602806489">
          <w:marLeft w:val="0"/>
          <w:marRight w:val="0"/>
          <w:marTop w:val="0"/>
          <w:marBottom w:val="0"/>
          <w:divBdr>
            <w:top w:val="none" w:sz="0" w:space="0" w:color="auto"/>
            <w:left w:val="none" w:sz="0" w:space="0" w:color="auto"/>
            <w:bottom w:val="none" w:sz="0" w:space="0" w:color="auto"/>
            <w:right w:val="none" w:sz="0" w:space="0" w:color="auto"/>
          </w:divBdr>
          <w:divsChild>
            <w:div w:id="918371994">
              <w:marLeft w:val="0"/>
              <w:marRight w:val="0"/>
              <w:marTop w:val="0"/>
              <w:marBottom w:val="0"/>
              <w:divBdr>
                <w:top w:val="none" w:sz="0" w:space="0" w:color="auto"/>
                <w:left w:val="none" w:sz="0" w:space="0" w:color="auto"/>
                <w:bottom w:val="none" w:sz="0" w:space="0" w:color="auto"/>
                <w:right w:val="none" w:sz="0" w:space="0" w:color="auto"/>
              </w:divBdr>
            </w:div>
          </w:divsChild>
        </w:div>
        <w:div w:id="671881166">
          <w:marLeft w:val="0"/>
          <w:marRight w:val="0"/>
          <w:marTop w:val="0"/>
          <w:marBottom w:val="0"/>
          <w:divBdr>
            <w:top w:val="none" w:sz="0" w:space="0" w:color="auto"/>
            <w:left w:val="none" w:sz="0" w:space="0" w:color="auto"/>
            <w:bottom w:val="none" w:sz="0" w:space="0" w:color="auto"/>
            <w:right w:val="none" w:sz="0" w:space="0" w:color="auto"/>
          </w:divBdr>
          <w:divsChild>
            <w:div w:id="308020452">
              <w:marLeft w:val="0"/>
              <w:marRight w:val="0"/>
              <w:marTop w:val="0"/>
              <w:marBottom w:val="0"/>
              <w:divBdr>
                <w:top w:val="none" w:sz="0" w:space="0" w:color="auto"/>
                <w:left w:val="none" w:sz="0" w:space="0" w:color="auto"/>
                <w:bottom w:val="none" w:sz="0" w:space="0" w:color="auto"/>
                <w:right w:val="none" w:sz="0" w:space="0" w:color="auto"/>
              </w:divBdr>
            </w:div>
          </w:divsChild>
        </w:div>
        <w:div w:id="723678353">
          <w:marLeft w:val="0"/>
          <w:marRight w:val="0"/>
          <w:marTop w:val="0"/>
          <w:marBottom w:val="0"/>
          <w:divBdr>
            <w:top w:val="none" w:sz="0" w:space="0" w:color="auto"/>
            <w:left w:val="none" w:sz="0" w:space="0" w:color="auto"/>
            <w:bottom w:val="none" w:sz="0" w:space="0" w:color="auto"/>
            <w:right w:val="none" w:sz="0" w:space="0" w:color="auto"/>
          </w:divBdr>
          <w:divsChild>
            <w:div w:id="476997834">
              <w:marLeft w:val="0"/>
              <w:marRight w:val="0"/>
              <w:marTop w:val="0"/>
              <w:marBottom w:val="0"/>
              <w:divBdr>
                <w:top w:val="none" w:sz="0" w:space="0" w:color="auto"/>
                <w:left w:val="none" w:sz="0" w:space="0" w:color="auto"/>
                <w:bottom w:val="none" w:sz="0" w:space="0" w:color="auto"/>
                <w:right w:val="none" w:sz="0" w:space="0" w:color="auto"/>
              </w:divBdr>
            </w:div>
          </w:divsChild>
        </w:div>
        <w:div w:id="730227697">
          <w:marLeft w:val="0"/>
          <w:marRight w:val="0"/>
          <w:marTop w:val="0"/>
          <w:marBottom w:val="0"/>
          <w:divBdr>
            <w:top w:val="none" w:sz="0" w:space="0" w:color="auto"/>
            <w:left w:val="none" w:sz="0" w:space="0" w:color="auto"/>
            <w:bottom w:val="none" w:sz="0" w:space="0" w:color="auto"/>
            <w:right w:val="none" w:sz="0" w:space="0" w:color="auto"/>
          </w:divBdr>
          <w:divsChild>
            <w:div w:id="635112673">
              <w:marLeft w:val="0"/>
              <w:marRight w:val="0"/>
              <w:marTop w:val="0"/>
              <w:marBottom w:val="0"/>
              <w:divBdr>
                <w:top w:val="none" w:sz="0" w:space="0" w:color="auto"/>
                <w:left w:val="none" w:sz="0" w:space="0" w:color="auto"/>
                <w:bottom w:val="none" w:sz="0" w:space="0" w:color="auto"/>
                <w:right w:val="none" w:sz="0" w:space="0" w:color="auto"/>
              </w:divBdr>
            </w:div>
          </w:divsChild>
        </w:div>
        <w:div w:id="754715481">
          <w:marLeft w:val="0"/>
          <w:marRight w:val="0"/>
          <w:marTop w:val="0"/>
          <w:marBottom w:val="0"/>
          <w:divBdr>
            <w:top w:val="none" w:sz="0" w:space="0" w:color="auto"/>
            <w:left w:val="none" w:sz="0" w:space="0" w:color="auto"/>
            <w:bottom w:val="none" w:sz="0" w:space="0" w:color="auto"/>
            <w:right w:val="none" w:sz="0" w:space="0" w:color="auto"/>
          </w:divBdr>
          <w:divsChild>
            <w:div w:id="1601334187">
              <w:marLeft w:val="0"/>
              <w:marRight w:val="0"/>
              <w:marTop w:val="0"/>
              <w:marBottom w:val="0"/>
              <w:divBdr>
                <w:top w:val="none" w:sz="0" w:space="0" w:color="auto"/>
                <w:left w:val="none" w:sz="0" w:space="0" w:color="auto"/>
                <w:bottom w:val="none" w:sz="0" w:space="0" w:color="auto"/>
                <w:right w:val="none" w:sz="0" w:space="0" w:color="auto"/>
              </w:divBdr>
            </w:div>
          </w:divsChild>
        </w:div>
        <w:div w:id="788551500">
          <w:marLeft w:val="0"/>
          <w:marRight w:val="0"/>
          <w:marTop w:val="0"/>
          <w:marBottom w:val="0"/>
          <w:divBdr>
            <w:top w:val="none" w:sz="0" w:space="0" w:color="auto"/>
            <w:left w:val="none" w:sz="0" w:space="0" w:color="auto"/>
            <w:bottom w:val="none" w:sz="0" w:space="0" w:color="auto"/>
            <w:right w:val="none" w:sz="0" w:space="0" w:color="auto"/>
          </w:divBdr>
          <w:divsChild>
            <w:div w:id="738943164">
              <w:marLeft w:val="0"/>
              <w:marRight w:val="0"/>
              <w:marTop w:val="0"/>
              <w:marBottom w:val="0"/>
              <w:divBdr>
                <w:top w:val="none" w:sz="0" w:space="0" w:color="auto"/>
                <w:left w:val="none" w:sz="0" w:space="0" w:color="auto"/>
                <w:bottom w:val="none" w:sz="0" w:space="0" w:color="auto"/>
                <w:right w:val="none" w:sz="0" w:space="0" w:color="auto"/>
              </w:divBdr>
            </w:div>
          </w:divsChild>
        </w:div>
        <w:div w:id="801460552">
          <w:marLeft w:val="0"/>
          <w:marRight w:val="0"/>
          <w:marTop w:val="0"/>
          <w:marBottom w:val="0"/>
          <w:divBdr>
            <w:top w:val="none" w:sz="0" w:space="0" w:color="auto"/>
            <w:left w:val="none" w:sz="0" w:space="0" w:color="auto"/>
            <w:bottom w:val="none" w:sz="0" w:space="0" w:color="auto"/>
            <w:right w:val="none" w:sz="0" w:space="0" w:color="auto"/>
          </w:divBdr>
          <w:divsChild>
            <w:div w:id="228420813">
              <w:marLeft w:val="0"/>
              <w:marRight w:val="0"/>
              <w:marTop w:val="0"/>
              <w:marBottom w:val="0"/>
              <w:divBdr>
                <w:top w:val="none" w:sz="0" w:space="0" w:color="auto"/>
                <w:left w:val="none" w:sz="0" w:space="0" w:color="auto"/>
                <w:bottom w:val="none" w:sz="0" w:space="0" w:color="auto"/>
                <w:right w:val="none" w:sz="0" w:space="0" w:color="auto"/>
              </w:divBdr>
            </w:div>
          </w:divsChild>
        </w:div>
        <w:div w:id="1038356499">
          <w:marLeft w:val="0"/>
          <w:marRight w:val="0"/>
          <w:marTop w:val="0"/>
          <w:marBottom w:val="0"/>
          <w:divBdr>
            <w:top w:val="none" w:sz="0" w:space="0" w:color="auto"/>
            <w:left w:val="none" w:sz="0" w:space="0" w:color="auto"/>
            <w:bottom w:val="none" w:sz="0" w:space="0" w:color="auto"/>
            <w:right w:val="none" w:sz="0" w:space="0" w:color="auto"/>
          </w:divBdr>
          <w:divsChild>
            <w:div w:id="1293749857">
              <w:marLeft w:val="0"/>
              <w:marRight w:val="0"/>
              <w:marTop w:val="0"/>
              <w:marBottom w:val="0"/>
              <w:divBdr>
                <w:top w:val="none" w:sz="0" w:space="0" w:color="auto"/>
                <w:left w:val="none" w:sz="0" w:space="0" w:color="auto"/>
                <w:bottom w:val="none" w:sz="0" w:space="0" w:color="auto"/>
                <w:right w:val="none" w:sz="0" w:space="0" w:color="auto"/>
              </w:divBdr>
            </w:div>
          </w:divsChild>
        </w:div>
        <w:div w:id="1055666543">
          <w:marLeft w:val="0"/>
          <w:marRight w:val="0"/>
          <w:marTop w:val="0"/>
          <w:marBottom w:val="0"/>
          <w:divBdr>
            <w:top w:val="none" w:sz="0" w:space="0" w:color="auto"/>
            <w:left w:val="none" w:sz="0" w:space="0" w:color="auto"/>
            <w:bottom w:val="none" w:sz="0" w:space="0" w:color="auto"/>
            <w:right w:val="none" w:sz="0" w:space="0" w:color="auto"/>
          </w:divBdr>
          <w:divsChild>
            <w:div w:id="1507674239">
              <w:marLeft w:val="0"/>
              <w:marRight w:val="0"/>
              <w:marTop w:val="0"/>
              <w:marBottom w:val="0"/>
              <w:divBdr>
                <w:top w:val="none" w:sz="0" w:space="0" w:color="auto"/>
                <w:left w:val="none" w:sz="0" w:space="0" w:color="auto"/>
                <w:bottom w:val="none" w:sz="0" w:space="0" w:color="auto"/>
                <w:right w:val="none" w:sz="0" w:space="0" w:color="auto"/>
              </w:divBdr>
            </w:div>
          </w:divsChild>
        </w:div>
        <w:div w:id="1110709440">
          <w:marLeft w:val="0"/>
          <w:marRight w:val="0"/>
          <w:marTop w:val="0"/>
          <w:marBottom w:val="0"/>
          <w:divBdr>
            <w:top w:val="none" w:sz="0" w:space="0" w:color="auto"/>
            <w:left w:val="none" w:sz="0" w:space="0" w:color="auto"/>
            <w:bottom w:val="none" w:sz="0" w:space="0" w:color="auto"/>
            <w:right w:val="none" w:sz="0" w:space="0" w:color="auto"/>
          </w:divBdr>
          <w:divsChild>
            <w:div w:id="963926851">
              <w:marLeft w:val="0"/>
              <w:marRight w:val="0"/>
              <w:marTop w:val="0"/>
              <w:marBottom w:val="0"/>
              <w:divBdr>
                <w:top w:val="none" w:sz="0" w:space="0" w:color="auto"/>
                <w:left w:val="none" w:sz="0" w:space="0" w:color="auto"/>
                <w:bottom w:val="none" w:sz="0" w:space="0" w:color="auto"/>
                <w:right w:val="none" w:sz="0" w:space="0" w:color="auto"/>
              </w:divBdr>
            </w:div>
          </w:divsChild>
        </w:div>
        <w:div w:id="1134788016">
          <w:marLeft w:val="0"/>
          <w:marRight w:val="0"/>
          <w:marTop w:val="0"/>
          <w:marBottom w:val="0"/>
          <w:divBdr>
            <w:top w:val="none" w:sz="0" w:space="0" w:color="auto"/>
            <w:left w:val="none" w:sz="0" w:space="0" w:color="auto"/>
            <w:bottom w:val="none" w:sz="0" w:space="0" w:color="auto"/>
            <w:right w:val="none" w:sz="0" w:space="0" w:color="auto"/>
          </w:divBdr>
          <w:divsChild>
            <w:div w:id="2036617787">
              <w:marLeft w:val="0"/>
              <w:marRight w:val="0"/>
              <w:marTop w:val="0"/>
              <w:marBottom w:val="0"/>
              <w:divBdr>
                <w:top w:val="none" w:sz="0" w:space="0" w:color="auto"/>
                <w:left w:val="none" w:sz="0" w:space="0" w:color="auto"/>
                <w:bottom w:val="none" w:sz="0" w:space="0" w:color="auto"/>
                <w:right w:val="none" w:sz="0" w:space="0" w:color="auto"/>
              </w:divBdr>
            </w:div>
          </w:divsChild>
        </w:div>
        <w:div w:id="1151602877">
          <w:marLeft w:val="0"/>
          <w:marRight w:val="0"/>
          <w:marTop w:val="0"/>
          <w:marBottom w:val="0"/>
          <w:divBdr>
            <w:top w:val="none" w:sz="0" w:space="0" w:color="auto"/>
            <w:left w:val="none" w:sz="0" w:space="0" w:color="auto"/>
            <w:bottom w:val="none" w:sz="0" w:space="0" w:color="auto"/>
            <w:right w:val="none" w:sz="0" w:space="0" w:color="auto"/>
          </w:divBdr>
          <w:divsChild>
            <w:div w:id="1680040618">
              <w:marLeft w:val="0"/>
              <w:marRight w:val="0"/>
              <w:marTop w:val="0"/>
              <w:marBottom w:val="0"/>
              <w:divBdr>
                <w:top w:val="none" w:sz="0" w:space="0" w:color="auto"/>
                <w:left w:val="none" w:sz="0" w:space="0" w:color="auto"/>
                <w:bottom w:val="none" w:sz="0" w:space="0" w:color="auto"/>
                <w:right w:val="none" w:sz="0" w:space="0" w:color="auto"/>
              </w:divBdr>
            </w:div>
          </w:divsChild>
        </w:div>
        <w:div w:id="1217468103">
          <w:marLeft w:val="0"/>
          <w:marRight w:val="0"/>
          <w:marTop w:val="0"/>
          <w:marBottom w:val="0"/>
          <w:divBdr>
            <w:top w:val="none" w:sz="0" w:space="0" w:color="auto"/>
            <w:left w:val="none" w:sz="0" w:space="0" w:color="auto"/>
            <w:bottom w:val="none" w:sz="0" w:space="0" w:color="auto"/>
            <w:right w:val="none" w:sz="0" w:space="0" w:color="auto"/>
          </w:divBdr>
          <w:divsChild>
            <w:div w:id="1419790036">
              <w:marLeft w:val="0"/>
              <w:marRight w:val="0"/>
              <w:marTop w:val="0"/>
              <w:marBottom w:val="0"/>
              <w:divBdr>
                <w:top w:val="none" w:sz="0" w:space="0" w:color="auto"/>
                <w:left w:val="none" w:sz="0" w:space="0" w:color="auto"/>
                <w:bottom w:val="none" w:sz="0" w:space="0" w:color="auto"/>
                <w:right w:val="none" w:sz="0" w:space="0" w:color="auto"/>
              </w:divBdr>
            </w:div>
          </w:divsChild>
        </w:div>
        <w:div w:id="1286736356">
          <w:marLeft w:val="0"/>
          <w:marRight w:val="0"/>
          <w:marTop w:val="0"/>
          <w:marBottom w:val="0"/>
          <w:divBdr>
            <w:top w:val="none" w:sz="0" w:space="0" w:color="auto"/>
            <w:left w:val="none" w:sz="0" w:space="0" w:color="auto"/>
            <w:bottom w:val="none" w:sz="0" w:space="0" w:color="auto"/>
            <w:right w:val="none" w:sz="0" w:space="0" w:color="auto"/>
          </w:divBdr>
          <w:divsChild>
            <w:div w:id="984747871">
              <w:marLeft w:val="0"/>
              <w:marRight w:val="0"/>
              <w:marTop w:val="0"/>
              <w:marBottom w:val="0"/>
              <w:divBdr>
                <w:top w:val="none" w:sz="0" w:space="0" w:color="auto"/>
                <w:left w:val="none" w:sz="0" w:space="0" w:color="auto"/>
                <w:bottom w:val="none" w:sz="0" w:space="0" w:color="auto"/>
                <w:right w:val="none" w:sz="0" w:space="0" w:color="auto"/>
              </w:divBdr>
            </w:div>
          </w:divsChild>
        </w:div>
        <w:div w:id="1442257609">
          <w:marLeft w:val="0"/>
          <w:marRight w:val="0"/>
          <w:marTop w:val="0"/>
          <w:marBottom w:val="0"/>
          <w:divBdr>
            <w:top w:val="none" w:sz="0" w:space="0" w:color="auto"/>
            <w:left w:val="none" w:sz="0" w:space="0" w:color="auto"/>
            <w:bottom w:val="none" w:sz="0" w:space="0" w:color="auto"/>
            <w:right w:val="none" w:sz="0" w:space="0" w:color="auto"/>
          </w:divBdr>
          <w:divsChild>
            <w:div w:id="1166438503">
              <w:marLeft w:val="0"/>
              <w:marRight w:val="0"/>
              <w:marTop w:val="0"/>
              <w:marBottom w:val="0"/>
              <w:divBdr>
                <w:top w:val="none" w:sz="0" w:space="0" w:color="auto"/>
                <w:left w:val="none" w:sz="0" w:space="0" w:color="auto"/>
                <w:bottom w:val="none" w:sz="0" w:space="0" w:color="auto"/>
                <w:right w:val="none" w:sz="0" w:space="0" w:color="auto"/>
              </w:divBdr>
            </w:div>
          </w:divsChild>
        </w:div>
        <w:div w:id="1703166509">
          <w:marLeft w:val="0"/>
          <w:marRight w:val="0"/>
          <w:marTop w:val="0"/>
          <w:marBottom w:val="0"/>
          <w:divBdr>
            <w:top w:val="none" w:sz="0" w:space="0" w:color="auto"/>
            <w:left w:val="none" w:sz="0" w:space="0" w:color="auto"/>
            <w:bottom w:val="none" w:sz="0" w:space="0" w:color="auto"/>
            <w:right w:val="none" w:sz="0" w:space="0" w:color="auto"/>
          </w:divBdr>
          <w:divsChild>
            <w:div w:id="846942957">
              <w:marLeft w:val="0"/>
              <w:marRight w:val="0"/>
              <w:marTop w:val="0"/>
              <w:marBottom w:val="0"/>
              <w:divBdr>
                <w:top w:val="none" w:sz="0" w:space="0" w:color="auto"/>
                <w:left w:val="none" w:sz="0" w:space="0" w:color="auto"/>
                <w:bottom w:val="none" w:sz="0" w:space="0" w:color="auto"/>
                <w:right w:val="none" w:sz="0" w:space="0" w:color="auto"/>
              </w:divBdr>
            </w:div>
          </w:divsChild>
        </w:div>
        <w:div w:id="1814522785">
          <w:marLeft w:val="0"/>
          <w:marRight w:val="0"/>
          <w:marTop w:val="0"/>
          <w:marBottom w:val="0"/>
          <w:divBdr>
            <w:top w:val="none" w:sz="0" w:space="0" w:color="auto"/>
            <w:left w:val="none" w:sz="0" w:space="0" w:color="auto"/>
            <w:bottom w:val="none" w:sz="0" w:space="0" w:color="auto"/>
            <w:right w:val="none" w:sz="0" w:space="0" w:color="auto"/>
          </w:divBdr>
          <w:divsChild>
            <w:div w:id="863052678">
              <w:marLeft w:val="0"/>
              <w:marRight w:val="0"/>
              <w:marTop w:val="0"/>
              <w:marBottom w:val="0"/>
              <w:divBdr>
                <w:top w:val="none" w:sz="0" w:space="0" w:color="auto"/>
                <w:left w:val="none" w:sz="0" w:space="0" w:color="auto"/>
                <w:bottom w:val="none" w:sz="0" w:space="0" w:color="auto"/>
                <w:right w:val="none" w:sz="0" w:space="0" w:color="auto"/>
              </w:divBdr>
            </w:div>
          </w:divsChild>
        </w:div>
        <w:div w:id="1829244212">
          <w:marLeft w:val="0"/>
          <w:marRight w:val="0"/>
          <w:marTop w:val="0"/>
          <w:marBottom w:val="0"/>
          <w:divBdr>
            <w:top w:val="none" w:sz="0" w:space="0" w:color="auto"/>
            <w:left w:val="none" w:sz="0" w:space="0" w:color="auto"/>
            <w:bottom w:val="none" w:sz="0" w:space="0" w:color="auto"/>
            <w:right w:val="none" w:sz="0" w:space="0" w:color="auto"/>
          </w:divBdr>
          <w:divsChild>
            <w:div w:id="1804076425">
              <w:marLeft w:val="0"/>
              <w:marRight w:val="0"/>
              <w:marTop w:val="0"/>
              <w:marBottom w:val="0"/>
              <w:divBdr>
                <w:top w:val="none" w:sz="0" w:space="0" w:color="auto"/>
                <w:left w:val="none" w:sz="0" w:space="0" w:color="auto"/>
                <w:bottom w:val="none" w:sz="0" w:space="0" w:color="auto"/>
                <w:right w:val="none" w:sz="0" w:space="0" w:color="auto"/>
              </w:divBdr>
            </w:div>
          </w:divsChild>
        </w:div>
        <w:div w:id="1829665158">
          <w:marLeft w:val="0"/>
          <w:marRight w:val="0"/>
          <w:marTop w:val="0"/>
          <w:marBottom w:val="0"/>
          <w:divBdr>
            <w:top w:val="none" w:sz="0" w:space="0" w:color="auto"/>
            <w:left w:val="none" w:sz="0" w:space="0" w:color="auto"/>
            <w:bottom w:val="none" w:sz="0" w:space="0" w:color="auto"/>
            <w:right w:val="none" w:sz="0" w:space="0" w:color="auto"/>
          </w:divBdr>
          <w:divsChild>
            <w:div w:id="1449658645">
              <w:marLeft w:val="0"/>
              <w:marRight w:val="0"/>
              <w:marTop w:val="0"/>
              <w:marBottom w:val="0"/>
              <w:divBdr>
                <w:top w:val="none" w:sz="0" w:space="0" w:color="auto"/>
                <w:left w:val="none" w:sz="0" w:space="0" w:color="auto"/>
                <w:bottom w:val="none" w:sz="0" w:space="0" w:color="auto"/>
                <w:right w:val="none" w:sz="0" w:space="0" w:color="auto"/>
              </w:divBdr>
            </w:div>
          </w:divsChild>
        </w:div>
        <w:div w:id="1845821559">
          <w:marLeft w:val="0"/>
          <w:marRight w:val="0"/>
          <w:marTop w:val="0"/>
          <w:marBottom w:val="0"/>
          <w:divBdr>
            <w:top w:val="none" w:sz="0" w:space="0" w:color="auto"/>
            <w:left w:val="none" w:sz="0" w:space="0" w:color="auto"/>
            <w:bottom w:val="none" w:sz="0" w:space="0" w:color="auto"/>
            <w:right w:val="none" w:sz="0" w:space="0" w:color="auto"/>
          </w:divBdr>
          <w:divsChild>
            <w:div w:id="929317619">
              <w:marLeft w:val="0"/>
              <w:marRight w:val="0"/>
              <w:marTop w:val="0"/>
              <w:marBottom w:val="0"/>
              <w:divBdr>
                <w:top w:val="none" w:sz="0" w:space="0" w:color="auto"/>
                <w:left w:val="none" w:sz="0" w:space="0" w:color="auto"/>
                <w:bottom w:val="none" w:sz="0" w:space="0" w:color="auto"/>
                <w:right w:val="none" w:sz="0" w:space="0" w:color="auto"/>
              </w:divBdr>
            </w:div>
          </w:divsChild>
        </w:div>
        <w:div w:id="1946841514">
          <w:marLeft w:val="0"/>
          <w:marRight w:val="0"/>
          <w:marTop w:val="0"/>
          <w:marBottom w:val="0"/>
          <w:divBdr>
            <w:top w:val="none" w:sz="0" w:space="0" w:color="auto"/>
            <w:left w:val="none" w:sz="0" w:space="0" w:color="auto"/>
            <w:bottom w:val="none" w:sz="0" w:space="0" w:color="auto"/>
            <w:right w:val="none" w:sz="0" w:space="0" w:color="auto"/>
          </w:divBdr>
          <w:divsChild>
            <w:div w:id="816724472">
              <w:marLeft w:val="0"/>
              <w:marRight w:val="0"/>
              <w:marTop w:val="0"/>
              <w:marBottom w:val="0"/>
              <w:divBdr>
                <w:top w:val="none" w:sz="0" w:space="0" w:color="auto"/>
                <w:left w:val="none" w:sz="0" w:space="0" w:color="auto"/>
                <w:bottom w:val="none" w:sz="0" w:space="0" w:color="auto"/>
                <w:right w:val="none" w:sz="0" w:space="0" w:color="auto"/>
              </w:divBdr>
            </w:div>
            <w:div w:id="1842550792">
              <w:marLeft w:val="0"/>
              <w:marRight w:val="0"/>
              <w:marTop w:val="0"/>
              <w:marBottom w:val="0"/>
              <w:divBdr>
                <w:top w:val="none" w:sz="0" w:space="0" w:color="auto"/>
                <w:left w:val="none" w:sz="0" w:space="0" w:color="auto"/>
                <w:bottom w:val="none" w:sz="0" w:space="0" w:color="auto"/>
                <w:right w:val="none" w:sz="0" w:space="0" w:color="auto"/>
              </w:divBdr>
            </w:div>
          </w:divsChild>
        </w:div>
        <w:div w:id="1950503610">
          <w:marLeft w:val="0"/>
          <w:marRight w:val="0"/>
          <w:marTop w:val="0"/>
          <w:marBottom w:val="0"/>
          <w:divBdr>
            <w:top w:val="none" w:sz="0" w:space="0" w:color="auto"/>
            <w:left w:val="none" w:sz="0" w:space="0" w:color="auto"/>
            <w:bottom w:val="none" w:sz="0" w:space="0" w:color="auto"/>
            <w:right w:val="none" w:sz="0" w:space="0" w:color="auto"/>
          </w:divBdr>
          <w:divsChild>
            <w:div w:id="1469740040">
              <w:marLeft w:val="0"/>
              <w:marRight w:val="0"/>
              <w:marTop w:val="0"/>
              <w:marBottom w:val="0"/>
              <w:divBdr>
                <w:top w:val="none" w:sz="0" w:space="0" w:color="auto"/>
                <w:left w:val="none" w:sz="0" w:space="0" w:color="auto"/>
                <w:bottom w:val="none" w:sz="0" w:space="0" w:color="auto"/>
                <w:right w:val="none" w:sz="0" w:space="0" w:color="auto"/>
              </w:divBdr>
            </w:div>
          </w:divsChild>
        </w:div>
        <w:div w:id="1952273742">
          <w:marLeft w:val="0"/>
          <w:marRight w:val="0"/>
          <w:marTop w:val="0"/>
          <w:marBottom w:val="0"/>
          <w:divBdr>
            <w:top w:val="none" w:sz="0" w:space="0" w:color="auto"/>
            <w:left w:val="none" w:sz="0" w:space="0" w:color="auto"/>
            <w:bottom w:val="none" w:sz="0" w:space="0" w:color="auto"/>
            <w:right w:val="none" w:sz="0" w:space="0" w:color="auto"/>
          </w:divBdr>
          <w:divsChild>
            <w:div w:id="179053145">
              <w:marLeft w:val="0"/>
              <w:marRight w:val="0"/>
              <w:marTop w:val="0"/>
              <w:marBottom w:val="0"/>
              <w:divBdr>
                <w:top w:val="none" w:sz="0" w:space="0" w:color="auto"/>
                <w:left w:val="none" w:sz="0" w:space="0" w:color="auto"/>
                <w:bottom w:val="none" w:sz="0" w:space="0" w:color="auto"/>
                <w:right w:val="none" w:sz="0" w:space="0" w:color="auto"/>
              </w:divBdr>
            </w:div>
            <w:div w:id="919563948">
              <w:marLeft w:val="0"/>
              <w:marRight w:val="0"/>
              <w:marTop w:val="0"/>
              <w:marBottom w:val="0"/>
              <w:divBdr>
                <w:top w:val="none" w:sz="0" w:space="0" w:color="auto"/>
                <w:left w:val="none" w:sz="0" w:space="0" w:color="auto"/>
                <w:bottom w:val="none" w:sz="0" w:space="0" w:color="auto"/>
                <w:right w:val="none" w:sz="0" w:space="0" w:color="auto"/>
              </w:divBdr>
            </w:div>
          </w:divsChild>
        </w:div>
        <w:div w:id="2001228013">
          <w:marLeft w:val="0"/>
          <w:marRight w:val="0"/>
          <w:marTop w:val="0"/>
          <w:marBottom w:val="0"/>
          <w:divBdr>
            <w:top w:val="none" w:sz="0" w:space="0" w:color="auto"/>
            <w:left w:val="none" w:sz="0" w:space="0" w:color="auto"/>
            <w:bottom w:val="none" w:sz="0" w:space="0" w:color="auto"/>
            <w:right w:val="none" w:sz="0" w:space="0" w:color="auto"/>
          </w:divBdr>
          <w:divsChild>
            <w:div w:id="149563147">
              <w:marLeft w:val="0"/>
              <w:marRight w:val="0"/>
              <w:marTop w:val="0"/>
              <w:marBottom w:val="0"/>
              <w:divBdr>
                <w:top w:val="none" w:sz="0" w:space="0" w:color="auto"/>
                <w:left w:val="none" w:sz="0" w:space="0" w:color="auto"/>
                <w:bottom w:val="none" w:sz="0" w:space="0" w:color="auto"/>
                <w:right w:val="none" w:sz="0" w:space="0" w:color="auto"/>
              </w:divBdr>
            </w:div>
          </w:divsChild>
        </w:div>
        <w:div w:id="2090809815">
          <w:marLeft w:val="0"/>
          <w:marRight w:val="0"/>
          <w:marTop w:val="0"/>
          <w:marBottom w:val="0"/>
          <w:divBdr>
            <w:top w:val="none" w:sz="0" w:space="0" w:color="auto"/>
            <w:left w:val="none" w:sz="0" w:space="0" w:color="auto"/>
            <w:bottom w:val="none" w:sz="0" w:space="0" w:color="auto"/>
            <w:right w:val="none" w:sz="0" w:space="0" w:color="auto"/>
          </w:divBdr>
          <w:divsChild>
            <w:div w:id="140999849">
              <w:marLeft w:val="0"/>
              <w:marRight w:val="0"/>
              <w:marTop w:val="0"/>
              <w:marBottom w:val="0"/>
              <w:divBdr>
                <w:top w:val="none" w:sz="0" w:space="0" w:color="auto"/>
                <w:left w:val="none" w:sz="0" w:space="0" w:color="auto"/>
                <w:bottom w:val="none" w:sz="0" w:space="0" w:color="auto"/>
                <w:right w:val="none" w:sz="0" w:space="0" w:color="auto"/>
              </w:divBdr>
            </w:div>
          </w:divsChild>
        </w:div>
        <w:div w:id="2099710535">
          <w:marLeft w:val="0"/>
          <w:marRight w:val="0"/>
          <w:marTop w:val="0"/>
          <w:marBottom w:val="0"/>
          <w:divBdr>
            <w:top w:val="none" w:sz="0" w:space="0" w:color="auto"/>
            <w:left w:val="none" w:sz="0" w:space="0" w:color="auto"/>
            <w:bottom w:val="none" w:sz="0" w:space="0" w:color="auto"/>
            <w:right w:val="none" w:sz="0" w:space="0" w:color="auto"/>
          </w:divBdr>
          <w:divsChild>
            <w:div w:id="143621929">
              <w:marLeft w:val="0"/>
              <w:marRight w:val="0"/>
              <w:marTop w:val="0"/>
              <w:marBottom w:val="0"/>
              <w:divBdr>
                <w:top w:val="none" w:sz="0" w:space="0" w:color="auto"/>
                <w:left w:val="none" w:sz="0" w:space="0" w:color="auto"/>
                <w:bottom w:val="none" w:sz="0" w:space="0" w:color="auto"/>
                <w:right w:val="none" w:sz="0" w:space="0" w:color="auto"/>
              </w:divBdr>
            </w:div>
            <w:div w:id="4930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17939">
      <w:bodyDiv w:val="1"/>
      <w:marLeft w:val="0"/>
      <w:marRight w:val="0"/>
      <w:marTop w:val="0"/>
      <w:marBottom w:val="0"/>
      <w:divBdr>
        <w:top w:val="none" w:sz="0" w:space="0" w:color="auto"/>
        <w:left w:val="none" w:sz="0" w:space="0" w:color="auto"/>
        <w:bottom w:val="none" w:sz="0" w:space="0" w:color="auto"/>
        <w:right w:val="none" w:sz="0" w:space="0" w:color="auto"/>
      </w:divBdr>
    </w:div>
    <w:div w:id="26832535">
      <w:bodyDiv w:val="1"/>
      <w:marLeft w:val="0"/>
      <w:marRight w:val="0"/>
      <w:marTop w:val="0"/>
      <w:marBottom w:val="0"/>
      <w:divBdr>
        <w:top w:val="none" w:sz="0" w:space="0" w:color="auto"/>
        <w:left w:val="none" w:sz="0" w:space="0" w:color="auto"/>
        <w:bottom w:val="none" w:sz="0" w:space="0" w:color="auto"/>
        <w:right w:val="none" w:sz="0" w:space="0" w:color="auto"/>
      </w:divBdr>
      <w:divsChild>
        <w:div w:id="20980465">
          <w:marLeft w:val="0"/>
          <w:marRight w:val="0"/>
          <w:marTop w:val="0"/>
          <w:marBottom w:val="0"/>
          <w:divBdr>
            <w:top w:val="none" w:sz="0" w:space="0" w:color="auto"/>
            <w:left w:val="none" w:sz="0" w:space="0" w:color="auto"/>
            <w:bottom w:val="none" w:sz="0" w:space="0" w:color="auto"/>
            <w:right w:val="none" w:sz="0" w:space="0" w:color="auto"/>
          </w:divBdr>
          <w:divsChild>
            <w:div w:id="1795712107">
              <w:marLeft w:val="0"/>
              <w:marRight w:val="0"/>
              <w:marTop w:val="0"/>
              <w:marBottom w:val="0"/>
              <w:divBdr>
                <w:top w:val="none" w:sz="0" w:space="0" w:color="auto"/>
                <w:left w:val="none" w:sz="0" w:space="0" w:color="auto"/>
                <w:bottom w:val="none" w:sz="0" w:space="0" w:color="auto"/>
                <w:right w:val="none" w:sz="0" w:space="0" w:color="auto"/>
              </w:divBdr>
            </w:div>
          </w:divsChild>
        </w:div>
        <w:div w:id="29306025">
          <w:marLeft w:val="0"/>
          <w:marRight w:val="0"/>
          <w:marTop w:val="0"/>
          <w:marBottom w:val="0"/>
          <w:divBdr>
            <w:top w:val="none" w:sz="0" w:space="0" w:color="auto"/>
            <w:left w:val="none" w:sz="0" w:space="0" w:color="auto"/>
            <w:bottom w:val="none" w:sz="0" w:space="0" w:color="auto"/>
            <w:right w:val="none" w:sz="0" w:space="0" w:color="auto"/>
          </w:divBdr>
          <w:divsChild>
            <w:div w:id="623511349">
              <w:marLeft w:val="0"/>
              <w:marRight w:val="0"/>
              <w:marTop w:val="0"/>
              <w:marBottom w:val="0"/>
              <w:divBdr>
                <w:top w:val="none" w:sz="0" w:space="0" w:color="auto"/>
                <w:left w:val="none" w:sz="0" w:space="0" w:color="auto"/>
                <w:bottom w:val="none" w:sz="0" w:space="0" w:color="auto"/>
                <w:right w:val="none" w:sz="0" w:space="0" w:color="auto"/>
              </w:divBdr>
            </w:div>
          </w:divsChild>
        </w:div>
        <w:div w:id="117578313">
          <w:marLeft w:val="0"/>
          <w:marRight w:val="0"/>
          <w:marTop w:val="0"/>
          <w:marBottom w:val="0"/>
          <w:divBdr>
            <w:top w:val="none" w:sz="0" w:space="0" w:color="auto"/>
            <w:left w:val="none" w:sz="0" w:space="0" w:color="auto"/>
            <w:bottom w:val="none" w:sz="0" w:space="0" w:color="auto"/>
            <w:right w:val="none" w:sz="0" w:space="0" w:color="auto"/>
          </w:divBdr>
          <w:divsChild>
            <w:div w:id="1410812573">
              <w:marLeft w:val="0"/>
              <w:marRight w:val="0"/>
              <w:marTop w:val="0"/>
              <w:marBottom w:val="0"/>
              <w:divBdr>
                <w:top w:val="none" w:sz="0" w:space="0" w:color="auto"/>
                <w:left w:val="none" w:sz="0" w:space="0" w:color="auto"/>
                <w:bottom w:val="none" w:sz="0" w:space="0" w:color="auto"/>
                <w:right w:val="none" w:sz="0" w:space="0" w:color="auto"/>
              </w:divBdr>
            </w:div>
          </w:divsChild>
        </w:div>
        <w:div w:id="128282946">
          <w:marLeft w:val="0"/>
          <w:marRight w:val="0"/>
          <w:marTop w:val="0"/>
          <w:marBottom w:val="0"/>
          <w:divBdr>
            <w:top w:val="none" w:sz="0" w:space="0" w:color="auto"/>
            <w:left w:val="none" w:sz="0" w:space="0" w:color="auto"/>
            <w:bottom w:val="none" w:sz="0" w:space="0" w:color="auto"/>
            <w:right w:val="none" w:sz="0" w:space="0" w:color="auto"/>
          </w:divBdr>
          <w:divsChild>
            <w:div w:id="795878192">
              <w:marLeft w:val="0"/>
              <w:marRight w:val="0"/>
              <w:marTop w:val="0"/>
              <w:marBottom w:val="0"/>
              <w:divBdr>
                <w:top w:val="none" w:sz="0" w:space="0" w:color="auto"/>
                <w:left w:val="none" w:sz="0" w:space="0" w:color="auto"/>
                <w:bottom w:val="none" w:sz="0" w:space="0" w:color="auto"/>
                <w:right w:val="none" w:sz="0" w:space="0" w:color="auto"/>
              </w:divBdr>
            </w:div>
          </w:divsChild>
        </w:div>
        <w:div w:id="129592537">
          <w:marLeft w:val="0"/>
          <w:marRight w:val="0"/>
          <w:marTop w:val="0"/>
          <w:marBottom w:val="0"/>
          <w:divBdr>
            <w:top w:val="none" w:sz="0" w:space="0" w:color="auto"/>
            <w:left w:val="none" w:sz="0" w:space="0" w:color="auto"/>
            <w:bottom w:val="none" w:sz="0" w:space="0" w:color="auto"/>
            <w:right w:val="none" w:sz="0" w:space="0" w:color="auto"/>
          </w:divBdr>
          <w:divsChild>
            <w:div w:id="897982339">
              <w:marLeft w:val="0"/>
              <w:marRight w:val="0"/>
              <w:marTop w:val="0"/>
              <w:marBottom w:val="0"/>
              <w:divBdr>
                <w:top w:val="none" w:sz="0" w:space="0" w:color="auto"/>
                <w:left w:val="none" w:sz="0" w:space="0" w:color="auto"/>
                <w:bottom w:val="none" w:sz="0" w:space="0" w:color="auto"/>
                <w:right w:val="none" w:sz="0" w:space="0" w:color="auto"/>
              </w:divBdr>
            </w:div>
          </w:divsChild>
        </w:div>
        <w:div w:id="145051770">
          <w:marLeft w:val="0"/>
          <w:marRight w:val="0"/>
          <w:marTop w:val="0"/>
          <w:marBottom w:val="0"/>
          <w:divBdr>
            <w:top w:val="none" w:sz="0" w:space="0" w:color="auto"/>
            <w:left w:val="none" w:sz="0" w:space="0" w:color="auto"/>
            <w:bottom w:val="none" w:sz="0" w:space="0" w:color="auto"/>
            <w:right w:val="none" w:sz="0" w:space="0" w:color="auto"/>
          </w:divBdr>
          <w:divsChild>
            <w:div w:id="534804839">
              <w:marLeft w:val="0"/>
              <w:marRight w:val="0"/>
              <w:marTop w:val="0"/>
              <w:marBottom w:val="0"/>
              <w:divBdr>
                <w:top w:val="none" w:sz="0" w:space="0" w:color="auto"/>
                <w:left w:val="none" w:sz="0" w:space="0" w:color="auto"/>
                <w:bottom w:val="none" w:sz="0" w:space="0" w:color="auto"/>
                <w:right w:val="none" w:sz="0" w:space="0" w:color="auto"/>
              </w:divBdr>
            </w:div>
          </w:divsChild>
        </w:div>
        <w:div w:id="161896869">
          <w:marLeft w:val="0"/>
          <w:marRight w:val="0"/>
          <w:marTop w:val="0"/>
          <w:marBottom w:val="0"/>
          <w:divBdr>
            <w:top w:val="none" w:sz="0" w:space="0" w:color="auto"/>
            <w:left w:val="none" w:sz="0" w:space="0" w:color="auto"/>
            <w:bottom w:val="none" w:sz="0" w:space="0" w:color="auto"/>
            <w:right w:val="none" w:sz="0" w:space="0" w:color="auto"/>
          </w:divBdr>
          <w:divsChild>
            <w:div w:id="190918279">
              <w:marLeft w:val="0"/>
              <w:marRight w:val="0"/>
              <w:marTop w:val="0"/>
              <w:marBottom w:val="0"/>
              <w:divBdr>
                <w:top w:val="none" w:sz="0" w:space="0" w:color="auto"/>
                <w:left w:val="none" w:sz="0" w:space="0" w:color="auto"/>
                <w:bottom w:val="none" w:sz="0" w:space="0" w:color="auto"/>
                <w:right w:val="none" w:sz="0" w:space="0" w:color="auto"/>
              </w:divBdr>
            </w:div>
          </w:divsChild>
        </w:div>
        <w:div w:id="215434261">
          <w:marLeft w:val="0"/>
          <w:marRight w:val="0"/>
          <w:marTop w:val="0"/>
          <w:marBottom w:val="0"/>
          <w:divBdr>
            <w:top w:val="none" w:sz="0" w:space="0" w:color="auto"/>
            <w:left w:val="none" w:sz="0" w:space="0" w:color="auto"/>
            <w:bottom w:val="none" w:sz="0" w:space="0" w:color="auto"/>
            <w:right w:val="none" w:sz="0" w:space="0" w:color="auto"/>
          </w:divBdr>
          <w:divsChild>
            <w:div w:id="1276257439">
              <w:marLeft w:val="0"/>
              <w:marRight w:val="0"/>
              <w:marTop w:val="0"/>
              <w:marBottom w:val="0"/>
              <w:divBdr>
                <w:top w:val="none" w:sz="0" w:space="0" w:color="auto"/>
                <w:left w:val="none" w:sz="0" w:space="0" w:color="auto"/>
                <w:bottom w:val="none" w:sz="0" w:space="0" w:color="auto"/>
                <w:right w:val="none" w:sz="0" w:space="0" w:color="auto"/>
              </w:divBdr>
            </w:div>
          </w:divsChild>
        </w:div>
        <w:div w:id="267586118">
          <w:marLeft w:val="0"/>
          <w:marRight w:val="0"/>
          <w:marTop w:val="0"/>
          <w:marBottom w:val="0"/>
          <w:divBdr>
            <w:top w:val="none" w:sz="0" w:space="0" w:color="auto"/>
            <w:left w:val="none" w:sz="0" w:space="0" w:color="auto"/>
            <w:bottom w:val="none" w:sz="0" w:space="0" w:color="auto"/>
            <w:right w:val="none" w:sz="0" w:space="0" w:color="auto"/>
          </w:divBdr>
          <w:divsChild>
            <w:div w:id="463275135">
              <w:marLeft w:val="0"/>
              <w:marRight w:val="0"/>
              <w:marTop w:val="0"/>
              <w:marBottom w:val="0"/>
              <w:divBdr>
                <w:top w:val="none" w:sz="0" w:space="0" w:color="auto"/>
                <w:left w:val="none" w:sz="0" w:space="0" w:color="auto"/>
                <w:bottom w:val="none" w:sz="0" w:space="0" w:color="auto"/>
                <w:right w:val="none" w:sz="0" w:space="0" w:color="auto"/>
              </w:divBdr>
            </w:div>
          </w:divsChild>
        </w:div>
        <w:div w:id="286013608">
          <w:marLeft w:val="0"/>
          <w:marRight w:val="0"/>
          <w:marTop w:val="0"/>
          <w:marBottom w:val="0"/>
          <w:divBdr>
            <w:top w:val="none" w:sz="0" w:space="0" w:color="auto"/>
            <w:left w:val="none" w:sz="0" w:space="0" w:color="auto"/>
            <w:bottom w:val="none" w:sz="0" w:space="0" w:color="auto"/>
            <w:right w:val="none" w:sz="0" w:space="0" w:color="auto"/>
          </w:divBdr>
          <w:divsChild>
            <w:div w:id="1853491421">
              <w:marLeft w:val="0"/>
              <w:marRight w:val="0"/>
              <w:marTop w:val="0"/>
              <w:marBottom w:val="0"/>
              <w:divBdr>
                <w:top w:val="none" w:sz="0" w:space="0" w:color="auto"/>
                <w:left w:val="none" w:sz="0" w:space="0" w:color="auto"/>
                <w:bottom w:val="none" w:sz="0" w:space="0" w:color="auto"/>
                <w:right w:val="none" w:sz="0" w:space="0" w:color="auto"/>
              </w:divBdr>
            </w:div>
          </w:divsChild>
        </w:div>
        <w:div w:id="335038004">
          <w:marLeft w:val="0"/>
          <w:marRight w:val="0"/>
          <w:marTop w:val="0"/>
          <w:marBottom w:val="0"/>
          <w:divBdr>
            <w:top w:val="none" w:sz="0" w:space="0" w:color="auto"/>
            <w:left w:val="none" w:sz="0" w:space="0" w:color="auto"/>
            <w:bottom w:val="none" w:sz="0" w:space="0" w:color="auto"/>
            <w:right w:val="none" w:sz="0" w:space="0" w:color="auto"/>
          </w:divBdr>
          <w:divsChild>
            <w:div w:id="787967498">
              <w:marLeft w:val="0"/>
              <w:marRight w:val="0"/>
              <w:marTop w:val="0"/>
              <w:marBottom w:val="0"/>
              <w:divBdr>
                <w:top w:val="none" w:sz="0" w:space="0" w:color="auto"/>
                <w:left w:val="none" w:sz="0" w:space="0" w:color="auto"/>
                <w:bottom w:val="none" w:sz="0" w:space="0" w:color="auto"/>
                <w:right w:val="none" w:sz="0" w:space="0" w:color="auto"/>
              </w:divBdr>
            </w:div>
          </w:divsChild>
        </w:div>
        <w:div w:id="336084499">
          <w:marLeft w:val="0"/>
          <w:marRight w:val="0"/>
          <w:marTop w:val="0"/>
          <w:marBottom w:val="0"/>
          <w:divBdr>
            <w:top w:val="none" w:sz="0" w:space="0" w:color="auto"/>
            <w:left w:val="none" w:sz="0" w:space="0" w:color="auto"/>
            <w:bottom w:val="none" w:sz="0" w:space="0" w:color="auto"/>
            <w:right w:val="none" w:sz="0" w:space="0" w:color="auto"/>
          </w:divBdr>
          <w:divsChild>
            <w:div w:id="1823306133">
              <w:marLeft w:val="0"/>
              <w:marRight w:val="0"/>
              <w:marTop w:val="0"/>
              <w:marBottom w:val="0"/>
              <w:divBdr>
                <w:top w:val="none" w:sz="0" w:space="0" w:color="auto"/>
                <w:left w:val="none" w:sz="0" w:space="0" w:color="auto"/>
                <w:bottom w:val="none" w:sz="0" w:space="0" w:color="auto"/>
                <w:right w:val="none" w:sz="0" w:space="0" w:color="auto"/>
              </w:divBdr>
            </w:div>
          </w:divsChild>
        </w:div>
        <w:div w:id="341736908">
          <w:marLeft w:val="0"/>
          <w:marRight w:val="0"/>
          <w:marTop w:val="0"/>
          <w:marBottom w:val="0"/>
          <w:divBdr>
            <w:top w:val="none" w:sz="0" w:space="0" w:color="auto"/>
            <w:left w:val="none" w:sz="0" w:space="0" w:color="auto"/>
            <w:bottom w:val="none" w:sz="0" w:space="0" w:color="auto"/>
            <w:right w:val="none" w:sz="0" w:space="0" w:color="auto"/>
          </w:divBdr>
          <w:divsChild>
            <w:div w:id="1577403040">
              <w:marLeft w:val="0"/>
              <w:marRight w:val="0"/>
              <w:marTop w:val="0"/>
              <w:marBottom w:val="0"/>
              <w:divBdr>
                <w:top w:val="none" w:sz="0" w:space="0" w:color="auto"/>
                <w:left w:val="none" w:sz="0" w:space="0" w:color="auto"/>
                <w:bottom w:val="none" w:sz="0" w:space="0" w:color="auto"/>
                <w:right w:val="none" w:sz="0" w:space="0" w:color="auto"/>
              </w:divBdr>
            </w:div>
          </w:divsChild>
        </w:div>
        <w:div w:id="399183329">
          <w:marLeft w:val="0"/>
          <w:marRight w:val="0"/>
          <w:marTop w:val="0"/>
          <w:marBottom w:val="0"/>
          <w:divBdr>
            <w:top w:val="none" w:sz="0" w:space="0" w:color="auto"/>
            <w:left w:val="none" w:sz="0" w:space="0" w:color="auto"/>
            <w:bottom w:val="none" w:sz="0" w:space="0" w:color="auto"/>
            <w:right w:val="none" w:sz="0" w:space="0" w:color="auto"/>
          </w:divBdr>
          <w:divsChild>
            <w:div w:id="1594245132">
              <w:marLeft w:val="0"/>
              <w:marRight w:val="0"/>
              <w:marTop w:val="0"/>
              <w:marBottom w:val="0"/>
              <w:divBdr>
                <w:top w:val="none" w:sz="0" w:space="0" w:color="auto"/>
                <w:left w:val="none" w:sz="0" w:space="0" w:color="auto"/>
                <w:bottom w:val="none" w:sz="0" w:space="0" w:color="auto"/>
                <w:right w:val="none" w:sz="0" w:space="0" w:color="auto"/>
              </w:divBdr>
            </w:div>
          </w:divsChild>
        </w:div>
        <w:div w:id="408819406">
          <w:marLeft w:val="0"/>
          <w:marRight w:val="0"/>
          <w:marTop w:val="0"/>
          <w:marBottom w:val="0"/>
          <w:divBdr>
            <w:top w:val="none" w:sz="0" w:space="0" w:color="auto"/>
            <w:left w:val="none" w:sz="0" w:space="0" w:color="auto"/>
            <w:bottom w:val="none" w:sz="0" w:space="0" w:color="auto"/>
            <w:right w:val="none" w:sz="0" w:space="0" w:color="auto"/>
          </w:divBdr>
          <w:divsChild>
            <w:div w:id="58678246">
              <w:marLeft w:val="0"/>
              <w:marRight w:val="0"/>
              <w:marTop w:val="0"/>
              <w:marBottom w:val="0"/>
              <w:divBdr>
                <w:top w:val="none" w:sz="0" w:space="0" w:color="auto"/>
                <w:left w:val="none" w:sz="0" w:space="0" w:color="auto"/>
                <w:bottom w:val="none" w:sz="0" w:space="0" w:color="auto"/>
                <w:right w:val="none" w:sz="0" w:space="0" w:color="auto"/>
              </w:divBdr>
            </w:div>
          </w:divsChild>
        </w:div>
        <w:div w:id="422529586">
          <w:marLeft w:val="0"/>
          <w:marRight w:val="0"/>
          <w:marTop w:val="0"/>
          <w:marBottom w:val="0"/>
          <w:divBdr>
            <w:top w:val="none" w:sz="0" w:space="0" w:color="auto"/>
            <w:left w:val="none" w:sz="0" w:space="0" w:color="auto"/>
            <w:bottom w:val="none" w:sz="0" w:space="0" w:color="auto"/>
            <w:right w:val="none" w:sz="0" w:space="0" w:color="auto"/>
          </w:divBdr>
          <w:divsChild>
            <w:div w:id="1525366519">
              <w:marLeft w:val="0"/>
              <w:marRight w:val="0"/>
              <w:marTop w:val="0"/>
              <w:marBottom w:val="0"/>
              <w:divBdr>
                <w:top w:val="none" w:sz="0" w:space="0" w:color="auto"/>
                <w:left w:val="none" w:sz="0" w:space="0" w:color="auto"/>
                <w:bottom w:val="none" w:sz="0" w:space="0" w:color="auto"/>
                <w:right w:val="none" w:sz="0" w:space="0" w:color="auto"/>
              </w:divBdr>
            </w:div>
          </w:divsChild>
        </w:div>
        <w:div w:id="560791714">
          <w:marLeft w:val="0"/>
          <w:marRight w:val="0"/>
          <w:marTop w:val="0"/>
          <w:marBottom w:val="0"/>
          <w:divBdr>
            <w:top w:val="none" w:sz="0" w:space="0" w:color="auto"/>
            <w:left w:val="none" w:sz="0" w:space="0" w:color="auto"/>
            <w:bottom w:val="none" w:sz="0" w:space="0" w:color="auto"/>
            <w:right w:val="none" w:sz="0" w:space="0" w:color="auto"/>
          </w:divBdr>
          <w:divsChild>
            <w:div w:id="1508061952">
              <w:marLeft w:val="0"/>
              <w:marRight w:val="0"/>
              <w:marTop w:val="0"/>
              <w:marBottom w:val="0"/>
              <w:divBdr>
                <w:top w:val="none" w:sz="0" w:space="0" w:color="auto"/>
                <w:left w:val="none" w:sz="0" w:space="0" w:color="auto"/>
                <w:bottom w:val="none" w:sz="0" w:space="0" w:color="auto"/>
                <w:right w:val="none" w:sz="0" w:space="0" w:color="auto"/>
              </w:divBdr>
            </w:div>
          </w:divsChild>
        </w:div>
        <w:div w:id="636492193">
          <w:marLeft w:val="0"/>
          <w:marRight w:val="0"/>
          <w:marTop w:val="0"/>
          <w:marBottom w:val="0"/>
          <w:divBdr>
            <w:top w:val="none" w:sz="0" w:space="0" w:color="auto"/>
            <w:left w:val="none" w:sz="0" w:space="0" w:color="auto"/>
            <w:bottom w:val="none" w:sz="0" w:space="0" w:color="auto"/>
            <w:right w:val="none" w:sz="0" w:space="0" w:color="auto"/>
          </w:divBdr>
          <w:divsChild>
            <w:div w:id="938292232">
              <w:marLeft w:val="0"/>
              <w:marRight w:val="0"/>
              <w:marTop w:val="0"/>
              <w:marBottom w:val="0"/>
              <w:divBdr>
                <w:top w:val="none" w:sz="0" w:space="0" w:color="auto"/>
                <w:left w:val="none" w:sz="0" w:space="0" w:color="auto"/>
                <w:bottom w:val="none" w:sz="0" w:space="0" w:color="auto"/>
                <w:right w:val="none" w:sz="0" w:space="0" w:color="auto"/>
              </w:divBdr>
            </w:div>
          </w:divsChild>
        </w:div>
        <w:div w:id="679551110">
          <w:marLeft w:val="0"/>
          <w:marRight w:val="0"/>
          <w:marTop w:val="0"/>
          <w:marBottom w:val="0"/>
          <w:divBdr>
            <w:top w:val="none" w:sz="0" w:space="0" w:color="auto"/>
            <w:left w:val="none" w:sz="0" w:space="0" w:color="auto"/>
            <w:bottom w:val="none" w:sz="0" w:space="0" w:color="auto"/>
            <w:right w:val="none" w:sz="0" w:space="0" w:color="auto"/>
          </w:divBdr>
          <w:divsChild>
            <w:div w:id="1631594917">
              <w:marLeft w:val="0"/>
              <w:marRight w:val="0"/>
              <w:marTop w:val="0"/>
              <w:marBottom w:val="0"/>
              <w:divBdr>
                <w:top w:val="none" w:sz="0" w:space="0" w:color="auto"/>
                <w:left w:val="none" w:sz="0" w:space="0" w:color="auto"/>
                <w:bottom w:val="none" w:sz="0" w:space="0" w:color="auto"/>
                <w:right w:val="none" w:sz="0" w:space="0" w:color="auto"/>
              </w:divBdr>
            </w:div>
          </w:divsChild>
        </w:div>
        <w:div w:id="773864804">
          <w:marLeft w:val="0"/>
          <w:marRight w:val="0"/>
          <w:marTop w:val="0"/>
          <w:marBottom w:val="0"/>
          <w:divBdr>
            <w:top w:val="none" w:sz="0" w:space="0" w:color="auto"/>
            <w:left w:val="none" w:sz="0" w:space="0" w:color="auto"/>
            <w:bottom w:val="none" w:sz="0" w:space="0" w:color="auto"/>
            <w:right w:val="none" w:sz="0" w:space="0" w:color="auto"/>
          </w:divBdr>
          <w:divsChild>
            <w:div w:id="404110908">
              <w:marLeft w:val="0"/>
              <w:marRight w:val="0"/>
              <w:marTop w:val="0"/>
              <w:marBottom w:val="0"/>
              <w:divBdr>
                <w:top w:val="none" w:sz="0" w:space="0" w:color="auto"/>
                <w:left w:val="none" w:sz="0" w:space="0" w:color="auto"/>
                <w:bottom w:val="none" w:sz="0" w:space="0" w:color="auto"/>
                <w:right w:val="none" w:sz="0" w:space="0" w:color="auto"/>
              </w:divBdr>
            </w:div>
          </w:divsChild>
        </w:div>
        <w:div w:id="980235018">
          <w:marLeft w:val="0"/>
          <w:marRight w:val="0"/>
          <w:marTop w:val="0"/>
          <w:marBottom w:val="0"/>
          <w:divBdr>
            <w:top w:val="none" w:sz="0" w:space="0" w:color="auto"/>
            <w:left w:val="none" w:sz="0" w:space="0" w:color="auto"/>
            <w:bottom w:val="none" w:sz="0" w:space="0" w:color="auto"/>
            <w:right w:val="none" w:sz="0" w:space="0" w:color="auto"/>
          </w:divBdr>
          <w:divsChild>
            <w:div w:id="1384720468">
              <w:marLeft w:val="0"/>
              <w:marRight w:val="0"/>
              <w:marTop w:val="0"/>
              <w:marBottom w:val="0"/>
              <w:divBdr>
                <w:top w:val="none" w:sz="0" w:space="0" w:color="auto"/>
                <w:left w:val="none" w:sz="0" w:space="0" w:color="auto"/>
                <w:bottom w:val="none" w:sz="0" w:space="0" w:color="auto"/>
                <w:right w:val="none" w:sz="0" w:space="0" w:color="auto"/>
              </w:divBdr>
            </w:div>
          </w:divsChild>
        </w:div>
        <w:div w:id="989792365">
          <w:marLeft w:val="0"/>
          <w:marRight w:val="0"/>
          <w:marTop w:val="0"/>
          <w:marBottom w:val="0"/>
          <w:divBdr>
            <w:top w:val="none" w:sz="0" w:space="0" w:color="auto"/>
            <w:left w:val="none" w:sz="0" w:space="0" w:color="auto"/>
            <w:bottom w:val="none" w:sz="0" w:space="0" w:color="auto"/>
            <w:right w:val="none" w:sz="0" w:space="0" w:color="auto"/>
          </w:divBdr>
          <w:divsChild>
            <w:div w:id="65996568">
              <w:marLeft w:val="0"/>
              <w:marRight w:val="0"/>
              <w:marTop w:val="0"/>
              <w:marBottom w:val="0"/>
              <w:divBdr>
                <w:top w:val="none" w:sz="0" w:space="0" w:color="auto"/>
                <w:left w:val="none" w:sz="0" w:space="0" w:color="auto"/>
                <w:bottom w:val="none" w:sz="0" w:space="0" w:color="auto"/>
                <w:right w:val="none" w:sz="0" w:space="0" w:color="auto"/>
              </w:divBdr>
            </w:div>
          </w:divsChild>
        </w:div>
        <w:div w:id="1006398500">
          <w:marLeft w:val="0"/>
          <w:marRight w:val="0"/>
          <w:marTop w:val="0"/>
          <w:marBottom w:val="0"/>
          <w:divBdr>
            <w:top w:val="none" w:sz="0" w:space="0" w:color="auto"/>
            <w:left w:val="none" w:sz="0" w:space="0" w:color="auto"/>
            <w:bottom w:val="none" w:sz="0" w:space="0" w:color="auto"/>
            <w:right w:val="none" w:sz="0" w:space="0" w:color="auto"/>
          </w:divBdr>
          <w:divsChild>
            <w:div w:id="937952391">
              <w:marLeft w:val="0"/>
              <w:marRight w:val="0"/>
              <w:marTop w:val="0"/>
              <w:marBottom w:val="0"/>
              <w:divBdr>
                <w:top w:val="none" w:sz="0" w:space="0" w:color="auto"/>
                <w:left w:val="none" w:sz="0" w:space="0" w:color="auto"/>
                <w:bottom w:val="none" w:sz="0" w:space="0" w:color="auto"/>
                <w:right w:val="none" w:sz="0" w:space="0" w:color="auto"/>
              </w:divBdr>
            </w:div>
          </w:divsChild>
        </w:div>
        <w:div w:id="1019813535">
          <w:marLeft w:val="0"/>
          <w:marRight w:val="0"/>
          <w:marTop w:val="0"/>
          <w:marBottom w:val="0"/>
          <w:divBdr>
            <w:top w:val="none" w:sz="0" w:space="0" w:color="auto"/>
            <w:left w:val="none" w:sz="0" w:space="0" w:color="auto"/>
            <w:bottom w:val="none" w:sz="0" w:space="0" w:color="auto"/>
            <w:right w:val="none" w:sz="0" w:space="0" w:color="auto"/>
          </w:divBdr>
          <w:divsChild>
            <w:div w:id="1872377488">
              <w:marLeft w:val="0"/>
              <w:marRight w:val="0"/>
              <w:marTop w:val="0"/>
              <w:marBottom w:val="0"/>
              <w:divBdr>
                <w:top w:val="none" w:sz="0" w:space="0" w:color="auto"/>
                <w:left w:val="none" w:sz="0" w:space="0" w:color="auto"/>
                <w:bottom w:val="none" w:sz="0" w:space="0" w:color="auto"/>
                <w:right w:val="none" w:sz="0" w:space="0" w:color="auto"/>
              </w:divBdr>
            </w:div>
          </w:divsChild>
        </w:div>
        <w:div w:id="1080367178">
          <w:marLeft w:val="0"/>
          <w:marRight w:val="0"/>
          <w:marTop w:val="0"/>
          <w:marBottom w:val="0"/>
          <w:divBdr>
            <w:top w:val="none" w:sz="0" w:space="0" w:color="auto"/>
            <w:left w:val="none" w:sz="0" w:space="0" w:color="auto"/>
            <w:bottom w:val="none" w:sz="0" w:space="0" w:color="auto"/>
            <w:right w:val="none" w:sz="0" w:space="0" w:color="auto"/>
          </w:divBdr>
          <w:divsChild>
            <w:div w:id="462307568">
              <w:marLeft w:val="0"/>
              <w:marRight w:val="0"/>
              <w:marTop w:val="0"/>
              <w:marBottom w:val="0"/>
              <w:divBdr>
                <w:top w:val="none" w:sz="0" w:space="0" w:color="auto"/>
                <w:left w:val="none" w:sz="0" w:space="0" w:color="auto"/>
                <w:bottom w:val="none" w:sz="0" w:space="0" w:color="auto"/>
                <w:right w:val="none" w:sz="0" w:space="0" w:color="auto"/>
              </w:divBdr>
            </w:div>
          </w:divsChild>
        </w:div>
        <w:div w:id="1099184611">
          <w:marLeft w:val="0"/>
          <w:marRight w:val="0"/>
          <w:marTop w:val="0"/>
          <w:marBottom w:val="0"/>
          <w:divBdr>
            <w:top w:val="none" w:sz="0" w:space="0" w:color="auto"/>
            <w:left w:val="none" w:sz="0" w:space="0" w:color="auto"/>
            <w:bottom w:val="none" w:sz="0" w:space="0" w:color="auto"/>
            <w:right w:val="none" w:sz="0" w:space="0" w:color="auto"/>
          </w:divBdr>
          <w:divsChild>
            <w:div w:id="1945530114">
              <w:marLeft w:val="0"/>
              <w:marRight w:val="0"/>
              <w:marTop w:val="0"/>
              <w:marBottom w:val="0"/>
              <w:divBdr>
                <w:top w:val="none" w:sz="0" w:space="0" w:color="auto"/>
                <w:left w:val="none" w:sz="0" w:space="0" w:color="auto"/>
                <w:bottom w:val="none" w:sz="0" w:space="0" w:color="auto"/>
                <w:right w:val="none" w:sz="0" w:space="0" w:color="auto"/>
              </w:divBdr>
            </w:div>
          </w:divsChild>
        </w:div>
        <w:div w:id="1130200082">
          <w:marLeft w:val="0"/>
          <w:marRight w:val="0"/>
          <w:marTop w:val="0"/>
          <w:marBottom w:val="0"/>
          <w:divBdr>
            <w:top w:val="none" w:sz="0" w:space="0" w:color="auto"/>
            <w:left w:val="none" w:sz="0" w:space="0" w:color="auto"/>
            <w:bottom w:val="none" w:sz="0" w:space="0" w:color="auto"/>
            <w:right w:val="none" w:sz="0" w:space="0" w:color="auto"/>
          </w:divBdr>
          <w:divsChild>
            <w:div w:id="230581210">
              <w:marLeft w:val="0"/>
              <w:marRight w:val="0"/>
              <w:marTop w:val="0"/>
              <w:marBottom w:val="0"/>
              <w:divBdr>
                <w:top w:val="none" w:sz="0" w:space="0" w:color="auto"/>
                <w:left w:val="none" w:sz="0" w:space="0" w:color="auto"/>
                <w:bottom w:val="none" w:sz="0" w:space="0" w:color="auto"/>
                <w:right w:val="none" w:sz="0" w:space="0" w:color="auto"/>
              </w:divBdr>
            </w:div>
          </w:divsChild>
        </w:div>
        <w:div w:id="1179589133">
          <w:marLeft w:val="0"/>
          <w:marRight w:val="0"/>
          <w:marTop w:val="0"/>
          <w:marBottom w:val="0"/>
          <w:divBdr>
            <w:top w:val="none" w:sz="0" w:space="0" w:color="auto"/>
            <w:left w:val="none" w:sz="0" w:space="0" w:color="auto"/>
            <w:bottom w:val="none" w:sz="0" w:space="0" w:color="auto"/>
            <w:right w:val="none" w:sz="0" w:space="0" w:color="auto"/>
          </w:divBdr>
          <w:divsChild>
            <w:div w:id="1025013737">
              <w:marLeft w:val="0"/>
              <w:marRight w:val="0"/>
              <w:marTop w:val="0"/>
              <w:marBottom w:val="0"/>
              <w:divBdr>
                <w:top w:val="none" w:sz="0" w:space="0" w:color="auto"/>
                <w:left w:val="none" w:sz="0" w:space="0" w:color="auto"/>
                <w:bottom w:val="none" w:sz="0" w:space="0" w:color="auto"/>
                <w:right w:val="none" w:sz="0" w:space="0" w:color="auto"/>
              </w:divBdr>
            </w:div>
          </w:divsChild>
        </w:div>
        <w:div w:id="1227833735">
          <w:marLeft w:val="0"/>
          <w:marRight w:val="0"/>
          <w:marTop w:val="0"/>
          <w:marBottom w:val="0"/>
          <w:divBdr>
            <w:top w:val="none" w:sz="0" w:space="0" w:color="auto"/>
            <w:left w:val="none" w:sz="0" w:space="0" w:color="auto"/>
            <w:bottom w:val="none" w:sz="0" w:space="0" w:color="auto"/>
            <w:right w:val="none" w:sz="0" w:space="0" w:color="auto"/>
          </w:divBdr>
          <w:divsChild>
            <w:div w:id="1311521531">
              <w:marLeft w:val="0"/>
              <w:marRight w:val="0"/>
              <w:marTop w:val="0"/>
              <w:marBottom w:val="0"/>
              <w:divBdr>
                <w:top w:val="none" w:sz="0" w:space="0" w:color="auto"/>
                <w:left w:val="none" w:sz="0" w:space="0" w:color="auto"/>
                <w:bottom w:val="none" w:sz="0" w:space="0" w:color="auto"/>
                <w:right w:val="none" w:sz="0" w:space="0" w:color="auto"/>
              </w:divBdr>
            </w:div>
          </w:divsChild>
        </w:div>
        <w:div w:id="1262490828">
          <w:marLeft w:val="0"/>
          <w:marRight w:val="0"/>
          <w:marTop w:val="0"/>
          <w:marBottom w:val="0"/>
          <w:divBdr>
            <w:top w:val="none" w:sz="0" w:space="0" w:color="auto"/>
            <w:left w:val="none" w:sz="0" w:space="0" w:color="auto"/>
            <w:bottom w:val="none" w:sz="0" w:space="0" w:color="auto"/>
            <w:right w:val="none" w:sz="0" w:space="0" w:color="auto"/>
          </w:divBdr>
          <w:divsChild>
            <w:div w:id="1033111748">
              <w:marLeft w:val="0"/>
              <w:marRight w:val="0"/>
              <w:marTop w:val="0"/>
              <w:marBottom w:val="0"/>
              <w:divBdr>
                <w:top w:val="none" w:sz="0" w:space="0" w:color="auto"/>
                <w:left w:val="none" w:sz="0" w:space="0" w:color="auto"/>
                <w:bottom w:val="none" w:sz="0" w:space="0" w:color="auto"/>
                <w:right w:val="none" w:sz="0" w:space="0" w:color="auto"/>
              </w:divBdr>
            </w:div>
          </w:divsChild>
        </w:div>
        <w:div w:id="1329096551">
          <w:marLeft w:val="0"/>
          <w:marRight w:val="0"/>
          <w:marTop w:val="0"/>
          <w:marBottom w:val="0"/>
          <w:divBdr>
            <w:top w:val="none" w:sz="0" w:space="0" w:color="auto"/>
            <w:left w:val="none" w:sz="0" w:space="0" w:color="auto"/>
            <w:bottom w:val="none" w:sz="0" w:space="0" w:color="auto"/>
            <w:right w:val="none" w:sz="0" w:space="0" w:color="auto"/>
          </w:divBdr>
          <w:divsChild>
            <w:div w:id="605307327">
              <w:marLeft w:val="0"/>
              <w:marRight w:val="0"/>
              <w:marTop w:val="0"/>
              <w:marBottom w:val="0"/>
              <w:divBdr>
                <w:top w:val="none" w:sz="0" w:space="0" w:color="auto"/>
                <w:left w:val="none" w:sz="0" w:space="0" w:color="auto"/>
                <w:bottom w:val="none" w:sz="0" w:space="0" w:color="auto"/>
                <w:right w:val="none" w:sz="0" w:space="0" w:color="auto"/>
              </w:divBdr>
            </w:div>
          </w:divsChild>
        </w:div>
        <w:div w:id="1352336742">
          <w:marLeft w:val="0"/>
          <w:marRight w:val="0"/>
          <w:marTop w:val="0"/>
          <w:marBottom w:val="0"/>
          <w:divBdr>
            <w:top w:val="none" w:sz="0" w:space="0" w:color="auto"/>
            <w:left w:val="none" w:sz="0" w:space="0" w:color="auto"/>
            <w:bottom w:val="none" w:sz="0" w:space="0" w:color="auto"/>
            <w:right w:val="none" w:sz="0" w:space="0" w:color="auto"/>
          </w:divBdr>
          <w:divsChild>
            <w:div w:id="63576164">
              <w:marLeft w:val="0"/>
              <w:marRight w:val="0"/>
              <w:marTop w:val="0"/>
              <w:marBottom w:val="0"/>
              <w:divBdr>
                <w:top w:val="none" w:sz="0" w:space="0" w:color="auto"/>
                <w:left w:val="none" w:sz="0" w:space="0" w:color="auto"/>
                <w:bottom w:val="none" w:sz="0" w:space="0" w:color="auto"/>
                <w:right w:val="none" w:sz="0" w:space="0" w:color="auto"/>
              </w:divBdr>
            </w:div>
          </w:divsChild>
        </w:div>
        <w:div w:id="1410888913">
          <w:marLeft w:val="0"/>
          <w:marRight w:val="0"/>
          <w:marTop w:val="0"/>
          <w:marBottom w:val="0"/>
          <w:divBdr>
            <w:top w:val="none" w:sz="0" w:space="0" w:color="auto"/>
            <w:left w:val="none" w:sz="0" w:space="0" w:color="auto"/>
            <w:bottom w:val="none" w:sz="0" w:space="0" w:color="auto"/>
            <w:right w:val="none" w:sz="0" w:space="0" w:color="auto"/>
          </w:divBdr>
          <w:divsChild>
            <w:div w:id="1557929221">
              <w:marLeft w:val="0"/>
              <w:marRight w:val="0"/>
              <w:marTop w:val="0"/>
              <w:marBottom w:val="0"/>
              <w:divBdr>
                <w:top w:val="none" w:sz="0" w:space="0" w:color="auto"/>
                <w:left w:val="none" w:sz="0" w:space="0" w:color="auto"/>
                <w:bottom w:val="none" w:sz="0" w:space="0" w:color="auto"/>
                <w:right w:val="none" w:sz="0" w:space="0" w:color="auto"/>
              </w:divBdr>
            </w:div>
          </w:divsChild>
        </w:div>
        <w:div w:id="1434589841">
          <w:marLeft w:val="0"/>
          <w:marRight w:val="0"/>
          <w:marTop w:val="0"/>
          <w:marBottom w:val="0"/>
          <w:divBdr>
            <w:top w:val="none" w:sz="0" w:space="0" w:color="auto"/>
            <w:left w:val="none" w:sz="0" w:space="0" w:color="auto"/>
            <w:bottom w:val="none" w:sz="0" w:space="0" w:color="auto"/>
            <w:right w:val="none" w:sz="0" w:space="0" w:color="auto"/>
          </w:divBdr>
          <w:divsChild>
            <w:div w:id="950087395">
              <w:marLeft w:val="0"/>
              <w:marRight w:val="0"/>
              <w:marTop w:val="0"/>
              <w:marBottom w:val="0"/>
              <w:divBdr>
                <w:top w:val="none" w:sz="0" w:space="0" w:color="auto"/>
                <w:left w:val="none" w:sz="0" w:space="0" w:color="auto"/>
                <w:bottom w:val="none" w:sz="0" w:space="0" w:color="auto"/>
                <w:right w:val="none" w:sz="0" w:space="0" w:color="auto"/>
              </w:divBdr>
            </w:div>
          </w:divsChild>
        </w:div>
        <w:div w:id="1463310348">
          <w:marLeft w:val="0"/>
          <w:marRight w:val="0"/>
          <w:marTop w:val="0"/>
          <w:marBottom w:val="0"/>
          <w:divBdr>
            <w:top w:val="none" w:sz="0" w:space="0" w:color="auto"/>
            <w:left w:val="none" w:sz="0" w:space="0" w:color="auto"/>
            <w:bottom w:val="none" w:sz="0" w:space="0" w:color="auto"/>
            <w:right w:val="none" w:sz="0" w:space="0" w:color="auto"/>
          </w:divBdr>
          <w:divsChild>
            <w:div w:id="327370529">
              <w:marLeft w:val="0"/>
              <w:marRight w:val="0"/>
              <w:marTop w:val="0"/>
              <w:marBottom w:val="0"/>
              <w:divBdr>
                <w:top w:val="none" w:sz="0" w:space="0" w:color="auto"/>
                <w:left w:val="none" w:sz="0" w:space="0" w:color="auto"/>
                <w:bottom w:val="none" w:sz="0" w:space="0" w:color="auto"/>
                <w:right w:val="none" w:sz="0" w:space="0" w:color="auto"/>
              </w:divBdr>
            </w:div>
          </w:divsChild>
        </w:div>
        <w:div w:id="1471361299">
          <w:marLeft w:val="0"/>
          <w:marRight w:val="0"/>
          <w:marTop w:val="0"/>
          <w:marBottom w:val="0"/>
          <w:divBdr>
            <w:top w:val="none" w:sz="0" w:space="0" w:color="auto"/>
            <w:left w:val="none" w:sz="0" w:space="0" w:color="auto"/>
            <w:bottom w:val="none" w:sz="0" w:space="0" w:color="auto"/>
            <w:right w:val="none" w:sz="0" w:space="0" w:color="auto"/>
          </w:divBdr>
          <w:divsChild>
            <w:div w:id="24060486">
              <w:marLeft w:val="0"/>
              <w:marRight w:val="0"/>
              <w:marTop w:val="0"/>
              <w:marBottom w:val="0"/>
              <w:divBdr>
                <w:top w:val="none" w:sz="0" w:space="0" w:color="auto"/>
                <w:left w:val="none" w:sz="0" w:space="0" w:color="auto"/>
                <w:bottom w:val="none" w:sz="0" w:space="0" w:color="auto"/>
                <w:right w:val="none" w:sz="0" w:space="0" w:color="auto"/>
              </w:divBdr>
            </w:div>
          </w:divsChild>
        </w:div>
        <w:div w:id="1521966921">
          <w:marLeft w:val="0"/>
          <w:marRight w:val="0"/>
          <w:marTop w:val="0"/>
          <w:marBottom w:val="0"/>
          <w:divBdr>
            <w:top w:val="none" w:sz="0" w:space="0" w:color="auto"/>
            <w:left w:val="none" w:sz="0" w:space="0" w:color="auto"/>
            <w:bottom w:val="none" w:sz="0" w:space="0" w:color="auto"/>
            <w:right w:val="none" w:sz="0" w:space="0" w:color="auto"/>
          </w:divBdr>
          <w:divsChild>
            <w:div w:id="1336347881">
              <w:marLeft w:val="0"/>
              <w:marRight w:val="0"/>
              <w:marTop w:val="0"/>
              <w:marBottom w:val="0"/>
              <w:divBdr>
                <w:top w:val="none" w:sz="0" w:space="0" w:color="auto"/>
                <w:left w:val="none" w:sz="0" w:space="0" w:color="auto"/>
                <w:bottom w:val="none" w:sz="0" w:space="0" w:color="auto"/>
                <w:right w:val="none" w:sz="0" w:space="0" w:color="auto"/>
              </w:divBdr>
            </w:div>
          </w:divsChild>
        </w:div>
        <w:div w:id="1551844198">
          <w:marLeft w:val="0"/>
          <w:marRight w:val="0"/>
          <w:marTop w:val="0"/>
          <w:marBottom w:val="0"/>
          <w:divBdr>
            <w:top w:val="none" w:sz="0" w:space="0" w:color="auto"/>
            <w:left w:val="none" w:sz="0" w:space="0" w:color="auto"/>
            <w:bottom w:val="none" w:sz="0" w:space="0" w:color="auto"/>
            <w:right w:val="none" w:sz="0" w:space="0" w:color="auto"/>
          </w:divBdr>
          <w:divsChild>
            <w:div w:id="1153789712">
              <w:marLeft w:val="0"/>
              <w:marRight w:val="0"/>
              <w:marTop w:val="0"/>
              <w:marBottom w:val="0"/>
              <w:divBdr>
                <w:top w:val="none" w:sz="0" w:space="0" w:color="auto"/>
                <w:left w:val="none" w:sz="0" w:space="0" w:color="auto"/>
                <w:bottom w:val="none" w:sz="0" w:space="0" w:color="auto"/>
                <w:right w:val="none" w:sz="0" w:space="0" w:color="auto"/>
              </w:divBdr>
            </w:div>
          </w:divsChild>
        </w:div>
        <w:div w:id="1559318826">
          <w:marLeft w:val="0"/>
          <w:marRight w:val="0"/>
          <w:marTop w:val="0"/>
          <w:marBottom w:val="0"/>
          <w:divBdr>
            <w:top w:val="none" w:sz="0" w:space="0" w:color="auto"/>
            <w:left w:val="none" w:sz="0" w:space="0" w:color="auto"/>
            <w:bottom w:val="none" w:sz="0" w:space="0" w:color="auto"/>
            <w:right w:val="none" w:sz="0" w:space="0" w:color="auto"/>
          </w:divBdr>
          <w:divsChild>
            <w:div w:id="127673696">
              <w:marLeft w:val="0"/>
              <w:marRight w:val="0"/>
              <w:marTop w:val="0"/>
              <w:marBottom w:val="0"/>
              <w:divBdr>
                <w:top w:val="none" w:sz="0" w:space="0" w:color="auto"/>
                <w:left w:val="none" w:sz="0" w:space="0" w:color="auto"/>
                <w:bottom w:val="none" w:sz="0" w:space="0" w:color="auto"/>
                <w:right w:val="none" w:sz="0" w:space="0" w:color="auto"/>
              </w:divBdr>
            </w:div>
          </w:divsChild>
        </w:div>
        <w:div w:id="1584412025">
          <w:marLeft w:val="0"/>
          <w:marRight w:val="0"/>
          <w:marTop w:val="0"/>
          <w:marBottom w:val="0"/>
          <w:divBdr>
            <w:top w:val="none" w:sz="0" w:space="0" w:color="auto"/>
            <w:left w:val="none" w:sz="0" w:space="0" w:color="auto"/>
            <w:bottom w:val="none" w:sz="0" w:space="0" w:color="auto"/>
            <w:right w:val="none" w:sz="0" w:space="0" w:color="auto"/>
          </w:divBdr>
          <w:divsChild>
            <w:div w:id="497305731">
              <w:marLeft w:val="0"/>
              <w:marRight w:val="0"/>
              <w:marTop w:val="0"/>
              <w:marBottom w:val="0"/>
              <w:divBdr>
                <w:top w:val="none" w:sz="0" w:space="0" w:color="auto"/>
                <w:left w:val="none" w:sz="0" w:space="0" w:color="auto"/>
                <w:bottom w:val="none" w:sz="0" w:space="0" w:color="auto"/>
                <w:right w:val="none" w:sz="0" w:space="0" w:color="auto"/>
              </w:divBdr>
            </w:div>
          </w:divsChild>
        </w:div>
        <w:div w:id="1653558917">
          <w:marLeft w:val="0"/>
          <w:marRight w:val="0"/>
          <w:marTop w:val="0"/>
          <w:marBottom w:val="0"/>
          <w:divBdr>
            <w:top w:val="none" w:sz="0" w:space="0" w:color="auto"/>
            <w:left w:val="none" w:sz="0" w:space="0" w:color="auto"/>
            <w:bottom w:val="none" w:sz="0" w:space="0" w:color="auto"/>
            <w:right w:val="none" w:sz="0" w:space="0" w:color="auto"/>
          </w:divBdr>
          <w:divsChild>
            <w:div w:id="1294944680">
              <w:marLeft w:val="0"/>
              <w:marRight w:val="0"/>
              <w:marTop w:val="0"/>
              <w:marBottom w:val="0"/>
              <w:divBdr>
                <w:top w:val="none" w:sz="0" w:space="0" w:color="auto"/>
                <w:left w:val="none" w:sz="0" w:space="0" w:color="auto"/>
                <w:bottom w:val="none" w:sz="0" w:space="0" w:color="auto"/>
                <w:right w:val="none" w:sz="0" w:space="0" w:color="auto"/>
              </w:divBdr>
            </w:div>
          </w:divsChild>
        </w:div>
        <w:div w:id="1796949792">
          <w:marLeft w:val="0"/>
          <w:marRight w:val="0"/>
          <w:marTop w:val="0"/>
          <w:marBottom w:val="0"/>
          <w:divBdr>
            <w:top w:val="none" w:sz="0" w:space="0" w:color="auto"/>
            <w:left w:val="none" w:sz="0" w:space="0" w:color="auto"/>
            <w:bottom w:val="none" w:sz="0" w:space="0" w:color="auto"/>
            <w:right w:val="none" w:sz="0" w:space="0" w:color="auto"/>
          </w:divBdr>
          <w:divsChild>
            <w:div w:id="787168279">
              <w:marLeft w:val="0"/>
              <w:marRight w:val="0"/>
              <w:marTop w:val="0"/>
              <w:marBottom w:val="0"/>
              <w:divBdr>
                <w:top w:val="none" w:sz="0" w:space="0" w:color="auto"/>
                <w:left w:val="none" w:sz="0" w:space="0" w:color="auto"/>
                <w:bottom w:val="none" w:sz="0" w:space="0" w:color="auto"/>
                <w:right w:val="none" w:sz="0" w:space="0" w:color="auto"/>
              </w:divBdr>
            </w:div>
          </w:divsChild>
        </w:div>
        <w:div w:id="1853179509">
          <w:marLeft w:val="0"/>
          <w:marRight w:val="0"/>
          <w:marTop w:val="0"/>
          <w:marBottom w:val="0"/>
          <w:divBdr>
            <w:top w:val="none" w:sz="0" w:space="0" w:color="auto"/>
            <w:left w:val="none" w:sz="0" w:space="0" w:color="auto"/>
            <w:bottom w:val="none" w:sz="0" w:space="0" w:color="auto"/>
            <w:right w:val="none" w:sz="0" w:space="0" w:color="auto"/>
          </w:divBdr>
          <w:divsChild>
            <w:div w:id="1183594166">
              <w:marLeft w:val="0"/>
              <w:marRight w:val="0"/>
              <w:marTop w:val="0"/>
              <w:marBottom w:val="0"/>
              <w:divBdr>
                <w:top w:val="none" w:sz="0" w:space="0" w:color="auto"/>
                <w:left w:val="none" w:sz="0" w:space="0" w:color="auto"/>
                <w:bottom w:val="none" w:sz="0" w:space="0" w:color="auto"/>
                <w:right w:val="none" w:sz="0" w:space="0" w:color="auto"/>
              </w:divBdr>
            </w:div>
          </w:divsChild>
        </w:div>
        <w:div w:id="1853765236">
          <w:marLeft w:val="0"/>
          <w:marRight w:val="0"/>
          <w:marTop w:val="0"/>
          <w:marBottom w:val="0"/>
          <w:divBdr>
            <w:top w:val="none" w:sz="0" w:space="0" w:color="auto"/>
            <w:left w:val="none" w:sz="0" w:space="0" w:color="auto"/>
            <w:bottom w:val="none" w:sz="0" w:space="0" w:color="auto"/>
            <w:right w:val="none" w:sz="0" w:space="0" w:color="auto"/>
          </w:divBdr>
          <w:divsChild>
            <w:div w:id="1970815437">
              <w:marLeft w:val="0"/>
              <w:marRight w:val="0"/>
              <w:marTop w:val="0"/>
              <w:marBottom w:val="0"/>
              <w:divBdr>
                <w:top w:val="none" w:sz="0" w:space="0" w:color="auto"/>
                <w:left w:val="none" w:sz="0" w:space="0" w:color="auto"/>
                <w:bottom w:val="none" w:sz="0" w:space="0" w:color="auto"/>
                <w:right w:val="none" w:sz="0" w:space="0" w:color="auto"/>
              </w:divBdr>
            </w:div>
          </w:divsChild>
        </w:div>
        <w:div w:id="1868445328">
          <w:marLeft w:val="0"/>
          <w:marRight w:val="0"/>
          <w:marTop w:val="0"/>
          <w:marBottom w:val="0"/>
          <w:divBdr>
            <w:top w:val="none" w:sz="0" w:space="0" w:color="auto"/>
            <w:left w:val="none" w:sz="0" w:space="0" w:color="auto"/>
            <w:bottom w:val="none" w:sz="0" w:space="0" w:color="auto"/>
            <w:right w:val="none" w:sz="0" w:space="0" w:color="auto"/>
          </w:divBdr>
          <w:divsChild>
            <w:div w:id="1846168257">
              <w:marLeft w:val="0"/>
              <w:marRight w:val="0"/>
              <w:marTop w:val="0"/>
              <w:marBottom w:val="0"/>
              <w:divBdr>
                <w:top w:val="none" w:sz="0" w:space="0" w:color="auto"/>
                <w:left w:val="none" w:sz="0" w:space="0" w:color="auto"/>
                <w:bottom w:val="none" w:sz="0" w:space="0" w:color="auto"/>
                <w:right w:val="none" w:sz="0" w:space="0" w:color="auto"/>
              </w:divBdr>
            </w:div>
          </w:divsChild>
        </w:div>
        <w:div w:id="1869178075">
          <w:marLeft w:val="0"/>
          <w:marRight w:val="0"/>
          <w:marTop w:val="0"/>
          <w:marBottom w:val="0"/>
          <w:divBdr>
            <w:top w:val="none" w:sz="0" w:space="0" w:color="auto"/>
            <w:left w:val="none" w:sz="0" w:space="0" w:color="auto"/>
            <w:bottom w:val="none" w:sz="0" w:space="0" w:color="auto"/>
            <w:right w:val="none" w:sz="0" w:space="0" w:color="auto"/>
          </w:divBdr>
          <w:divsChild>
            <w:div w:id="1269049573">
              <w:marLeft w:val="0"/>
              <w:marRight w:val="0"/>
              <w:marTop w:val="0"/>
              <w:marBottom w:val="0"/>
              <w:divBdr>
                <w:top w:val="none" w:sz="0" w:space="0" w:color="auto"/>
                <w:left w:val="none" w:sz="0" w:space="0" w:color="auto"/>
                <w:bottom w:val="none" w:sz="0" w:space="0" w:color="auto"/>
                <w:right w:val="none" w:sz="0" w:space="0" w:color="auto"/>
              </w:divBdr>
            </w:div>
          </w:divsChild>
        </w:div>
        <w:div w:id="1955087372">
          <w:marLeft w:val="0"/>
          <w:marRight w:val="0"/>
          <w:marTop w:val="0"/>
          <w:marBottom w:val="0"/>
          <w:divBdr>
            <w:top w:val="none" w:sz="0" w:space="0" w:color="auto"/>
            <w:left w:val="none" w:sz="0" w:space="0" w:color="auto"/>
            <w:bottom w:val="none" w:sz="0" w:space="0" w:color="auto"/>
            <w:right w:val="none" w:sz="0" w:space="0" w:color="auto"/>
          </w:divBdr>
          <w:divsChild>
            <w:div w:id="1651252232">
              <w:marLeft w:val="0"/>
              <w:marRight w:val="0"/>
              <w:marTop w:val="0"/>
              <w:marBottom w:val="0"/>
              <w:divBdr>
                <w:top w:val="none" w:sz="0" w:space="0" w:color="auto"/>
                <w:left w:val="none" w:sz="0" w:space="0" w:color="auto"/>
                <w:bottom w:val="none" w:sz="0" w:space="0" w:color="auto"/>
                <w:right w:val="none" w:sz="0" w:space="0" w:color="auto"/>
              </w:divBdr>
            </w:div>
          </w:divsChild>
        </w:div>
        <w:div w:id="2060664666">
          <w:marLeft w:val="0"/>
          <w:marRight w:val="0"/>
          <w:marTop w:val="0"/>
          <w:marBottom w:val="0"/>
          <w:divBdr>
            <w:top w:val="none" w:sz="0" w:space="0" w:color="auto"/>
            <w:left w:val="none" w:sz="0" w:space="0" w:color="auto"/>
            <w:bottom w:val="none" w:sz="0" w:space="0" w:color="auto"/>
            <w:right w:val="none" w:sz="0" w:space="0" w:color="auto"/>
          </w:divBdr>
          <w:divsChild>
            <w:div w:id="1456868649">
              <w:marLeft w:val="0"/>
              <w:marRight w:val="0"/>
              <w:marTop w:val="0"/>
              <w:marBottom w:val="0"/>
              <w:divBdr>
                <w:top w:val="none" w:sz="0" w:space="0" w:color="auto"/>
                <w:left w:val="none" w:sz="0" w:space="0" w:color="auto"/>
                <w:bottom w:val="none" w:sz="0" w:space="0" w:color="auto"/>
                <w:right w:val="none" w:sz="0" w:space="0" w:color="auto"/>
              </w:divBdr>
            </w:div>
          </w:divsChild>
        </w:div>
        <w:div w:id="2090544270">
          <w:marLeft w:val="0"/>
          <w:marRight w:val="0"/>
          <w:marTop w:val="0"/>
          <w:marBottom w:val="0"/>
          <w:divBdr>
            <w:top w:val="none" w:sz="0" w:space="0" w:color="auto"/>
            <w:left w:val="none" w:sz="0" w:space="0" w:color="auto"/>
            <w:bottom w:val="none" w:sz="0" w:space="0" w:color="auto"/>
            <w:right w:val="none" w:sz="0" w:space="0" w:color="auto"/>
          </w:divBdr>
          <w:divsChild>
            <w:div w:id="1589728549">
              <w:marLeft w:val="0"/>
              <w:marRight w:val="0"/>
              <w:marTop w:val="0"/>
              <w:marBottom w:val="0"/>
              <w:divBdr>
                <w:top w:val="none" w:sz="0" w:space="0" w:color="auto"/>
                <w:left w:val="none" w:sz="0" w:space="0" w:color="auto"/>
                <w:bottom w:val="none" w:sz="0" w:space="0" w:color="auto"/>
                <w:right w:val="none" w:sz="0" w:space="0" w:color="auto"/>
              </w:divBdr>
            </w:div>
          </w:divsChild>
        </w:div>
        <w:div w:id="2099133305">
          <w:marLeft w:val="0"/>
          <w:marRight w:val="0"/>
          <w:marTop w:val="0"/>
          <w:marBottom w:val="0"/>
          <w:divBdr>
            <w:top w:val="none" w:sz="0" w:space="0" w:color="auto"/>
            <w:left w:val="none" w:sz="0" w:space="0" w:color="auto"/>
            <w:bottom w:val="none" w:sz="0" w:space="0" w:color="auto"/>
            <w:right w:val="none" w:sz="0" w:space="0" w:color="auto"/>
          </w:divBdr>
          <w:divsChild>
            <w:div w:id="1679238093">
              <w:marLeft w:val="0"/>
              <w:marRight w:val="0"/>
              <w:marTop w:val="0"/>
              <w:marBottom w:val="0"/>
              <w:divBdr>
                <w:top w:val="none" w:sz="0" w:space="0" w:color="auto"/>
                <w:left w:val="none" w:sz="0" w:space="0" w:color="auto"/>
                <w:bottom w:val="none" w:sz="0" w:space="0" w:color="auto"/>
                <w:right w:val="none" w:sz="0" w:space="0" w:color="auto"/>
              </w:divBdr>
            </w:div>
          </w:divsChild>
        </w:div>
        <w:div w:id="2110739326">
          <w:marLeft w:val="0"/>
          <w:marRight w:val="0"/>
          <w:marTop w:val="0"/>
          <w:marBottom w:val="0"/>
          <w:divBdr>
            <w:top w:val="none" w:sz="0" w:space="0" w:color="auto"/>
            <w:left w:val="none" w:sz="0" w:space="0" w:color="auto"/>
            <w:bottom w:val="none" w:sz="0" w:space="0" w:color="auto"/>
            <w:right w:val="none" w:sz="0" w:space="0" w:color="auto"/>
          </w:divBdr>
          <w:divsChild>
            <w:div w:id="10912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52599">
      <w:bodyDiv w:val="1"/>
      <w:marLeft w:val="0"/>
      <w:marRight w:val="0"/>
      <w:marTop w:val="0"/>
      <w:marBottom w:val="0"/>
      <w:divBdr>
        <w:top w:val="none" w:sz="0" w:space="0" w:color="auto"/>
        <w:left w:val="none" w:sz="0" w:space="0" w:color="auto"/>
        <w:bottom w:val="none" w:sz="0" w:space="0" w:color="auto"/>
        <w:right w:val="none" w:sz="0" w:space="0" w:color="auto"/>
      </w:divBdr>
    </w:div>
    <w:div w:id="65997811">
      <w:bodyDiv w:val="1"/>
      <w:marLeft w:val="0"/>
      <w:marRight w:val="0"/>
      <w:marTop w:val="0"/>
      <w:marBottom w:val="0"/>
      <w:divBdr>
        <w:top w:val="none" w:sz="0" w:space="0" w:color="auto"/>
        <w:left w:val="none" w:sz="0" w:space="0" w:color="auto"/>
        <w:bottom w:val="none" w:sz="0" w:space="0" w:color="auto"/>
        <w:right w:val="none" w:sz="0" w:space="0" w:color="auto"/>
      </w:divBdr>
      <w:divsChild>
        <w:div w:id="160583623">
          <w:marLeft w:val="0"/>
          <w:marRight w:val="0"/>
          <w:marTop w:val="0"/>
          <w:marBottom w:val="0"/>
          <w:divBdr>
            <w:top w:val="none" w:sz="0" w:space="0" w:color="auto"/>
            <w:left w:val="none" w:sz="0" w:space="0" w:color="auto"/>
            <w:bottom w:val="none" w:sz="0" w:space="0" w:color="auto"/>
            <w:right w:val="none" w:sz="0" w:space="0" w:color="auto"/>
          </w:divBdr>
          <w:divsChild>
            <w:div w:id="1455444988">
              <w:marLeft w:val="0"/>
              <w:marRight w:val="0"/>
              <w:marTop w:val="0"/>
              <w:marBottom w:val="0"/>
              <w:divBdr>
                <w:top w:val="none" w:sz="0" w:space="0" w:color="auto"/>
                <w:left w:val="none" w:sz="0" w:space="0" w:color="auto"/>
                <w:bottom w:val="none" w:sz="0" w:space="0" w:color="auto"/>
                <w:right w:val="none" w:sz="0" w:space="0" w:color="auto"/>
              </w:divBdr>
            </w:div>
          </w:divsChild>
        </w:div>
        <w:div w:id="766081024">
          <w:marLeft w:val="0"/>
          <w:marRight w:val="0"/>
          <w:marTop w:val="0"/>
          <w:marBottom w:val="0"/>
          <w:divBdr>
            <w:top w:val="none" w:sz="0" w:space="0" w:color="auto"/>
            <w:left w:val="none" w:sz="0" w:space="0" w:color="auto"/>
            <w:bottom w:val="none" w:sz="0" w:space="0" w:color="auto"/>
            <w:right w:val="none" w:sz="0" w:space="0" w:color="auto"/>
          </w:divBdr>
          <w:divsChild>
            <w:div w:id="241529188">
              <w:marLeft w:val="0"/>
              <w:marRight w:val="0"/>
              <w:marTop w:val="0"/>
              <w:marBottom w:val="0"/>
              <w:divBdr>
                <w:top w:val="none" w:sz="0" w:space="0" w:color="auto"/>
                <w:left w:val="none" w:sz="0" w:space="0" w:color="auto"/>
                <w:bottom w:val="none" w:sz="0" w:space="0" w:color="auto"/>
                <w:right w:val="none" w:sz="0" w:space="0" w:color="auto"/>
              </w:divBdr>
            </w:div>
          </w:divsChild>
        </w:div>
        <w:div w:id="788089912">
          <w:marLeft w:val="0"/>
          <w:marRight w:val="0"/>
          <w:marTop w:val="0"/>
          <w:marBottom w:val="0"/>
          <w:divBdr>
            <w:top w:val="none" w:sz="0" w:space="0" w:color="auto"/>
            <w:left w:val="none" w:sz="0" w:space="0" w:color="auto"/>
            <w:bottom w:val="none" w:sz="0" w:space="0" w:color="auto"/>
            <w:right w:val="none" w:sz="0" w:space="0" w:color="auto"/>
          </w:divBdr>
          <w:divsChild>
            <w:div w:id="148520849">
              <w:marLeft w:val="0"/>
              <w:marRight w:val="0"/>
              <w:marTop w:val="0"/>
              <w:marBottom w:val="0"/>
              <w:divBdr>
                <w:top w:val="none" w:sz="0" w:space="0" w:color="auto"/>
                <w:left w:val="none" w:sz="0" w:space="0" w:color="auto"/>
                <w:bottom w:val="none" w:sz="0" w:space="0" w:color="auto"/>
                <w:right w:val="none" w:sz="0" w:space="0" w:color="auto"/>
              </w:divBdr>
            </w:div>
          </w:divsChild>
        </w:div>
        <w:div w:id="826433925">
          <w:marLeft w:val="0"/>
          <w:marRight w:val="0"/>
          <w:marTop w:val="0"/>
          <w:marBottom w:val="0"/>
          <w:divBdr>
            <w:top w:val="none" w:sz="0" w:space="0" w:color="auto"/>
            <w:left w:val="none" w:sz="0" w:space="0" w:color="auto"/>
            <w:bottom w:val="none" w:sz="0" w:space="0" w:color="auto"/>
            <w:right w:val="none" w:sz="0" w:space="0" w:color="auto"/>
          </w:divBdr>
          <w:divsChild>
            <w:div w:id="180363851">
              <w:marLeft w:val="0"/>
              <w:marRight w:val="0"/>
              <w:marTop w:val="0"/>
              <w:marBottom w:val="0"/>
              <w:divBdr>
                <w:top w:val="none" w:sz="0" w:space="0" w:color="auto"/>
                <w:left w:val="none" w:sz="0" w:space="0" w:color="auto"/>
                <w:bottom w:val="none" w:sz="0" w:space="0" w:color="auto"/>
                <w:right w:val="none" w:sz="0" w:space="0" w:color="auto"/>
              </w:divBdr>
            </w:div>
            <w:div w:id="370422390">
              <w:marLeft w:val="0"/>
              <w:marRight w:val="0"/>
              <w:marTop w:val="0"/>
              <w:marBottom w:val="0"/>
              <w:divBdr>
                <w:top w:val="none" w:sz="0" w:space="0" w:color="auto"/>
                <w:left w:val="none" w:sz="0" w:space="0" w:color="auto"/>
                <w:bottom w:val="none" w:sz="0" w:space="0" w:color="auto"/>
                <w:right w:val="none" w:sz="0" w:space="0" w:color="auto"/>
              </w:divBdr>
            </w:div>
            <w:div w:id="2008092770">
              <w:marLeft w:val="0"/>
              <w:marRight w:val="0"/>
              <w:marTop w:val="0"/>
              <w:marBottom w:val="0"/>
              <w:divBdr>
                <w:top w:val="none" w:sz="0" w:space="0" w:color="auto"/>
                <w:left w:val="none" w:sz="0" w:space="0" w:color="auto"/>
                <w:bottom w:val="none" w:sz="0" w:space="0" w:color="auto"/>
                <w:right w:val="none" w:sz="0" w:space="0" w:color="auto"/>
              </w:divBdr>
            </w:div>
          </w:divsChild>
        </w:div>
        <w:div w:id="989947755">
          <w:marLeft w:val="0"/>
          <w:marRight w:val="0"/>
          <w:marTop w:val="0"/>
          <w:marBottom w:val="0"/>
          <w:divBdr>
            <w:top w:val="none" w:sz="0" w:space="0" w:color="auto"/>
            <w:left w:val="none" w:sz="0" w:space="0" w:color="auto"/>
            <w:bottom w:val="none" w:sz="0" w:space="0" w:color="auto"/>
            <w:right w:val="none" w:sz="0" w:space="0" w:color="auto"/>
          </w:divBdr>
          <w:divsChild>
            <w:div w:id="299698238">
              <w:marLeft w:val="0"/>
              <w:marRight w:val="0"/>
              <w:marTop w:val="0"/>
              <w:marBottom w:val="0"/>
              <w:divBdr>
                <w:top w:val="none" w:sz="0" w:space="0" w:color="auto"/>
                <w:left w:val="none" w:sz="0" w:space="0" w:color="auto"/>
                <w:bottom w:val="none" w:sz="0" w:space="0" w:color="auto"/>
                <w:right w:val="none" w:sz="0" w:space="0" w:color="auto"/>
              </w:divBdr>
            </w:div>
          </w:divsChild>
        </w:div>
        <w:div w:id="1140153153">
          <w:marLeft w:val="0"/>
          <w:marRight w:val="0"/>
          <w:marTop w:val="0"/>
          <w:marBottom w:val="0"/>
          <w:divBdr>
            <w:top w:val="none" w:sz="0" w:space="0" w:color="auto"/>
            <w:left w:val="none" w:sz="0" w:space="0" w:color="auto"/>
            <w:bottom w:val="none" w:sz="0" w:space="0" w:color="auto"/>
            <w:right w:val="none" w:sz="0" w:space="0" w:color="auto"/>
          </w:divBdr>
          <w:divsChild>
            <w:div w:id="424037243">
              <w:marLeft w:val="0"/>
              <w:marRight w:val="0"/>
              <w:marTop w:val="0"/>
              <w:marBottom w:val="0"/>
              <w:divBdr>
                <w:top w:val="none" w:sz="0" w:space="0" w:color="auto"/>
                <w:left w:val="none" w:sz="0" w:space="0" w:color="auto"/>
                <w:bottom w:val="none" w:sz="0" w:space="0" w:color="auto"/>
                <w:right w:val="none" w:sz="0" w:space="0" w:color="auto"/>
              </w:divBdr>
            </w:div>
          </w:divsChild>
        </w:div>
        <w:div w:id="1141456554">
          <w:marLeft w:val="0"/>
          <w:marRight w:val="0"/>
          <w:marTop w:val="0"/>
          <w:marBottom w:val="0"/>
          <w:divBdr>
            <w:top w:val="none" w:sz="0" w:space="0" w:color="auto"/>
            <w:left w:val="none" w:sz="0" w:space="0" w:color="auto"/>
            <w:bottom w:val="none" w:sz="0" w:space="0" w:color="auto"/>
            <w:right w:val="none" w:sz="0" w:space="0" w:color="auto"/>
          </w:divBdr>
          <w:divsChild>
            <w:div w:id="139738666">
              <w:marLeft w:val="0"/>
              <w:marRight w:val="0"/>
              <w:marTop w:val="0"/>
              <w:marBottom w:val="0"/>
              <w:divBdr>
                <w:top w:val="none" w:sz="0" w:space="0" w:color="auto"/>
                <w:left w:val="none" w:sz="0" w:space="0" w:color="auto"/>
                <w:bottom w:val="none" w:sz="0" w:space="0" w:color="auto"/>
                <w:right w:val="none" w:sz="0" w:space="0" w:color="auto"/>
              </w:divBdr>
            </w:div>
            <w:div w:id="832110987">
              <w:marLeft w:val="0"/>
              <w:marRight w:val="0"/>
              <w:marTop w:val="0"/>
              <w:marBottom w:val="0"/>
              <w:divBdr>
                <w:top w:val="none" w:sz="0" w:space="0" w:color="auto"/>
                <w:left w:val="none" w:sz="0" w:space="0" w:color="auto"/>
                <w:bottom w:val="none" w:sz="0" w:space="0" w:color="auto"/>
                <w:right w:val="none" w:sz="0" w:space="0" w:color="auto"/>
              </w:divBdr>
            </w:div>
            <w:div w:id="1169253878">
              <w:marLeft w:val="0"/>
              <w:marRight w:val="0"/>
              <w:marTop w:val="0"/>
              <w:marBottom w:val="0"/>
              <w:divBdr>
                <w:top w:val="none" w:sz="0" w:space="0" w:color="auto"/>
                <w:left w:val="none" w:sz="0" w:space="0" w:color="auto"/>
                <w:bottom w:val="none" w:sz="0" w:space="0" w:color="auto"/>
                <w:right w:val="none" w:sz="0" w:space="0" w:color="auto"/>
              </w:divBdr>
            </w:div>
            <w:div w:id="1974169506">
              <w:marLeft w:val="0"/>
              <w:marRight w:val="0"/>
              <w:marTop w:val="0"/>
              <w:marBottom w:val="0"/>
              <w:divBdr>
                <w:top w:val="none" w:sz="0" w:space="0" w:color="auto"/>
                <w:left w:val="none" w:sz="0" w:space="0" w:color="auto"/>
                <w:bottom w:val="none" w:sz="0" w:space="0" w:color="auto"/>
                <w:right w:val="none" w:sz="0" w:space="0" w:color="auto"/>
              </w:divBdr>
            </w:div>
          </w:divsChild>
        </w:div>
        <w:div w:id="1212426683">
          <w:marLeft w:val="0"/>
          <w:marRight w:val="0"/>
          <w:marTop w:val="0"/>
          <w:marBottom w:val="0"/>
          <w:divBdr>
            <w:top w:val="none" w:sz="0" w:space="0" w:color="auto"/>
            <w:left w:val="none" w:sz="0" w:space="0" w:color="auto"/>
            <w:bottom w:val="none" w:sz="0" w:space="0" w:color="auto"/>
            <w:right w:val="none" w:sz="0" w:space="0" w:color="auto"/>
          </w:divBdr>
          <w:divsChild>
            <w:div w:id="616525062">
              <w:marLeft w:val="0"/>
              <w:marRight w:val="0"/>
              <w:marTop w:val="0"/>
              <w:marBottom w:val="0"/>
              <w:divBdr>
                <w:top w:val="none" w:sz="0" w:space="0" w:color="auto"/>
                <w:left w:val="none" w:sz="0" w:space="0" w:color="auto"/>
                <w:bottom w:val="none" w:sz="0" w:space="0" w:color="auto"/>
                <w:right w:val="none" w:sz="0" w:space="0" w:color="auto"/>
              </w:divBdr>
            </w:div>
            <w:div w:id="626737188">
              <w:marLeft w:val="0"/>
              <w:marRight w:val="0"/>
              <w:marTop w:val="0"/>
              <w:marBottom w:val="0"/>
              <w:divBdr>
                <w:top w:val="none" w:sz="0" w:space="0" w:color="auto"/>
                <w:left w:val="none" w:sz="0" w:space="0" w:color="auto"/>
                <w:bottom w:val="none" w:sz="0" w:space="0" w:color="auto"/>
                <w:right w:val="none" w:sz="0" w:space="0" w:color="auto"/>
              </w:divBdr>
            </w:div>
          </w:divsChild>
        </w:div>
        <w:div w:id="1519080591">
          <w:marLeft w:val="0"/>
          <w:marRight w:val="0"/>
          <w:marTop w:val="0"/>
          <w:marBottom w:val="0"/>
          <w:divBdr>
            <w:top w:val="none" w:sz="0" w:space="0" w:color="auto"/>
            <w:left w:val="none" w:sz="0" w:space="0" w:color="auto"/>
            <w:bottom w:val="none" w:sz="0" w:space="0" w:color="auto"/>
            <w:right w:val="none" w:sz="0" w:space="0" w:color="auto"/>
          </w:divBdr>
          <w:divsChild>
            <w:div w:id="833179823">
              <w:marLeft w:val="0"/>
              <w:marRight w:val="0"/>
              <w:marTop w:val="0"/>
              <w:marBottom w:val="0"/>
              <w:divBdr>
                <w:top w:val="none" w:sz="0" w:space="0" w:color="auto"/>
                <w:left w:val="none" w:sz="0" w:space="0" w:color="auto"/>
                <w:bottom w:val="none" w:sz="0" w:space="0" w:color="auto"/>
                <w:right w:val="none" w:sz="0" w:space="0" w:color="auto"/>
              </w:divBdr>
            </w:div>
          </w:divsChild>
        </w:div>
        <w:div w:id="1555771441">
          <w:marLeft w:val="0"/>
          <w:marRight w:val="0"/>
          <w:marTop w:val="0"/>
          <w:marBottom w:val="0"/>
          <w:divBdr>
            <w:top w:val="none" w:sz="0" w:space="0" w:color="auto"/>
            <w:left w:val="none" w:sz="0" w:space="0" w:color="auto"/>
            <w:bottom w:val="none" w:sz="0" w:space="0" w:color="auto"/>
            <w:right w:val="none" w:sz="0" w:space="0" w:color="auto"/>
          </w:divBdr>
          <w:divsChild>
            <w:div w:id="227764969">
              <w:marLeft w:val="0"/>
              <w:marRight w:val="0"/>
              <w:marTop w:val="0"/>
              <w:marBottom w:val="0"/>
              <w:divBdr>
                <w:top w:val="none" w:sz="0" w:space="0" w:color="auto"/>
                <w:left w:val="none" w:sz="0" w:space="0" w:color="auto"/>
                <w:bottom w:val="none" w:sz="0" w:space="0" w:color="auto"/>
                <w:right w:val="none" w:sz="0" w:space="0" w:color="auto"/>
              </w:divBdr>
            </w:div>
            <w:div w:id="584385057">
              <w:marLeft w:val="0"/>
              <w:marRight w:val="0"/>
              <w:marTop w:val="0"/>
              <w:marBottom w:val="0"/>
              <w:divBdr>
                <w:top w:val="none" w:sz="0" w:space="0" w:color="auto"/>
                <w:left w:val="none" w:sz="0" w:space="0" w:color="auto"/>
                <w:bottom w:val="none" w:sz="0" w:space="0" w:color="auto"/>
                <w:right w:val="none" w:sz="0" w:space="0" w:color="auto"/>
              </w:divBdr>
            </w:div>
            <w:div w:id="858592253">
              <w:marLeft w:val="0"/>
              <w:marRight w:val="0"/>
              <w:marTop w:val="0"/>
              <w:marBottom w:val="0"/>
              <w:divBdr>
                <w:top w:val="none" w:sz="0" w:space="0" w:color="auto"/>
                <w:left w:val="none" w:sz="0" w:space="0" w:color="auto"/>
                <w:bottom w:val="none" w:sz="0" w:space="0" w:color="auto"/>
                <w:right w:val="none" w:sz="0" w:space="0" w:color="auto"/>
              </w:divBdr>
            </w:div>
            <w:div w:id="1347827075">
              <w:marLeft w:val="0"/>
              <w:marRight w:val="0"/>
              <w:marTop w:val="0"/>
              <w:marBottom w:val="0"/>
              <w:divBdr>
                <w:top w:val="none" w:sz="0" w:space="0" w:color="auto"/>
                <w:left w:val="none" w:sz="0" w:space="0" w:color="auto"/>
                <w:bottom w:val="none" w:sz="0" w:space="0" w:color="auto"/>
                <w:right w:val="none" w:sz="0" w:space="0" w:color="auto"/>
              </w:divBdr>
            </w:div>
          </w:divsChild>
        </w:div>
        <w:div w:id="1762484766">
          <w:marLeft w:val="0"/>
          <w:marRight w:val="0"/>
          <w:marTop w:val="0"/>
          <w:marBottom w:val="0"/>
          <w:divBdr>
            <w:top w:val="none" w:sz="0" w:space="0" w:color="auto"/>
            <w:left w:val="none" w:sz="0" w:space="0" w:color="auto"/>
            <w:bottom w:val="none" w:sz="0" w:space="0" w:color="auto"/>
            <w:right w:val="none" w:sz="0" w:space="0" w:color="auto"/>
          </w:divBdr>
          <w:divsChild>
            <w:div w:id="572813806">
              <w:marLeft w:val="0"/>
              <w:marRight w:val="0"/>
              <w:marTop w:val="0"/>
              <w:marBottom w:val="0"/>
              <w:divBdr>
                <w:top w:val="none" w:sz="0" w:space="0" w:color="auto"/>
                <w:left w:val="none" w:sz="0" w:space="0" w:color="auto"/>
                <w:bottom w:val="none" w:sz="0" w:space="0" w:color="auto"/>
                <w:right w:val="none" w:sz="0" w:space="0" w:color="auto"/>
              </w:divBdr>
            </w:div>
            <w:div w:id="2058703962">
              <w:marLeft w:val="0"/>
              <w:marRight w:val="0"/>
              <w:marTop w:val="0"/>
              <w:marBottom w:val="0"/>
              <w:divBdr>
                <w:top w:val="none" w:sz="0" w:space="0" w:color="auto"/>
                <w:left w:val="none" w:sz="0" w:space="0" w:color="auto"/>
                <w:bottom w:val="none" w:sz="0" w:space="0" w:color="auto"/>
                <w:right w:val="none" w:sz="0" w:space="0" w:color="auto"/>
              </w:divBdr>
            </w:div>
          </w:divsChild>
        </w:div>
        <w:div w:id="1906259656">
          <w:marLeft w:val="0"/>
          <w:marRight w:val="0"/>
          <w:marTop w:val="0"/>
          <w:marBottom w:val="0"/>
          <w:divBdr>
            <w:top w:val="none" w:sz="0" w:space="0" w:color="auto"/>
            <w:left w:val="none" w:sz="0" w:space="0" w:color="auto"/>
            <w:bottom w:val="none" w:sz="0" w:space="0" w:color="auto"/>
            <w:right w:val="none" w:sz="0" w:space="0" w:color="auto"/>
          </w:divBdr>
          <w:divsChild>
            <w:div w:id="167001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71155">
      <w:bodyDiv w:val="1"/>
      <w:marLeft w:val="0"/>
      <w:marRight w:val="0"/>
      <w:marTop w:val="0"/>
      <w:marBottom w:val="0"/>
      <w:divBdr>
        <w:top w:val="none" w:sz="0" w:space="0" w:color="auto"/>
        <w:left w:val="none" w:sz="0" w:space="0" w:color="auto"/>
        <w:bottom w:val="none" w:sz="0" w:space="0" w:color="auto"/>
        <w:right w:val="none" w:sz="0" w:space="0" w:color="auto"/>
      </w:divBdr>
      <w:divsChild>
        <w:div w:id="198469027">
          <w:marLeft w:val="0"/>
          <w:marRight w:val="0"/>
          <w:marTop w:val="0"/>
          <w:marBottom w:val="0"/>
          <w:divBdr>
            <w:top w:val="none" w:sz="0" w:space="0" w:color="auto"/>
            <w:left w:val="none" w:sz="0" w:space="0" w:color="auto"/>
            <w:bottom w:val="none" w:sz="0" w:space="0" w:color="auto"/>
            <w:right w:val="none" w:sz="0" w:space="0" w:color="auto"/>
          </w:divBdr>
          <w:divsChild>
            <w:div w:id="220602737">
              <w:marLeft w:val="0"/>
              <w:marRight w:val="0"/>
              <w:marTop w:val="0"/>
              <w:marBottom w:val="0"/>
              <w:divBdr>
                <w:top w:val="none" w:sz="0" w:space="0" w:color="auto"/>
                <w:left w:val="none" w:sz="0" w:space="0" w:color="auto"/>
                <w:bottom w:val="none" w:sz="0" w:space="0" w:color="auto"/>
                <w:right w:val="none" w:sz="0" w:space="0" w:color="auto"/>
              </w:divBdr>
            </w:div>
          </w:divsChild>
        </w:div>
        <w:div w:id="413474814">
          <w:marLeft w:val="0"/>
          <w:marRight w:val="0"/>
          <w:marTop w:val="0"/>
          <w:marBottom w:val="0"/>
          <w:divBdr>
            <w:top w:val="none" w:sz="0" w:space="0" w:color="auto"/>
            <w:left w:val="none" w:sz="0" w:space="0" w:color="auto"/>
            <w:bottom w:val="none" w:sz="0" w:space="0" w:color="auto"/>
            <w:right w:val="none" w:sz="0" w:space="0" w:color="auto"/>
          </w:divBdr>
          <w:divsChild>
            <w:div w:id="1822237889">
              <w:marLeft w:val="0"/>
              <w:marRight w:val="0"/>
              <w:marTop w:val="0"/>
              <w:marBottom w:val="0"/>
              <w:divBdr>
                <w:top w:val="none" w:sz="0" w:space="0" w:color="auto"/>
                <w:left w:val="none" w:sz="0" w:space="0" w:color="auto"/>
                <w:bottom w:val="none" w:sz="0" w:space="0" w:color="auto"/>
                <w:right w:val="none" w:sz="0" w:space="0" w:color="auto"/>
              </w:divBdr>
            </w:div>
          </w:divsChild>
        </w:div>
        <w:div w:id="454832391">
          <w:marLeft w:val="0"/>
          <w:marRight w:val="0"/>
          <w:marTop w:val="0"/>
          <w:marBottom w:val="0"/>
          <w:divBdr>
            <w:top w:val="none" w:sz="0" w:space="0" w:color="auto"/>
            <w:left w:val="none" w:sz="0" w:space="0" w:color="auto"/>
            <w:bottom w:val="none" w:sz="0" w:space="0" w:color="auto"/>
            <w:right w:val="none" w:sz="0" w:space="0" w:color="auto"/>
          </w:divBdr>
          <w:divsChild>
            <w:div w:id="1697392483">
              <w:marLeft w:val="0"/>
              <w:marRight w:val="0"/>
              <w:marTop w:val="0"/>
              <w:marBottom w:val="0"/>
              <w:divBdr>
                <w:top w:val="none" w:sz="0" w:space="0" w:color="auto"/>
                <w:left w:val="none" w:sz="0" w:space="0" w:color="auto"/>
                <w:bottom w:val="none" w:sz="0" w:space="0" w:color="auto"/>
                <w:right w:val="none" w:sz="0" w:space="0" w:color="auto"/>
              </w:divBdr>
            </w:div>
          </w:divsChild>
        </w:div>
        <w:div w:id="485168032">
          <w:marLeft w:val="0"/>
          <w:marRight w:val="0"/>
          <w:marTop w:val="0"/>
          <w:marBottom w:val="0"/>
          <w:divBdr>
            <w:top w:val="none" w:sz="0" w:space="0" w:color="auto"/>
            <w:left w:val="none" w:sz="0" w:space="0" w:color="auto"/>
            <w:bottom w:val="none" w:sz="0" w:space="0" w:color="auto"/>
            <w:right w:val="none" w:sz="0" w:space="0" w:color="auto"/>
          </w:divBdr>
          <w:divsChild>
            <w:div w:id="835151409">
              <w:marLeft w:val="0"/>
              <w:marRight w:val="0"/>
              <w:marTop w:val="0"/>
              <w:marBottom w:val="0"/>
              <w:divBdr>
                <w:top w:val="none" w:sz="0" w:space="0" w:color="auto"/>
                <w:left w:val="none" w:sz="0" w:space="0" w:color="auto"/>
                <w:bottom w:val="none" w:sz="0" w:space="0" w:color="auto"/>
                <w:right w:val="none" w:sz="0" w:space="0" w:color="auto"/>
              </w:divBdr>
            </w:div>
          </w:divsChild>
        </w:div>
        <w:div w:id="512107552">
          <w:marLeft w:val="0"/>
          <w:marRight w:val="0"/>
          <w:marTop w:val="0"/>
          <w:marBottom w:val="0"/>
          <w:divBdr>
            <w:top w:val="none" w:sz="0" w:space="0" w:color="auto"/>
            <w:left w:val="none" w:sz="0" w:space="0" w:color="auto"/>
            <w:bottom w:val="none" w:sz="0" w:space="0" w:color="auto"/>
            <w:right w:val="none" w:sz="0" w:space="0" w:color="auto"/>
          </w:divBdr>
          <w:divsChild>
            <w:div w:id="1384333337">
              <w:marLeft w:val="0"/>
              <w:marRight w:val="0"/>
              <w:marTop w:val="0"/>
              <w:marBottom w:val="0"/>
              <w:divBdr>
                <w:top w:val="none" w:sz="0" w:space="0" w:color="auto"/>
                <w:left w:val="none" w:sz="0" w:space="0" w:color="auto"/>
                <w:bottom w:val="none" w:sz="0" w:space="0" w:color="auto"/>
                <w:right w:val="none" w:sz="0" w:space="0" w:color="auto"/>
              </w:divBdr>
            </w:div>
          </w:divsChild>
        </w:div>
        <w:div w:id="606932314">
          <w:marLeft w:val="0"/>
          <w:marRight w:val="0"/>
          <w:marTop w:val="0"/>
          <w:marBottom w:val="0"/>
          <w:divBdr>
            <w:top w:val="none" w:sz="0" w:space="0" w:color="auto"/>
            <w:left w:val="none" w:sz="0" w:space="0" w:color="auto"/>
            <w:bottom w:val="none" w:sz="0" w:space="0" w:color="auto"/>
            <w:right w:val="none" w:sz="0" w:space="0" w:color="auto"/>
          </w:divBdr>
          <w:divsChild>
            <w:div w:id="141310305">
              <w:marLeft w:val="0"/>
              <w:marRight w:val="0"/>
              <w:marTop w:val="0"/>
              <w:marBottom w:val="0"/>
              <w:divBdr>
                <w:top w:val="none" w:sz="0" w:space="0" w:color="auto"/>
                <w:left w:val="none" w:sz="0" w:space="0" w:color="auto"/>
                <w:bottom w:val="none" w:sz="0" w:space="0" w:color="auto"/>
                <w:right w:val="none" w:sz="0" w:space="0" w:color="auto"/>
              </w:divBdr>
            </w:div>
            <w:div w:id="1363743503">
              <w:marLeft w:val="0"/>
              <w:marRight w:val="0"/>
              <w:marTop w:val="0"/>
              <w:marBottom w:val="0"/>
              <w:divBdr>
                <w:top w:val="none" w:sz="0" w:space="0" w:color="auto"/>
                <w:left w:val="none" w:sz="0" w:space="0" w:color="auto"/>
                <w:bottom w:val="none" w:sz="0" w:space="0" w:color="auto"/>
                <w:right w:val="none" w:sz="0" w:space="0" w:color="auto"/>
              </w:divBdr>
            </w:div>
          </w:divsChild>
        </w:div>
        <w:div w:id="738750893">
          <w:marLeft w:val="0"/>
          <w:marRight w:val="0"/>
          <w:marTop w:val="0"/>
          <w:marBottom w:val="0"/>
          <w:divBdr>
            <w:top w:val="none" w:sz="0" w:space="0" w:color="auto"/>
            <w:left w:val="none" w:sz="0" w:space="0" w:color="auto"/>
            <w:bottom w:val="none" w:sz="0" w:space="0" w:color="auto"/>
            <w:right w:val="none" w:sz="0" w:space="0" w:color="auto"/>
          </w:divBdr>
          <w:divsChild>
            <w:div w:id="978457719">
              <w:marLeft w:val="0"/>
              <w:marRight w:val="0"/>
              <w:marTop w:val="0"/>
              <w:marBottom w:val="0"/>
              <w:divBdr>
                <w:top w:val="none" w:sz="0" w:space="0" w:color="auto"/>
                <w:left w:val="none" w:sz="0" w:space="0" w:color="auto"/>
                <w:bottom w:val="none" w:sz="0" w:space="0" w:color="auto"/>
                <w:right w:val="none" w:sz="0" w:space="0" w:color="auto"/>
              </w:divBdr>
            </w:div>
          </w:divsChild>
        </w:div>
        <w:div w:id="753284156">
          <w:marLeft w:val="0"/>
          <w:marRight w:val="0"/>
          <w:marTop w:val="0"/>
          <w:marBottom w:val="0"/>
          <w:divBdr>
            <w:top w:val="none" w:sz="0" w:space="0" w:color="auto"/>
            <w:left w:val="none" w:sz="0" w:space="0" w:color="auto"/>
            <w:bottom w:val="none" w:sz="0" w:space="0" w:color="auto"/>
            <w:right w:val="none" w:sz="0" w:space="0" w:color="auto"/>
          </w:divBdr>
          <w:divsChild>
            <w:div w:id="1113859983">
              <w:marLeft w:val="0"/>
              <w:marRight w:val="0"/>
              <w:marTop w:val="0"/>
              <w:marBottom w:val="0"/>
              <w:divBdr>
                <w:top w:val="none" w:sz="0" w:space="0" w:color="auto"/>
                <w:left w:val="none" w:sz="0" w:space="0" w:color="auto"/>
                <w:bottom w:val="none" w:sz="0" w:space="0" w:color="auto"/>
                <w:right w:val="none" w:sz="0" w:space="0" w:color="auto"/>
              </w:divBdr>
            </w:div>
          </w:divsChild>
        </w:div>
        <w:div w:id="800807993">
          <w:marLeft w:val="0"/>
          <w:marRight w:val="0"/>
          <w:marTop w:val="0"/>
          <w:marBottom w:val="0"/>
          <w:divBdr>
            <w:top w:val="none" w:sz="0" w:space="0" w:color="auto"/>
            <w:left w:val="none" w:sz="0" w:space="0" w:color="auto"/>
            <w:bottom w:val="none" w:sz="0" w:space="0" w:color="auto"/>
            <w:right w:val="none" w:sz="0" w:space="0" w:color="auto"/>
          </w:divBdr>
          <w:divsChild>
            <w:div w:id="1961955690">
              <w:marLeft w:val="0"/>
              <w:marRight w:val="0"/>
              <w:marTop w:val="0"/>
              <w:marBottom w:val="0"/>
              <w:divBdr>
                <w:top w:val="none" w:sz="0" w:space="0" w:color="auto"/>
                <w:left w:val="none" w:sz="0" w:space="0" w:color="auto"/>
                <w:bottom w:val="none" w:sz="0" w:space="0" w:color="auto"/>
                <w:right w:val="none" w:sz="0" w:space="0" w:color="auto"/>
              </w:divBdr>
            </w:div>
          </w:divsChild>
        </w:div>
        <w:div w:id="867596545">
          <w:marLeft w:val="0"/>
          <w:marRight w:val="0"/>
          <w:marTop w:val="0"/>
          <w:marBottom w:val="0"/>
          <w:divBdr>
            <w:top w:val="none" w:sz="0" w:space="0" w:color="auto"/>
            <w:left w:val="none" w:sz="0" w:space="0" w:color="auto"/>
            <w:bottom w:val="none" w:sz="0" w:space="0" w:color="auto"/>
            <w:right w:val="none" w:sz="0" w:space="0" w:color="auto"/>
          </w:divBdr>
          <w:divsChild>
            <w:div w:id="799151614">
              <w:marLeft w:val="0"/>
              <w:marRight w:val="0"/>
              <w:marTop w:val="0"/>
              <w:marBottom w:val="0"/>
              <w:divBdr>
                <w:top w:val="none" w:sz="0" w:space="0" w:color="auto"/>
                <w:left w:val="none" w:sz="0" w:space="0" w:color="auto"/>
                <w:bottom w:val="none" w:sz="0" w:space="0" w:color="auto"/>
                <w:right w:val="none" w:sz="0" w:space="0" w:color="auto"/>
              </w:divBdr>
            </w:div>
          </w:divsChild>
        </w:div>
        <w:div w:id="1111438597">
          <w:marLeft w:val="0"/>
          <w:marRight w:val="0"/>
          <w:marTop w:val="0"/>
          <w:marBottom w:val="0"/>
          <w:divBdr>
            <w:top w:val="none" w:sz="0" w:space="0" w:color="auto"/>
            <w:left w:val="none" w:sz="0" w:space="0" w:color="auto"/>
            <w:bottom w:val="none" w:sz="0" w:space="0" w:color="auto"/>
            <w:right w:val="none" w:sz="0" w:space="0" w:color="auto"/>
          </w:divBdr>
          <w:divsChild>
            <w:div w:id="1862815671">
              <w:marLeft w:val="0"/>
              <w:marRight w:val="0"/>
              <w:marTop w:val="0"/>
              <w:marBottom w:val="0"/>
              <w:divBdr>
                <w:top w:val="none" w:sz="0" w:space="0" w:color="auto"/>
                <w:left w:val="none" w:sz="0" w:space="0" w:color="auto"/>
                <w:bottom w:val="none" w:sz="0" w:space="0" w:color="auto"/>
                <w:right w:val="none" w:sz="0" w:space="0" w:color="auto"/>
              </w:divBdr>
            </w:div>
          </w:divsChild>
        </w:div>
        <w:div w:id="1114518003">
          <w:marLeft w:val="0"/>
          <w:marRight w:val="0"/>
          <w:marTop w:val="0"/>
          <w:marBottom w:val="0"/>
          <w:divBdr>
            <w:top w:val="none" w:sz="0" w:space="0" w:color="auto"/>
            <w:left w:val="none" w:sz="0" w:space="0" w:color="auto"/>
            <w:bottom w:val="none" w:sz="0" w:space="0" w:color="auto"/>
            <w:right w:val="none" w:sz="0" w:space="0" w:color="auto"/>
          </w:divBdr>
          <w:divsChild>
            <w:div w:id="313340423">
              <w:marLeft w:val="0"/>
              <w:marRight w:val="0"/>
              <w:marTop w:val="0"/>
              <w:marBottom w:val="0"/>
              <w:divBdr>
                <w:top w:val="none" w:sz="0" w:space="0" w:color="auto"/>
                <w:left w:val="none" w:sz="0" w:space="0" w:color="auto"/>
                <w:bottom w:val="none" w:sz="0" w:space="0" w:color="auto"/>
                <w:right w:val="none" w:sz="0" w:space="0" w:color="auto"/>
              </w:divBdr>
            </w:div>
          </w:divsChild>
        </w:div>
        <w:div w:id="1309241192">
          <w:marLeft w:val="0"/>
          <w:marRight w:val="0"/>
          <w:marTop w:val="0"/>
          <w:marBottom w:val="0"/>
          <w:divBdr>
            <w:top w:val="none" w:sz="0" w:space="0" w:color="auto"/>
            <w:left w:val="none" w:sz="0" w:space="0" w:color="auto"/>
            <w:bottom w:val="none" w:sz="0" w:space="0" w:color="auto"/>
            <w:right w:val="none" w:sz="0" w:space="0" w:color="auto"/>
          </w:divBdr>
          <w:divsChild>
            <w:div w:id="1023938076">
              <w:marLeft w:val="0"/>
              <w:marRight w:val="0"/>
              <w:marTop w:val="0"/>
              <w:marBottom w:val="0"/>
              <w:divBdr>
                <w:top w:val="none" w:sz="0" w:space="0" w:color="auto"/>
                <w:left w:val="none" w:sz="0" w:space="0" w:color="auto"/>
                <w:bottom w:val="none" w:sz="0" w:space="0" w:color="auto"/>
                <w:right w:val="none" w:sz="0" w:space="0" w:color="auto"/>
              </w:divBdr>
            </w:div>
          </w:divsChild>
        </w:div>
        <w:div w:id="1447311018">
          <w:marLeft w:val="0"/>
          <w:marRight w:val="0"/>
          <w:marTop w:val="0"/>
          <w:marBottom w:val="0"/>
          <w:divBdr>
            <w:top w:val="none" w:sz="0" w:space="0" w:color="auto"/>
            <w:left w:val="none" w:sz="0" w:space="0" w:color="auto"/>
            <w:bottom w:val="none" w:sz="0" w:space="0" w:color="auto"/>
            <w:right w:val="none" w:sz="0" w:space="0" w:color="auto"/>
          </w:divBdr>
          <w:divsChild>
            <w:div w:id="1872112031">
              <w:marLeft w:val="0"/>
              <w:marRight w:val="0"/>
              <w:marTop w:val="0"/>
              <w:marBottom w:val="0"/>
              <w:divBdr>
                <w:top w:val="none" w:sz="0" w:space="0" w:color="auto"/>
                <w:left w:val="none" w:sz="0" w:space="0" w:color="auto"/>
                <w:bottom w:val="none" w:sz="0" w:space="0" w:color="auto"/>
                <w:right w:val="none" w:sz="0" w:space="0" w:color="auto"/>
              </w:divBdr>
            </w:div>
          </w:divsChild>
        </w:div>
        <w:div w:id="1524635986">
          <w:marLeft w:val="0"/>
          <w:marRight w:val="0"/>
          <w:marTop w:val="0"/>
          <w:marBottom w:val="0"/>
          <w:divBdr>
            <w:top w:val="none" w:sz="0" w:space="0" w:color="auto"/>
            <w:left w:val="none" w:sz="0" w:space="0" w:color="auto"/>
            <w:bottom w:val="none" w:sz="0" w:space="0" w:color="auto"/>
            <w:right w:val="none" w:sz="0" w:space="0" w:color="auto"/>
          </w:divBdr>
          <w:divsChild>
            <w:div w:id="568929462">
              <w:marLeft w:val="0"/>
              <w:marRight w:val="0"/>
              <w:marTop w:val="0"/>
              <w:marBottom w:val="0"/>
              <w:divBdr>
                <w:top w:val="none" w:sz="0" w:space="0" w:color="auto"/>
                <w:left w:val="none" w:sz="0" w:space="0" w:color="auto"/>
                <w:bottom w:val="none" w:sz="0" w:space="0" w:color="auto"/>
                <w:right w:val="none" w:sz="0" w:space="0" w:color="auto"/>
              </w:divBdr>
            </w:div>
          </w:divsChild>
        </w:div>
        <w:div w:id="1690523765">
          <w:marLeft w:val="0"/>
          <w:marRight w:val="0"/>
          <w:marTop w:val="0"/>
          <w:marBottom w:val="0"/>
          <w:divBdr>
            <w:top w:val="none" w:sz="0" w:space="0" w:color="auto"/>
            <w:left w:val="none" w:sz="0" w:space="0" w:color="auto"/>
            <w:bottom w:val="none" w:sz="0" w:space="0" w:color="auto"/>
            <w:right w:val="none" w:sz="0" w:space="0" w:color="auto"/>
          </w:divBdr>
          <w:divsChild>
            <w:div w:id="2105807219">
              <w:marLeft w:val="0"/>
              <w:marRight w:val="0"/>
              <w:marTop w:val="0"/>
              <w:marBottom w:val="0"/>
              <w:divBdr>
                <w:top w:val="none" w:sz="0" w:space="0" w:color="auto"/>
                <w:left w:val="none" w:sz="0" w:space="0" w:color="auto"/>
                <w:bottom w:val="none" w:sz="0" w:space="0" w:color="auto"/>
                <w:right w:val="none" w:sz="0" w:space="0" w:color="auto"/>
              </w:divBdr>
            </w:div>
          </w:divsChild>
        </w:div>
        <w:div w:id="1864246095">
          <w:marLeft w:val="0"/>
          <w:marRight w:val="0"/>
          <w:marTop w:val="0"/>
          <w:marBottom w:val="0"/>
          <w:divBdr>
            <w:top w:val="none" w:sz="0" w:space="0" w:color="auto"/>
            <w:left w:val="none" w:sz="0" w:space="0" w:color="auto"/>
            <w:bottom w:val="none" w:sz="0" w:space="0" w:color="auto"/>
            <w:right w:val="none" w:sz="0" w:space="0" w:color="auto"/>
          </w:divBdr>
          <w:divsChild>
            <w:div w:id="854076759">
              <w:marLeft w:val="0"/>
              <w:marRight w:val="0"/>
              <w:marTop w:val="0"/>
              <w:marBottom w:val="0"/>
              <w:divBdr>
                <w:top w:val="none" w:sz="0" w:space="0" w:color="auto"/>
                <w:left w:val="none" w:sz="0" w:space="0" w:color="auto"/>
                <w:bottom w:val="none" w:sz="0" w:space="0" w:color="auto"/>
                <w:right w:val="none" w:sz="0" w:space="0" w:color="auto"/>
              </w:divBdr>
            </w:div>
          </w:divsChild>
        </w:div>
        <w:div w:id="1924562479">
          <w:marLeft w:val="0"/>
          <w:marRight w:val="0"/>
          <w:marTop w:val="0"/>
          <w:marBottom w:val="0"/>
          <w:divBdr>
            <w:top w:val="none" w:sz="0" w:space="0" w:color="auto"/>
            <w:left w:val="none" w:sz="0" w:space="0" w:color="auto"/>
            <w:bottom w:val="none" w:sz="0" w:space="0" w:color="auto"/>
            <w:right w:val="none" w:sz="0" w:space="0" w:color="auto"/>
          </w:divBdr>
          <w:divsChild>
            <w:div w:id="1766414161">
              <w:marLeft w:val="0"/>
              <w:marRight w:val="0"/>
              <w:marTop w:val="0"/>
              <w:marBottom w:val="0"/>
              <w:divBdr>
                <w:top w:val="none" w:sz="0" w:space="0" w:color="auto"/>
                <w:left w:val="none" w:sz="0" w:space="0" w:color="auto"/>
                <w:bottom w:val="none" w:sz="0" w:space="0" w:color="auto"/>
                <w:right w:val="none" w:sz="0" w:space="0" w:color="auto"/>
              </w:divBdr>
            </w:div>
          </w:divsChild>
        </w:div>
        <w:div w:id="1996176528">
          <w:marLeft w:val="0"/>
          <w:marRight w:val="0"/>
          <w:marTop w:val="0"/>
          <w:marBottom w:val="0"/>
          <w:divBdr>
            <w:top w:val="none" w:sz="0" w:space="0" w:color="auto"/>
            <w:left w:val="none" w:sz="0" w:space="0" w:color="auto"/>
            <w:bottom w:val="none" w:sz="0" w:space="0" w:color="auto"/>
            <w:right w:val="none" w:sz="0" w:space="0" w:color="auto"/>
          </w:divBdr>
          <w:divsChild>
            <w:div w:id="1005208307">
              <w:marLeft w:val="0"/>
              <w:marRight w:val="0"/>
              <w:marTop w:val="0"/>
              <w:marBottom w:val="0"/>
              <w:divBdr>
                <w:top w:val="none" w:sz="0" w:space="0" w:color="auto"/>
                <w:left w:val="none" w:sz="0" w:space="0" w:color="auto"/>
                <w:bottom w:val="none" w:sz="0" w:space="0" w:color="auto"/>
                <w:right w:val="none" w:sz="0" w:space="0" w:color="auto"/>
              </w:divBdr>
            </w:div>
          </w:divsChild>
        </w:div>
        <w:div w:id="2032106337">
          <w:marLeft w:val="0"/>
          <w:marRight w:val="0"/>
          <w:marTop w:val="0"/>
          <w:marBottom w:val="0"/>
          <w:divBdr>
            <w:top w:val="none" w:sz="0" w:space="0" w:color="auto"/>
            <w:left w:val="none" w:sz="0" w:space="0" w:color="auto"/>
            <w:bottom w:val="none" w:sz="0" w:space="0" w:color="auto"/>
            <w:right w:val="none" w:sz="0" w:space="0" w:color="auto"/>
          </w:divBdr>
          <w:divsChild>
            <w:div w:id="67418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69667">
      <w:bodyDiv w:val="1"/>
      <w:marLeft w:val="0"/>
      <w:marRight w:val="0"/>
      <w:marTop w:val="0"/>
      <w:marBottom w:val="0"/>
      <w:divBdr>
        <w:top w:val="none" w:sz="0" w:space="0" w:color="auto"/>
        <w:left w:val="none" w:sz="0" w:space="0" w:color="auto"/>
        <w:bottom w:val="none" w:sz="0" w:space="0" w:color="auto"/>
        <w:right w:val="none" w:sz="0" w:space="0" w:color="auto"/>
      </w:divBdr>
    </w:div>
    <w:div w:id="92629676">
      <w:bodyDiv w:val="1"/>
      <w:marLeft w:val="0"/>
      <w:marRight w:val="0"/>
      <w:marTop w:val="0"/>
      <w:marBottom w:val="0"/>
      <w:divBdr>
        <w:top w:val="none" w:sz="0" w:space="0" w:color="auto"/>
        <w:left w:val="none" w:sz="0" w:space="0" w:color="auto"/>
        <w:bottom w:val="none" w:sz="0" w:space="0" w:color="auto"/>
        <w:right w:val="none" w:sz="0" w:space="0" w:color="auto"/>
      </w:divBdr>
    </w:div>
    <w:div w:id="101416029">
      <w:bodyDiv w:val="1"/>
      <w:marLeft w:val="0"/>
      <w:marRight w:val="0"/>
      <w:marTop w:val="0"/>
      <w:marBottom w:val="0"/>
      <w:divBdr>
        <w:top w:val="none" w:sz="0" w:space="0" w:color="auto"/>
        <w:left w:val="none" w:sz="0" w:space="0" w:color="auto"/>
        <w:bottom w:val="none" w:sz="0" w:space="0" w:color="auto"/>
        <w:right w:val="none" w:sz="0" w:space="0" w:color="auto"/>
      </w:divBdr>
      <w:divsChild>
        <w:div w:id="1587152399">
          <w:marLeft w:val="0"/>
          <w:marRight w:val="0"/>
          <w:marTop w:val="0"/>
          <w:marBottom w:val="0"/>
          <w:divBdr>
            <w:top w:val="none" w:sz="0" w:space="0" w:color="auto"/>
            <w:left w:val="none" w:sz="0" w:space="0" w:color="auto"/>
            <w:bottom w:val="none" w:sz="0" w:space="0" w:color="auto"/>
            <w:right w:val="none" w:sz="0" w:space="0" w:color="auto"/>
          </w:divBdr>
        </w:div>
      </w:divsChild>
    </w:div>
    <w:div w:id="104496364">
      <w:bodyDiv w:val="1"/>
      <w:marLeft w:val="0"/>
      <w:marRight w:val="0"/>
      <w:marTop w:val="0"/>
      <w:marBottom w:val="0"/>
      <w:divBdr>
        <w:top w:val="none" w:sz="0" w:space="0" w:color="auto"/>
        <w:left w:val="none" w:sz="0" w:space="0" w:color="auto"/>
        <w:bottom w:val="none" w:sz="0" w:space="0" w:color="auto"/>
        <w:right w:val="none" w:sz="0" w:space="0" w:color="auto"/>
      </w:divBdr>
      <w:divsChild>
        <w:div w:id="116067756">
          <w:marLeft w:val="0"/>
          <w:marRight w:val="0"/>
          <w:marTop w:val="0"/>
          <w:marBottom w:val="0"/>
          <w:divBdr>
            <w:top w:val="none" w:sz="0" w:space="0" w:color="auto"/>
            <w:left w:val="none" w:sz="0" w:space="0" w:color="auto"/>
            <w:bottom w:val="none" w:sz="0" w:space="0" w:color="auto"/>
            <w:right w:val="none" w:sz="0" w:space="0" w:color="auto"/>
          </w:divBdr>
          <w:divsChild>
            <w:div w:id="2129228788">
              <w:marLeft w:val="0"/>
              <w:marRight w:val="0"/>
              <w:marTop w:val="0"/>
              <w:marBottom w:val="0"/>
              <w:divBdr>
                <w:top w:val="none" w:sz="0" w:space="0" w:color="auto"/>
                <w:left w:val="none" w:sz="0" w:space="0" w:color="auto"/>
                <w:bottom w:val="none" w:sz="0" w:space="0" w:color="auto"/>
                <w:right w:val="none" w:sz="0" w:space="0" w:color="auto"/>
              </w:divBdr>
            </w:div>
          </w:divsChild>
        </w:div>
        <w:div w:id="146168645">
          <w:marLeft w:val="0"/>
          <w:marRight w:val="0"/>
          <w:marTop w:val="0"/>
          <w:marBottom w:val="0"/>
          <w:divBdr>
            <w:top w:val="none" w:sz="0" w:space="0" w:color="auto"/>
            <w:left w:val="none" w:sz="0" w:space="0" w:color="auto"/>
            <w:bottom w:val="none" w:sz="0" w:space="0" w:color="auto"/>
            <w:right w:val="none" w:sz="0" w:space="0" w:color="auto"/>
          </w:divBdr>
          <w:divsChild>
            <w:div w:id="1578975904">
              <w:marLeft w:val="0"/>
              <w:marRight w:val="0"/>
              <w:marTop w:val="0"/>
              <w:marBottom w:val="0"/>
              <w:divBdr>
                <w:top w:val="none" w:sz="0" w:space="0" w:color="auto"/>
                <w:left w:val="none" w:sz="0" w:space="0" w:color="auto"/>
                <w:bottom w:val="none" w:sz="0" w:space="0" w:color="auto"/>
                <w:right w:val="none" w:sz="0" w:space="0" w:color="auto"/>
              </w:divBdr>
            </w:div>
          </w:divsChild>
        </w:div>
        <w:div w:id="358898092">
          <w:marLeft w:val="0"/>
          <w:marRight w:val="0"/>
          <w:marTop w:val="0"/>
          <w:marBottom w:val="0"/>
          <w:divBdr>
            <w:top w:val="none" w:sz="0" w:space="0" w:color="auto"/>
            <w:left w:val="none" w:sz="0" w:space="0" w:color="auto"/>
            <w:bottom w:val="none" w:sz="0" w:space="0" w:color="auto"/>
            <w:right w:val="none" w:sz="0" w:space="0" w:color="auto"/>
          </w:divBdr>
          <w:divsChild>
            <w:div w:id="1547527169">
              <w:marLeft w:val="0"/>
              <w:marRight w:val="0"/>
              <w:marTop w:val="0"/>
              <w:marBottom w:val="0"/>
              <w:divBdr>
                <w:top w:val="none" w:sz="0" w:space="0" w:color="auto"/>
                <w:left w:val="none" w:sz="0" w:space="0" w:color="auto"/>
                <w:bottom w:val="none" w:sz="0" w:space="0" w:color="auto"/>
                <w:right w:val="none" w:sz="0" w:space="0" w:color="auto"/>
              </w:divBdr>
            </w:div>
          </w:divsChild>
        </w:div>
        <w:div w:id="410126620">
          <w:marLeft w:val="0"/>
          <w:marRight w:val="0"/>
          <w:marTop w:val="0"/>
          <w:marBottom w:val="0"/>
          <w:divBdr>
            <w:top w:val="none" w:sz="0" w:space="0" w:color="auto"/>
            <w:left w:val="none" w:sz="0" w:space="0" w:color="auto"/>
            <w:bottom w:val="none" w:sz="0" w:space="0" w:color="auto"/>
            <w:right w:val="none" w:sz="0" w:space="0" w:color="auto"/>
          </w:divBdr>
          <w:divsChild>
            <w:div w:id="935558427">
              <w:marLeft w:val="0"/>
              <w:marRight w:val="0"/>
              <w:marTop w:val="0"/>
              <w:marBottom w:val="0"/>
              <w:divBdr>
                <w:top w:val="none" w:sz="0" w:space="0" w:color="auto"/>
                <w:left w:val="none" w:sz="0" w:space="0" w:color="auto"/>
                <w:bottom w:val="none" w:sz="0" w:space="0" w:color="auto"/>
                <w:right w:val="none" w:sz="0" w:space="0" w:color="auto"/>
              </w:divBdr>
            </w:div>
          </w:divsChild>
        </w:div>
        <w:div w:id="433330307">
          <w:marLeft w:val="0"/>
          <w:marRight w:val="0"/>
          <w:marTop w:val="0"/>
          <w:marBottom w:val="0"/>
          <w:divBdr>
            <w:top w:val="none" w:sz="0" w:space="0" w:color="auto"/>
            <w:left w:val="none" w:sz="0" w:space="0" w:color="auto"/>
            <w:bottom w:val="none" w:sz="0" w:space="0" w:color="auto"/>
            <w:right w:val="none" w:sz="0" w:space="0" w:color="auto"/>
          </w:divBdr>
          <w:divsChild>
            <w:div w:id="421224078">
              <w:marLeft w:val="0"/>
              <w:marRight w:val="0"/>
              <w:marTop w:val="0"/>
              <w:marBottom w:val="0"/>
              <w:divBdr>
                <w:top w:val="none" w:sz="0" w:space="0" w:color="auto"/>
                <w:left w:val="none" w:sz="0" w:space="0" w:color="auto"/>
                <w:bottom w:val="none" w:sz="0" w:space="0" w:color="auto"/>
                <w:right w:val="none" w:sz="0" w:space="0" w:color="auto"/>
              </w:divBdr>
            </w:div>
          </w:divsChild>
        </w:div>
        <w:div w:id="447895177">
          <w:marLeft w:val="0"/>
          <w:marRight w:val="0"/>
          <w:marTop w:val="0"/>
          <w:marBottom w:val="0"/>
          <w:divBdr>
            <w:top w:val="none" w:sz="0" w:space="0" w:color="auto"/>
            <w:left w:val="none" w:sz="0" w:space="0" w:color="auto"/>
            <w:bottom w:val="none" w:sz="0" w:space="0" w:color="auto"/>
            <w:right w:val="none" w:sz="0" w:space="0" w:color="auto"/>
          </w:divBdr>
          <w:divsChild>
            <w:div w:id="1981764174">
              <w:marLeft w:val="0"/>
              <w:marRight w:val="0"/>
              <w:marTop w:val="0"/>
              <w:marBottom w:val="0"/>
              <w:divBdr>
                <w:top w:val="none" w:sz="0" w:space="0" w:color="auto"/>
                <w:left w:val="none" w:sz="0" w:space="0" w:color="auto"/>
                <w:bottom w:val="none" w:sz="0" w:space="0" w:color="auto"/>
                <w:right w:val="none" w:sz="0" w:space="0" w:color="auto"/>
              </w:divBdr>
            </w:div>
          </w:divsChild>
        </w:div>
        <w:div w:id="486744948">
          <w:marLeft w:val="0"/>
          <w:marRight w:val="0"/>
          <w:marTop w:val="0"/>
          <w:marBottom w:val="0"/>
          <w:divBdr>
            <w:top w:val="none" w:sz="0" w:space="0" w:color="auto"/>
            <w:left w:val="none" w:sz="0" w:space="0" w:color="auto"/>
            <w:bottom w:val="none" w:sz="0" w:space="0" w:color="auto"/>
            <w:right w:val="none" w:sz="0" w:space="0" w:color="auto"/>
          </w:divBdr>
          <w:divsChild>
            <w:div w:id="1783694000">
              <w:marLeft w:val="0"/>
              <w:marRight w:val="0"/>
              <w:marTop w:val="0"/>
              <w:marBottom w:val="0"/>
              <w:divBdr>
                <w:top w:val="none" w:sz="0" w:space="0" w:color="auto"/>
                <w:left w:val="none" w:sz="0" w:space="0" w:color="auto"/>
                <w:bottom w:val="none" w:sz="0" w:space="0" w:color="auto"/>
                <w:right w:val="none" w:sz="0" w:space="0" w:color="auto"/>
              </w:divBdr>
            </w:div>
          </w:divsChild>
        </w:div>
        <w:div w:id="516893041">
          <w:marLeft w:val="0"/>
          <w:marRight w:val="0"/>
          <w:marTop w:val="0"/>
          <w:marBottom w:val="0"/>
          <w:divBdr>
            <w:top w:val="none" w:sz="0" w:space="0" w:color="auto"/>
            <w:left w:val="none" w:sz="0" w:space="0" w:color="auto"/>
            <w:bottom w:val="none" w:sz="0" w:space="0" w:color="auto"/>
            <w:right w:val="none" w:sz="0" w:space="0" w:color="auto"/>
          </w:divBdr>
          <w:divsChild>
            <w:div w:id="225144093">
              <w:marLeft w:val="0"/>
              <w:marRight w:val="0"/>
              <w:marTop w:val="0"/>
              <w:marBottom w:val="0"/>
              <w:divBdr>
                <w:top w:val="none" w:sz="0" w:space="0" w:color="auto"/>
                <w:left w:val="none" w:sz="0" w:space="0" w:color="auto"/>
                <w:bottom w:val="none" w:sz="0" w:space="0" w:color="auto"/>
                <w:right w:val="none" w:sz="0" w:space="0" w:color="auto"/>
              </w:divBdr>
            </w:div>
          </w:divsChild>
        </w:div>
        <w:div w:id="577327786">
          <w:marLeft w:val="0"/>
          <w:marRight w:val="0"/>
          <w:marTop w:val="0"/>
          <w:marBottom w:val="0"/>
          <w:divBdr>
            <w:top w:val="none" w:sz="0" w:space="0" w:color="auto"/>
            <w:left w:val="none" w:sz="0" w:space="0" w:color="auto"/>
            <w:bottom w:val="none" w:sz="0" w:space="0" w:color="auto"/>
            <w:right w:val="none" w:sz="0" w:space="0" w:color="auto"/>
          </w:divBdr>
          <w:divsChild>
            <w:div w:id="803734082">
              <w:marLeft w:val="0"/>
              <w:marRight w:val="0"/>
              <w:marTop w:val="0"/>
              <w:marBottom w:val="0"/>
              <w:divBdr>
                <w:top w:val="none" w:sz="0" w:space="0" w:color="auto"/>
                <w:left w:val="none" w:sz="0" w:space="0" w:color="auto"/>
                <w:bottom w:val="none" w:sz="0" w:space="0" w:color="auto"/>
                <w:right w:val="none" w:sz="0" w:space="0" w:color="auto"/>
              </w:divBdr>
            </w:div>
          </w:divsChild>
        </w:div>
        <w:div w:id="652174548">
          <w:marLeft w:val="0"/>
          <w:marRight w:val="0"/>
          <w:marTop w:val="0"/>
          <w:marBottom w:val="0"/>
          <w:divBdr>
            <w:top w:val="none" w:sz="0" w:space="0" w:color="auto"/>
            <w:left w:val="none" w:sz="0" w:space="0" w:color="auto"/>
            <w:bottom w:val="none" w:sz="0" w:space="0" w:color="auto"/>
            <w:right w:val="none" w:sz="0" w:space="0" w:color="auto"/>
          </w:divBdr>
          <w:divsChild>
            <w:div w:id="1341350880">
              <w:marLeft w:val="0"/>
              <w:marRight w:val="0"/>
              <w:marTop w:val="0"/>
              <w:marBottom w:val="0"/>
              <w:divBdr>
                <w:top w:val="none" w:sz="0" w:space="0" w:color="auto"/>
                <w:left w:val="none" w:sz="0" w:space="0" w:color="auto"/>
                <w:bottom w:val="none" w:sz="0" w:space="0" w:color="auto"/>
                <w:right w:val="none" w:sz="0" w:space="0" w:color="auto"/>
              </w:divBdr>
            </w:div>
          </w:divsChild>
        </w:div>
        <w:div w:id="750739927">
          <w:marLeft w:val="0"/>
          <w:marRight w:val="0"/>
          <w:marTop w:val="0"/>
          <w:marBottom w:val="0"/>
          <w:divBdr>
            <w:top w:val="none" w:sz="0" w:space="0" w:color="auto"/>
            <w:left w:val="none" w:sz="0" w:space="0" w:color="auto"/>
            <w:bottom w:val="none" w:sz="0" w:space="0" w:color="auto"/>
            <w:right w:val="none" w:sz="0" w:space="0" w:color="auto"/>
          </w:divBdr>
          <w:divsChild>
            <w:div w:id="1915898256">
              <w:marLeft w:val="0"/>
              <w:marRight w:val="0"/>
              <w:marTop w:val="0"/>
              <w:marBottom w:val="0"/>
              <w:divBdr>
                <w:top w:val="none" w:sz="0" w:space="0" w:color="auto"/>
                <w:left w:val="none" w:sz="0" w:space="0" w:color="auto"/>
                <w:bottom w:val="none" w:sz="0" w:space="0" w:color="auto"/>
                <w:right w:val="none" w:sz="0" w:space="0" w:color="auto"/>
              </w:divBdr>
            </w:div>
          </w:divsChild>
        </w:div>
        <w:div w:id="842087087">
          <w:marLeft w:val="0"/>
          <w:marRight w:val="0"/>
          <w:marTop w:val="0"/>
          <w:marBottom w:val="0"/>
          <w:divBdr>
            <w:top w:val="none" w:sz="0" w:space="0" w:color="auto"/>
            <w:left w:val="none" w:sz="0" w:space="0" w:color="auto"/>
            <w:bottom w:val="none" w:sz="0" w:space="0" w:color="auto"/>
            <w:right w:val="none" w:sz="0" w:space="0" w:color="auto"/>
          </w:divBdr>
          <w:divsChild>
            <w:div w:id="1298414978">
              <w:marLeft w:val="0"/>
              <w:marRight w:val="0"/>
              <w:marTop w:val="0"/>
              <w:marBottom w:val="0"/>
              <w:divBdr>
                <w:top w:val="none" w:sz="0" w:space="0" w:color="auto"/>
                <w:left w:val="none" w:sz="0" w:space="0" w:color="auto"/>
                <w:bottom w:val="none" w:sz="0" w:space="0" w:color="auto"/>
                <w:right w:val="none" w:sz="0" w:space="0" w:color="auto"/>
              </w:divBdr>
            </w:div>
          </w:divsChild>
        </w:div>
        <w:div w:id="843282491">
          <w:marLeft w:val="0"/>
          <w:marRight w:val="0"/>
          <w:marTop w:val="0"/>
          <w:marBottom w:val="0"/>
          <w:divBdr>
            <w:top w:val="none" w:sz="0" w:space="0" w:color="auto"/>
            <w:left w:val="none" w:sz="0" w:space="0" w:color="auto"/>
            <w:bottom w:val="none" w:sz="0" w:space="0" w:color="auto"/>
            <w:right w:val="none" w:sz="0" w:space="0" w:color="auto"/>
          </w:divBdr>
          <w:divsChild>
            <w:div w:id="748580092">
              <w:marLeft w:val="0"/>
              <w:marRight w:val="0"/>
              <w:marTop w:val="0"/>
              <w:marBottom w:val="0"/>
              <w:divBdr>
                <w:top w:val="none" w:sz="0" w:space="0" w:color="auto"/>
                <w:left w:val="none" w:sz="0" w:space="0" w:color="auto"/>
                <w:bottom w:val="none" w:sz="0" w:space="0" w:color="auto"/>
                <w:right w:val="none" w:sz="0" w:space="0" w:color="auto"/>
              </w:divBdr>
            </w:div>
          </w:divsChild>
        </w:div>
        <w:div w:id="892928571">
          <w:marLeft w:val="0"/>
          <w:marRight w:val="0"/>
          <w:marTop w:val="0"/>
          <w:marBottom w:val="0"/>
          <w:divBdr>
            <w:top w:val="none" w:sz="0" w:space="0" w:color="auto"/>
            <w:left w:val="none" w:sz="0" w:space="0" w:color="auto"/>
            <w:bottom w:val="none" w:sz="0" w:space="0" w:color="auto"/>
            <w:right w:val="none" w:sz="0" w:space="0" w:color="auto"/>
          </w:divBdr>
          <w:divsChild>
            <w:div w:id="2071414120">
              <w:marLeft w:val="0"/>
              <w:marRight w:val="0"/>
              <w:marTop w:val="0"/>
              <w:marBottom w:val="0"/>
              <w:divBdr>
                <w:top w:val="none" w:sz="0" w:space="0" w:color="auto"/>
                <w:left w:val="none" w:sz="0" w:space="0" w:color="auto"/>
                <w:bottom w:val="none" w:sz="0" w:space="0" w:color="auto"/>
                <w:right w:val="none" w:sz="0" w:space="0" w:color="auto"/>
              </w:divBdr>
            </w:div>
          </w:divsChild>
        </w:div>
        <w:div w:id="909925429">
          <w:marLeft w:val="0"/>
          <w:marRight w:val="0"/>
          <w:marTop w:val="0"/>
          <w:marBottom w:val="0"/>
          <w:divBdr>
            <w:top w:val="none" w:sz="0" w:space="0" w:color="auto"/>
            <w:left w:val="none" w:sz="0" w:space="0" w:color="auto"/>
            <w:bottom w:val="none" w:sz="0" w:space="0" w:color="auto"/>
            <w:right w:val="none" w:sz="0" w:space="0" w:color="auto"/>
          </w:divBdr>
          <w:divsChild>
            <w:div w:id="1455557954">
              <w:marLeft w:val="0"/>
              <w:marRight w:val="0"/>
              <w:marTop w:val="0"/>
              <w:marBottom w:val="0"/>
              <w:divBdr>
                <w:top w:val="none" w:sz="0" w:space="0" w:color="auto"/>
                <w:left w:val="none" w:sz="0" w:space="0" w:color="auto"/>
                <w:bottom w:val="none" w:sz="0" w:space="0" w:color="auto"/>
                <w:right w:val="none" w:sz="0" w:space="0" w:color="auto"/>
              </w:divBdr>
            </w:div>
          </w:divsChild>
        </w:div>
        <w:div w:id="955134508">
          <w:marLeft w:val="0"/>
          <w:marRight w:val="0"/>
          <w:marTop w:val="0"/>
          <w:marBottom w:val="0"/>
          <w:divBdr>
            <w:top w:val="none" w:sz="0" w:space="0" w:color="auto"/>
            <w:left w:val="none" w:sz="0" w:space="0" w:color="auto"/>
            <w:bottom w:val="none" w:sz="0" w:space="0" w:color="auto"/>
            <w:right w:val="none" w:sz="0" w:space="0" w:color="auto"/>
          </w:divBdr>
          <w:divsChild>
            <w:div w:id="67268574">
              <w:marLeft w:val="0"/>
              <w:marRight w:val="0"/>
              <w:marTop w:val="0"/>
              <w:marBottom w:val="0"/>
              <w:divBdr>
                <w:top w:val="none" w:sz="0" w:space="0" w:color="auto"/>
                <w:left w:val="none" w:sz="0" w:space="0" w:color="auto"/>
                <w:bottom w:val="none" w:sz="0" w:space="0" w:color="auto"/>
                <w:right w:val="none" w:sz="0" w:space="0" w:color="auto"/>
              </w:divBdr>
            </w:div>
          </w:divsChild>
        </w:div>
        <w:div w:id="964776945">
          <w:marLeft w:val="0"/>
          <w:marRight w:val="0"/>
          <w:marTop w:val="0"/>
          <w:marBottom w:val="0"/>
          <w:divBdr>
            <w:top w:val="none" w:sz="0" w:space="0" w:color="auto"/>
            <w:left w:val="none" w:sz="0" w:space="0" w:color="auto"/>
            <w:bottom w:val="none" w:sz="0" w:space="0" w:color="auto"/>
            <w:right w:val="none" w:sz="0" w:space="0" w:color="auto"/>
          </w:divBdr>
          <w:divsChild>
            <w:div w:id="1744718281">
              <w:marLeft w:val="0"/>
              <w:marRight w:val="0"/>
              <w:marTop w:val="0"/>
              <w:marBottom w:val="0"/>
              <w:divBdr>
                <w:top w:val="none" w:sz="0" w:space="0" w:color="auto"/>
                <w:left w:val="none" w:sz="0" w:space="0" w:color="auto"/>
                <w:bottom w:val="none" w:sz="0" w:space="0" w:color="auto"/>
                <w:right w:val="none" w:sz="0" w:space="0" w:color="auto"/>
              </w:divBdr>
            </w:div>
          </w:divsChild>
        </w:div>
        <w:div w:id="993030874">
          <w:marLeft w:val="0"/>
          <w:marRight w:val="0"/>
          <w:marTop w:val="0"/>
          <w:marBottom w:val="0"/>
          <w:divBdr>
            <w:top w:val="none" w:sz="0" w:space="0" w:color="auto"/>
            <w:left w:val="none" w:sz="0" w:space="0" w:color="auto"/>
            <w:bottom w:val="none" w:sz="0" w:space="0" w:color="auto"/>
            <w:right w:val="none" w:sz="0" w:space="0" w:color="auto"/>
          </w:divBdr>
          <w:divsChild>
            <w:div w:id="406345485">
              <w:marLeft w:val="0"/>
              <w:marRight w:val="0"/>
              <w:marTop w:val="0"/>
              <w:marBottom w:val="0"/>
              <w:divBdr>
                <w:top w:val="none" w:sz="0" w:space="0" w:color="auto"/>
                <w:left w:val="none" w:sz="0" w:space="0" w:color="auto"/>
                <w:bottom w:val="none" w:sz="0" w:space="0" w:color="auto"/>
                <w:right w:val="none" w:sz="0" w:space="0" w:color="auto"/>
              </w:divBdr>
            </w:div>
          </w:divsChild>
        </w:div>
        <w:div w:id="998340812">
          <w:marLeft w:val="0"/>
          <w:marRight w:val="0"/>
          <w:marTop w:val="0"/>
          <w:marBottom w:val="0"/>
          <w:divBdr>
            <w:top w:val="none" w:sz="0" w:space="0" w:color="auto"/>
            <w:left w:val="none" w:sz="0" w:space="0" w:color="auto"/>
            <w:bottom w:val="none" w:sz="0" w:space="0" w:color="auto"/>
            <w:right w:val="none" w:sz="0" w:space="0" w:color="auto"/>
          </w:divBdr>
          <w:divsChild>
            <w:div w:id="1524442099">
              <w:marLeft w:val="0"/>
              <w:marRight w:val="0"/>
              <w:marTop w:val="0"/>
              <w:marBottom w:val="0"/>
              <w:divBdr>
                <w:top w:val="none" w:sz="0" w:space="0" w:color="auto"/>
                <w:left w:val="none" w:sz="0" w:space="0" w:color="auto"/>
                <w:bottom w:val="none" w:sz="0" w:space="0" w:color="auto"/>
                <w:right w:val="none" w:sz="0" w:space="0" w:color="auto"/>
              </w:divBdr>
            </w:div>
          </w:divsChild>
        </w:div>
        <w:div w:id="1075469353">
          <w:marLeft w:val="0"/>
          <w:marRight w:val="0"/>
          <w:marTop w:val="0"/>
          <w:marBottom w:val="0"/>
          <w:divBdr>
            <w:top w:val="none" w:sz="0" w:space="0" w:color="auto"/>
            <w:left w:val="none" w:sz="0" w:space="0" w:color="auto"/>
            <w:bottom w:val="none" w:sz="0" w:space="0" w:color="auto"/>
            <w:right w:val="none" w:sz="0" w:space="0" w:color="auto"/>
          </w:divBdr>
          <w:divsChild>
            <w:div w:id="1708868317">
              <w:marLeft w:val="0"/>
              <w:marRight w:val="0"/>
              <w:marTop w:val="0"/>
              <w:marBottom w:val="0"/>
              <w:divBdr>
                <w:top w:val="none" w:sz="0" w:space="0" w:color="auto"/>
                <w:left w:val="none" w:sz="0" w:space="0" w:color="auto"/>
                <w:bottom w:val="none" w:sz="0" w:space="0" w:color="auto"/>
                <w:right w:val="none" w:sz="0" w:space="0" w:color="auto"/>
              </w:divBdr>
            </w:div>
          </w:divsChild>
        </w:div>
        <w:div w:id="1078403254">
          <w:marLeft w:val="0"/>
          <w:marRight w:val="0"/>
          <w:marTop w:val="0"/>
          <w:marBottom w:val="0"/>
          <w:divBdr>
            <w:top w:val="none" w:sz="0" w:space="0" w:color="auto"/>
            <w:left w:val="none" w:sz="0" w:space="0" w:color="auto"/>
            <w:bottom w:val="none" w:sz="0" w:space="0" w:color="auto"/>
            <w:right w:val="none" w:sz="0" w:space="0" w:color="auto"/>
          </w:divBdr>
          <w:divsChild>
            <w:div w:id="893272557">
              <w:marLeft w:val="0"/>
              <w:marRight w:val="0"/>
              <w:marTop w:val="0"/>
              <w:marBottom w:val="0"/>
              <w:divBdr>
                <w:top w:val="none" w:sz="0" w:space="0" w:color="auto"/>
                <w:left w:val="none" w:sz="0" w:space="0" w:color="auto"/>
                <w:bottom w:val="none" w:sz="0" w:space="0" w:color="auto"/>
                <w:right w:val="none" w:sz="0" w:space="0" w:color="auto"/>
              </w:divBdr>
            </w:div>
          </w:divsChild>
        </w:div>
        <w:div w:id="1088696079">
          <w:marLeft w:val="0"/>
          <w:marRight w:val="0"/>
          <w:marTop w:val="0"/>
          <w:marBottom w:val="0"/>
          <w:divBdr>
            <w:top w:val="none" w:sz="0" w:space="0" w:color="auto"/>
            <w:left w:val="none" w:sz="0" w:space="0" w:color="auto"/>
            <w:bottom w:val="none" w:sz="0" w:space="0" w:color="auto"/>
            <w:right w:val="none" w:sz="0" w:space="0" w:color="auto"/>
          </w:divBdr>
          <w:divsChild>
            <w:div w:id="1469009380">
              <w:marLeft w:val="0"/>
              <w:marRight w:val="0"/>
              <w:marTop w:val="0"/>
              <w:marBottom w:val="0"/>
              <w:divBdr>
                <w:top w:val="none" w:sz="0" w:space="0" w:color="auto"/>
                <w:left w:val="none" w:sz="0" w:space="0" w:color="auto"/>
                <w:bottom w:val="none" w:sz="0" w:space="0" w:color="auto"/>
                <w:right w:val="none" w:sz="0" w:space="0" w:color="auto"/>
              </w:divBdr>
            </w:div>
          </w:divsChild>
        </w:div>
        <w:div w:id="1104764422">
          <w:marLeft w:val="0"/>
          <w:marRight w:val="0"/>
          <w:marTop w:val="0"/>
          <w:marBottom w:val="0"/>
          <w:divBdr>
            <w:top w:val="none" w:sz="0" w:space="0" w:color="auto"/>
            <w:left w:val="none" w:sz="0" w:space="0" w:color="auto"/>
            <w:bottom w:val="none" w:sz="0" w:space="0" w:color="auto"/>
            <w:right w:val="none" w:sz="0" w:space="0" w:color="auto"/>
          </w:divBdr>
          <w:divsChild>
            <w:div w:id="1784032508">
              <w:marLeft w:val="0"/>
              <w:marRight w:val="0"/>
              <w:marTop w:val="0"/>
              <w:marBottom w:val="0"/>
              <w:divBdr>
                <w:top w:val="none" w:sz="0" w:space="0" w:color="auto"/>
                <w:left w:val="none" w:sz="0" w:space="0" w:color="auto"/>
                <w:bottom w:val="none" w:sz="0" w:space="0" w:color="auto"/>
                <w:right w:val="none" w:sz="0" w:space="0" w:color="auto"/>
              </w:divBdr>
            </w:div>
          </w:divsChild>
        </w:div>
        <w:div w:id="1107165385">
          <w:marLeft w:val="0"/>
          <w:marRight w:val="0"/>
          <w:marTop w:val="0"/>
          <w:marBottom w:val="0"/>
          <w:divBdr>
            <w:top w:val="none" w:sz="0" w:space="0" w:color="auto"/>
            <w:left w:val="none" w:sz="0" w:space="0" w:color="auto"/>
            <w:bottom w:val="none" w:sz="0" w:space="0" w:color="auto"/>
            <w:right w:val="none" w:sz="0" w:space="0" w:color="auto"/>
          </w:divBdr>
          <w:divsChild>
            <w:div w:id="1092700417">
              <w:marLeft w:val="0"/>
              <w:marRight w:val="0"/>
              <w:marTop w:val="0"/>
              <w:marBottom w:val="0"/>
              <w:divBdr>
                <w:top w:val="none" w:sz="0" w:space="0" w:color="auto"/>
                <w:left w:val="none" w:sz="0" w:space="0" w:color="auto"/>
                <w:bottom w:val="none" w:sz="0" w:space="0" w:color="auto"/>
                <w:right w:val="none" w:sz="0" w:space="0" w:color="auto"/>
              </w:divBdr>
            </w:div>
          </w:divsChild>
        </w:div>
        <w:div w:id="1257976447">
          <w:marLeft w:val="0"/>
          <w:marRight w:val="0"/>
          <w:marTop w:val="0"/>
          <w:marBottom w:val="0"/>
          <w:divBdr>
            <w:top w:val="none" w:sz="0" w:space="0" w:color="auto"/>
            <w:left w:val="none" w:sz="0" w:space="0" w:color="auto"/>
            <w:bottom w:val="none" w:sz="0" w:space="0" w:color="auto"/>
            <w:right w:val="none" w:sz="0" w:space="0" w:color="auto"/>
          </w:divBdr>
          <w:divsChild>
            <w:div w:id="1095521271">
              <w:marLeft w:val="0"/>
              <w:marRight w:val="0"/>
              <w:marTop w:val="0"/>
              <w:marBottom w:val="0"/>
              <w:divBdr>
                <w:top w:val="none" w:sz="0" w:space="0" w:color="auto"/>
                <w:left w:val="none" w:sz="0" w:space="0" w:color="auto"/>
                <w:bottom w:val="none" w:sz="0" w:space="0" w:color="auto"/>
                <w:right w:val="none" w:sz="0" w:space="0" w:color="auto"/>
              </w:divBdr>
            </w:div>
          </w:divsChild>
        </w:div>
        <w:div w:id="1337146833">
          <w:marLeft w:val="0"/>
          <w:marRight w:val="0"/>
          <w:marTop w:val="0"/>
          <w:marBottom w:val="0"/>
          <w:divBdr>
            <w:top w:val="none" w:sz="0" w:space="0" w:color="auto"/>
            <w:left w:val="none" w:sz="0" w:space="0" w:color="auto"/>
            <w:bottom w:val="none" w:sz="0" w:space="0" w:color="auto"/>
            <w:right w:val="none" w:sz="0" w:space="0" w:color="auto"/>
          </w:divBdr>
          <w:divsChild>
            <w:div w:id="828789708">
              <w:marLeft w:val="0"/>
              <w:marRight w:val="0"/>
              <w:marTop w:val="0"/>
              <w:marBottom w:val="0"/>
              <w:divBdr>
                <w:top w:val="none" w:sz="0" w:space="0" w:color="auto"/>
                <w:left w:val="none" w:sz="0" w:space="0" w:color="auto"/>
                <w:bottom w:val="none" w:sz="0" w:space="0" w:color="auto"/>
                <w:right w:val="none" w:sz="0" w:space="0" w:color="auto"/>
              </w:divBdr>
            </w:div>
          </w:divsChild>
        </w:div>
        <w:div w:id="1341737210">
          <w:marLeft w:val="0"/>
          <w:marRight w:val="0"/>
          <w:marTop w:val="0"/>
          <w:marBottom w:val="0"/>
          <w:divBdr>
            <w:top w:val="none" w:sz="0" w:space="0" w:color="auto"/>
            <w:left w:val="none" w:sz="0" w:space="0" w:color="auto"/>
            <w:bottom w:val="none" w:sz="0" w:space="0" w:color="auto"/>
            <w:right w:val="none" w:sz="0" w:space="0" w:color="auto"/>
          </w:divBdr>
          <w:divsChild>
            <w:div w:id="724724142">
              <w:marLeft w:val="0"/>
              <w:marRight w:val="0"/>
              <w:marTop w:val="0"/>
              <w:marBottom w:val="0"/>
              <w:divBdr>
                <w:top w:val="none" w:sz="0" w:space="0" w:color="auto"/>
                <w:left w:val="none" w:sz="0" w:space="0" w:color="auto"/>
                <w:bottom w:val="none" w:sz="0" w:space="0" w:color="auto"/>
                <w:right w:val="none" w:sz="0" w:space="0" w:color="auto"/>
              </w:divBdr>
            </w:div>
          </w:divsChild>
        </w:div>
        <w:div w:id="1347826441">
          <w:marLeft w:val="0"/>
          <w:marRight w:val="0"/>
          <w:marTop w:val="0"/>
          <w:marBottom w:val="0"/>
          <w:divBdr>
            <w:top w:val="none" w:sz="0" w:space="0" w:color="auto"/>
            <w:left w:val="none" w:sz="0" w:space="0" w:color="auto"/>
            <w:bottom w:val="none" w:sz="0" w:space="0" w:color="auto"/>
            <w:right w:val="none" w:sz="0" w:space="0" w:color="auto"/>
          </w:divBdr>
          <w:divsChild>
            <w:div w:id="1745714397">
              <w:marLeft w:val="0"/>
              <w:marRight w:val="0"/>
              <w:marTop w:val="0"/>
              <w:marBottom w:val="0"/>
              <w:divBdr>
                <w:top w:val="none" w:sz="0" w:space="0" w:color="auto"/>
                <w:left w:val="none" w:sz="0" w:space="0" w:color="auto"/>
                <w:bottom w:val="none" w:sz="0" w:space="0" w:color="auto"/>
                <w:right w:val="none" w:sz="0" w:space="0" w:color="auto"/>
              </w:divBdr>
            </w:div>
          </w:divsChild>
        </w:div>
        <w:div w:id="1396971381">
          <w:marLeft w:val="0"/>
          <w:marRight w:val="0"/>
          <w:marTop w:val="0"/>
          <w:marBottom w:val="0"/>
          <w:divBdr>
            <w:top w:val="none" w:sz="0" w:space="0" w:color="auto"/>
            <w:left w:val="none" w:sz="0" w:space="0" w:color="auto"/>
            <w:bottom w:val="none" w:sz="0" w:space="0" w:color="auto"/>
            <w:right w:val="none" w:sz="0" w:space="0" w:color="auto"/>
          </w:divBdr>
          <w:divsChild>
            <w:div w:id="699009974">
              <w:marLeft w:val="0"/>
              <w:marRight w:val="0"/>
              <w:marTop w:val="0"/>
              <w:marBottom w:val="0"/>
              <w:divBdr>
                <w:top w:val="none" w:sz="0" w:space="0" w:color="auto"/>
                <w:left w:val="none" w:sz="0" w:space="0" w:color="auto"/>
                <w:bottom w:val="none" w:sz="0" w:space="0" w:color="auto"/>
                <w:right w:val="none" w:sz="0" w:space="0" w:color="auto"/>
              </w:divBdr>
            </w:div>
          </w:divsChild>
        </w:div>
        <w:div w:id="1402218720">
          <w:marLeft w:val="0"/>
          <w:marRight w:val="0"/>
          <w:marTop w:val="0"/>
          <w:marBottom w:val="0"/>
          <w:divBdr>
            <w:top w:val="none" w:sz="0" w:space="0" w:color="auto"/>
            <w:left w:val="none" w:sz="0" w:space="0" w:color="auto"/>
            <w:bottom w:val="none" w:sz="0" w:space="0" w:color="auto"/>
            <w:right w:val="none" w:sz="0" w:space="0" w:color="auto"/>
          </w:divBdr>
          <w:divsChild>
            <w:div w:id="2043356932">
              <w:marLeft w:val="0"/>
              <w:marRight w:val="0"/>
              <w:marTop w:val="0"/>
              <w:marBottom w:val="0"/>
              <w:divBdr>
                <w:top w:val="none" w:sz="0" w:space="0" w:color="auto"/>
                <w:left w:val="none" w:sz="0" w:space="0" w:color="auto"/>
                <w:bottom w:val="none" w:sz="0" w:space="0" w:color="auto"/>
                <w:right w:val="none" w:sz="0" w:space="0" w:color="auto"/>
              </w:divBdr>
            </w:div>
          </w:divsChild>
        </w:div>
        <w:div w:id="1534731616">
          <w:marLeft w:val="0"/>
          <w:marRight w:val="0"/>
          <w:marTop w:val="0"/>
          <w:marBottom w:val="0"/>
          <w:divBdr>
            <w:top w:val="none" w:sz="0" w:space="0" w:color="auto"/>
            <w:left w:val="none" w:sz="0" w:space="0" w:color="auto"/>
            <w:bottom w:val="none" w:sz="0" w:space="0" w:color="auto"/>
            <w:right w:val="none" w:sz="0" w:space="0" w:color="auto"/>
          </w:divBdr>
          <w:divsChild>
            <w:div w:id="1710570966">
              <w:marLeft w:val="0"/>
              <w:marRight w:val="0"/>
              <w:marTop w:val="0"/>
              <w:marBottom w:val="0"/>
              <w:divBdr>
                <w:top w:val="none" w:sz="0" w:space="0" w:color="auto"/>
                <w:left w:val="none" w:sz="0" w:space="0" w:color="auto"/>
                <w:bottom w:val="none" w:sz="0" w:space="0" w:color="auto"/>
                <w:right w:val="none" w:sz="0" w:space="0" w:color="auto"/>
              </w:divBdr>
            </w:div>
          </w:divsChild>
        </w:div>
        <w:div w:id="1535381871">
          <w:marLeft w:val="0"/>
          <w:marRight w:val="0"/>
          <w:marTop w:val="0"/>
          <w:marBottom w:val="0"/>
          <w:divBdr>
            <w:top w:val="none" w:sz="0" w:space="0" w:color="auto"/>
            <w:left w:val="none" w:sz="0" w:space="0" w:color="auto"/>
            <w:bottom w:val="none" w:sz="0" w:space="0" w:color="auto"/>
            <w:right w:val="none" w:sz="0" w:space="0" w:color="auto"/>
          </w:divBdr>
          <w:divsChild>
            <w:div w:id="514462994">
              <w:marLeft w:val="0"/>
              <w:marRight w:val="0"/>
              <w:marTop w:val="0"/>
              <w:marBottom w:val="0"/>
              <w:divBdr>
                <w:top w:val="none" w:sz="0" w:space="0" w:color="auto"/>
                <w:left w:val="none" w:sz="0" w:space="0" w:color="auto"/>
                <w:bottom w:val="none" w:sz="0" w:space="0" w:color="auto"/>
                <w:right w:val="none" w:sz="0" w:space="0" w:color="auto"/>
              </w:divBdr>
            </w:div>
          </w:divsChild>
        </w:div>
        <w:div w:id="1547570696">
          <w:marLeft w:val="0"/>
          <w:marRight w:val="0"/>
          <w:marTop w:val="0"/>
          <w:marBottom w:val="0"/>
          <w:divBdr>
            <w:top w:val="none" w:sz="0" w:space="0" w:color="auto"/>
            <w:left w:val="none" w:sz="0" w:space="0" w:color="auto"/>
            <w:bottom w:val="none" w:sz="0" w:space="0" w:color="auto"/>
            <w:right w:val="none" w:sz="0" w:space="0" w:color="auto"/>
          </w:divBdr>
          <w:divsChild>
            <w:div w:id="83694526">
              <w:marLeft w:val="0"/>
              <w:marRight w:val="0"/>
              <w:marTop w:val="0"/>
              <w:marBottom w:val="0"/>
              <w:divBdr>
                <w:top w:val="none" w:sz="0" w:space="0" w:color="auto"/>
                <w:left w:val="none" w:sz="0" w:space="0" w:color="auto"/>
                <w:bottom w:val="none" w:sz="0" w:space="0" w:color="auto"/>
                <w:right w:val="none" w:sz="0" w:space="0" w:color="auto"/>
              </w:divBdr>
            </w:div>
          </w:divsChild>
        </w:div>
        <w:div w:id="1547644154">
          <w:marLeft w:val="0"/>
          <w:marRight w:val="0"/>
          <w:marTop w:val="0"/>
          <w:marBottom w:val="0"/>
          <w:divBdr>
            <w:top w:val="none" w:sz="0" w:space="0" w:color="auto"/>
            <w:left w:val="none" w:sz="0" w:space="0" w:color="auto"/>
            <w:bottom w:val="none" w:sz="0" w:space="0" w:color="auto"/>
            <w:right w:val="none" w:sz="0" w:space="0" w:color="auto"/>
          </w:divBdr>
          <w:divsChild>
            <w:div w:id="485899881">
              <w:marLeft w:val="0"/>
              <w:marRight w:val="0"/>
              <w:marTop w:val="0"/>
              <w:marBottom w:val="0"/>
              <w:divBdr>
                <w:top w:val="none" w:sz="0" w:space="0" w:color="auto"/>
                <w:left w:val="none" w:sz="0" w:space="0" w:color="auto"/>
                <w:bottom w:val="none" w:sz="0" w:space="0" w:color="auto"/>
                <w:right w:val="none" w:sz="0" w:space="0" w:color="auto"/>
              </w:divBdr>
            </w:div>
          </w:divsChild>
        </w:div>
        <w:div w:id="1593582101">
          <w:marLeft w:val="0"/>
          <w:marRight w:val="0"/>
          <w:marTop w:val="0"/>
          <w:marBottom w:val="0"/>
          <w:divBdr>
            <w:top w:val="none" w:sz="0" w:space="0" w:color="auto"/>
            <w:left w:val="none" w:sz="0" w:space="0" w:color="auto"/>
            <w:bottom w:val="none" w:sz="0" w:space="0" w:color="auto"/>
            <w:right w:val="none" w:sz="0" w:space="0" w:color="auto"/>
          </w:divBdr>
          <w:divsChild>
            <w:div w:id="1567842570">
              <w:marLeft w:val="0"/>
              <w:marRight w:val="0"/>
              <w:marTop w:val="0"/>
              <w:marBottom w:val="0"/>
              <w:divBdr>
                <w:top w:val="none" w:sz="0" w:space="0" w:color="auto"/>
                <w:left w:val="none" w:sz="0" w:space="0" w:color="auto"/>
                <w:bottom w:val="none" w:sz="0" w:space="0" w:color="auto"/>
                <w:right w:val="none" w:sz="0" w:space="0" w:color="auto"/>
              </w:divBdr>
            </w:div>
          </w:divsChild>
        </w:div>
        <w:div w:id="1626735808">
          <w:marLeft w:val="0"/>
          <w:marRight w:val="0"/>
          <w:marTop w:val="0"/>
          <w:marBottom w:val="0"/>
          <w:divBdr>
            <w:top w:val="none" w:sz="0" w:space="0" w:color="auto"/>
            <w:left w:val="none" w:sz="0" w:space="0" w:color="auto"/>
            <w:bottom w:val="none" w:sz="0" w:space="0" w:color="auto"/>
            <w:right w:val="none" w:sz="0" w:space="0" w:color="auto"/>
          </w:divBdr>
          <w:divsChild>
            <w:div w:id="1832989302">
              <w:marLeft w:val="0"/>
              <w:marRight w:val="0"/>
              <w:marTop w:val="0"/>
              <w:marBottom w:val="0"/>
              <w:divBdr>
                <w:top w:val="none" w:sz="0" w:space="0" w:color="auto"/>
                <w:left w:val="none" w:sz="0" w:space="0" w:color="auto"/>
                <w:bottom w:val="none" w:sz="0" w:space="0" w:color="auto"/>
                <w:right w:val="none" w:sz="0" w:space="0" w:color="auto"/>
              </w:divBdr>
            </w:div>
          </w:divsChild>
        </w:div>
        <w:div w:id="1647933902">
          <w:marLeft w:val="0"/>
          <w:marRight w:val="0"/>
          <w:marTop w:val="0"/>
          <w:marBottom w:val="0"/>
          <w:divBdr>
            <w:top w:val="none" w:sz="0" w:space="0" w:color="auto"/>
            <w:left w:val="none" w:sz="0" w:space="0" w:color="auto"/>
            <w:bottom w:val="none" w:sz="0" w:space="0" w:color="auto"/>
            <w:right w:val="none" w:sz="0" w:space="0" w:color="auto"/>
          </w:divBdr>
          <w:divsChild>
            <w:div w:id="1506900616">
              <w:marLeft w:val="0"/>
              <w:marRight w:val="0"/>
              <w:marTop w:val="0"/>
              <w:marBottom w:val="0"/>
              <w:divBdr>
                <w:top w:val="none" w:sz="0" w:space="0" w:color="auto"/>
                <w:left w:val="none" w:sz="0" w:space="0" w:color="auto"/>
                <w:bottom w:val="none" w:sz="0" w:space="0" w:color="auto"/>
                <w:right w:val="none" w:sz="0" w:space="0" w:color="auto"/>
              </w:divBdr>
            </w:div>
          </w:divsChild>
        </w:div>
        <w:div w:id="1733120872">
          <w:marLeft w:val="0"/>
          <w:marRight w:val="0"/>
          <w:marTop w:val="0"/>
          <w:marBottom w:val="0"/>
          <w:divBdr>
            <w:top w:val="none" w:sz="0" w:space="0" w:color="auto"/>
            <w:left w:val="none" w:sz="0" w:space="0" w:color="auto"/>
            <w:bottom w:val="none" w:sz="0" w:space="0" w:color="auto"/>
            <w:right w:val="none" w:sz="0" w:space="0" w:color="auto"/>
          </w:divBdr>
          <w:divsChild>
            <w:div w:id="1854757680">
              <w:marLeft w:val="0"/>
              <w:marRight w:val="0"/>
              <w:marTop w:val="0"/>
              <w:marBottom w:val="0"/>
              <w:divBdr>
                <w:top w:val="none" w:sz="0" w:space="0" w:color="auto"/>
                <w:left w:val="none" w:sz="0" w:space="0" w:color="auto"/>
                <w:bottom w:val="none" w:sz="0" w:space="0" w:color="auto"/>
                <w:right w:val="none" w:sz="0" w:space="0" w:color="auto"/>
              </w:divBdr>
            </w:div>
          </w:divsChild>
        </w:div>
        <w:div w:id="1789740524">
          <w:marLeft w:val="0"/>
          <w:marRight w:val="0"/>
          <w:marTop w:val="0"/>
          <w:marBottom w:val="0"/>
          <w:divBdr>
            <w:top w:val="none" w:sz="0" w:space="0" w:color="auto"/>
            <w:left w:val="none" w:sz="0" w:space="0" w:color="auto"/>
            <w:bottom w:val="none" w:sz="0" w:space="0" w:color="auto"/>
            <w:right w:val="none" w:sz="0" w:space="0" w:color="auto"/>
          </w:divBdr>
          <w:divsChild>
            <w:div w:id="175193545">
              <w:marLeft w:val="0"/>
              <w:marRight w:val="0"/>
              <w:marTop w:val="0"/>
              <w:marBottom w:val="0"/>
              <w:divBdr>
                <w:top w:val="none" w:sz="0" w:space="0" w:color="auto"/>
                <w:left w:val="none" w:sz="0" w:space="0" w:color="auto"/>
                <w:bottom w:val="none" w:sz="0" w:space="0" w:color="auto"/>
                <w:right w:val="none" w:sz="0" w:space="0" w:color="auto"/>
              </w:divBdr>
            </w:div>
          </w:divsChild>
        </w:div>
        <w:div w:id="1817642646">
          <w:marLeft w:val="0"/>
          <w:marRight w:val="0"/>
          <w:marTop w:val="0"/>
          <w:marBottom w:val="0"/>
          <w:divBdr>
            <w:top w:val="none" w:sz="0" w:space="0" w:color="auto"/>
            <w:left w:val="none" w:sz="0" w:space="0" w:color="auto"/>
            <w:bottom w:val="none" w:sz="0" w:space="0" w:color="auto"/>
            <w:right w:val="none" w:sz="0" w:space="0" w:color="auto"/>
          </w:divBdr>
          <w:divsChild>
            <w:div w:id="595864248">
              <w:marLeft w:val="0"/>
              <w:marRight w:val="0"/>
              <w:marTop w:val="0"/>
              <w:marBottom w:val="0"/>
              <w:divBdr>
                <w:top w:val="none" w:sz="0" w:space="0" w:color="auto"/>
                <w:left w:val="none" w:sz="0" w:space="0" w:color="auto"/>
                <w:bottom w:val="none" w:sz="0" w:space="0" w:color="auto"/>
                <w:right w:val="none" w:sz="0" w:space="0" w:color="auto"/>
              </w:divBdr>
            </w:div>
          </w:divsChild>
        </w:div>
        <w:div w:id="1905607664">
          <w:marLeft w:val="0"/>
          <w:marRight w:val="0"/>
          <w:marTop w:val="0"/>
          <w:marBottom w:val="0"/>
          <w:divBdr>
            <w:top w:val="none" w:sz="0" w:space="0" w:color="auto"/>
            <w:left w:val="none" w:sz="0" w:space="0" w:color="auto"/>
            <w:bottom w:val="none" w:sz="0" w:space="0" w:color="auto"/>
            <w:right w:val="none" w:sz="0" w:space="0" w:color="auto"/>
          </w:divBdr>
          <w:divsChild>
            <w:div w:id="253437994">
              <w:marLeft w:val="0"/>
              <w:marRight w:val="0"/>
              <w:marTop w:val="0"/>
              <w:marBottom w:val="0"/>
              <w:divBdr>
                <w:top w:val="none" w:sz="0" w:space="0" w:color="auto"/>
                <w:left w:val="none" w:sz="0" w:space="0" w:color="auto"/>
                <w:bottom w:val="none" w:sz="0" w:space="0" w:color="auto"/>
                <w:right w:val="none" w:sz="0" w:space="0" w:color="auto"/>
              </w:divBdr>
            </w:div>
          </w:divsChild>
        </w:div>
        <w:div w:id="2111273624">
          <w:marLeft w:val="0"/>
          <w:marRight w:val="0"/>
          <w:marTop w:val="0"/>
          <w:marBottom w:val="0"/>
          <w:divBdr>
            <w:top w:val="none" w:sz="0" w:space="0" w:color="auto"/>
            <w:left w:val="none" w:sz="0" w:space="0" w:color="auto"/>
            <w:bottom w:val="none" w:sz="0" w:space="0" w:color="auto"/>
            <w:right w:val="none" w:sz="0" w:space="0" w:color="auto"/>
          </w:divBdr>
          <w:divsChild>
            <w:div w:id="3423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56336">
      <w:bodyDiv w:val="1"/>
      <w:marLeft w:val="0"/>
      <w:marRight w:val="0"/>
      <w:marTop w:val="0"/>
      <w:marBottom w:val="0"/>
      <w:divBdr>
        <w:top w:val="none" w:sz="0" w:space="0" w:color="auto"/>
        <w:left w:val="none" w:sz="0" w:space="0" w:color="auto"/>
        <w:bottom w:val="none" w:sz="0" w:space="0" w:color="auto"/>
        <w:right w:val="none" w:sz="0" w:space="0" w:color="auto"/>
      </w:divBdr>
    </w:div>
    <w:div w:id="109904287">
      <w:bodyDiv w:val="1"/>
      <w:marLeft w:val="0"/>
      <w:marRight w:val="0"/>
      <w:marTop w:val="0"/>
      <w:marBottom w:val="0"/>
      <w:divBdr>
        <w:top w:val="none" w:sz="0" w:space="0" w:color="auto"/>
        <w:left w:val="none" w:sz="0" w:space="0" w:color="auto"/>
        <w:bottom w:val="none" w:sz="0" w:space="0" w:color="auto"/>
        <w:right w:val="none" w:sz="0" w:space="0" w:color="auto"/>
      </w:divBdr>
    </w:div>
    <w:div w:id="132410010">
      <w:bodyDiv w:val="1"/>
      <w:marLeft w:val="0"/>
      <w:marRight w:val="0"/>
      <w:marTop w:val="0"/>
      <w:marBottom w:val="0"/>
      <w:divBdr>
        <w:top w:val="none" w:sz="0" w:space="0" w:color="auto"/>
        <w:left w:val="none" w:sz="0" w:space="0" w:color="auto"/>
        <w:bottom w:val="none" w:sz="0" w:space="0" w:color="auto"/>
        <w:right w:val="none" w:sz="0" w:space="0" w:color="auto"/>
      </w:divBdr>
      <w:divsChild>
        <w:div w:id="1691879698">
          <w:marLeft w:val="0"/>
          <w:marRight w:val="0"/>
          <w:marTop w:val="0"/>
          <w:marBottom w:val="0"/>
          <w:divBdr>
            <w:top w:val="none" w:sz="0" w:space="0" w:color="auto"/>
            <w:left w:val="none" w:sz="0" w:space="0" w:color="auto"/>
            <w:bottom w:val="none" w:sz="0" w:space="0" w:color="auto"/>
            <w:right w:val="none" w:sz="0" w:space="0" w:color="auto"/>
          </w:divBdr>
          <w:divsChild>
            <w:div w:id="1999843447">
              <w:marLeft w:val="0"/>
              <w:marRight w:val="0"/>
              <w:marTop w:val="0"/>
              <w:marBottom w:val="0"/>
              <w:divBdr>
                <w:top w:val="none" w:sz="0" w:space="0" w:color="auto"/>
                <w:left w:val="single" w:sz="36" w:space="0" w:color="FFFFFF"/>
                <w:bottom w:val="none" w:sz="0" w:space="0" w:color="auto"/>
                <w:right w:val="single" w:sz="36" w:space="0" w:color="FFFFFF"/>
              </w:divBdr>
              <w:divsChild>
                <w:div w:id="378553348">
                  <w:marLeft w:val="0"/>
                  <w:marRight w:val="0"/>
                  <w:marTop w:val="0"/>
                  <w:marBottom w:val="0"/>
                  <w:divBdr>
                    <w:top w:val="none" w:sz="0" w:space="0" w:color="auto"/>
                    <w:left w:val="none" w:sz="0" w:space="0" w:color="auto"/>
                    <w:bottom w:val="none" w:sz="0" w:space="0" w:color="auto"/>
                    <w:right w:val="none" w:sz="0" w:space="0" w:color="auto"/>
                  </w:divBdr>
                  <w:divsChild>
                    <w:div w:id="1691181470">
                      <w:marLeft w:val="0"/>
                      <w:marRight w:val="0"/>
                      <w:marTop w:val="0"/>
                      <w:marBottom w:val="0"/>
                      <w:divBdr>
                        <w:top w:val="none" w:sz="0" w:space="0" w:color="auto"/>
                        <w:left w:val="none" w:sz="0" w:space="0" w:color="auto"/>
                        <w:bottom w:val="none" w:sz="0" w:space="0" w:color="auto"/>
                        <w:right w:val="none" w:sz="0" w:space="0" w:color="auto"/>
                      </w:divBdr>
                      <w:divsChild>
                        <w:div w:id="1313867979">
                          <w:marLeft w:val="0"/>
                          <w:marRight w:val="0"/>
                          <w:marTop w:val="150"/>
                          <w:marBottom w:val="150"/>
                          <w:divBdr>
                            <w:top w:val="single" w:sz="6" w:space="8" w:color="4498E7"/>
                            <w:left w:val="single" w:sz="6" w:space="8" w:color="4498E7"/>
                            <w:bottom w:val="single" w:sz="6" w:space="8" w:color="2C78BE"/>
                            <w:right w:val="single" w:sz="6" w:space="8" w:color="2C78BE"/>
                          </w:divBdr>
                          <w:divsChild>
                            <w:div w:id="1360622525">
                              <w:marLeft w:val="0"/>
                              <w:marRight w:val="0"/>
                              <w:marTop w:val="0"/>
                              <w:marBottom w:val="0"/>
                              <w:divBdr>
                                <w:top w:val="none" w:sz="0" w:space="0" w:color="auto"/>
                                <w:left w:val="none" w:sz="0" w:space="0" w:color="auto"/>
                                <w:bottom w:val="none" w:sz="0" w:space="0" w:color="auto"/>
                                <w:right w:val="none" w:sz="0" w:space="0" w:color="auto"/>
                              </w:divBdr>
                              <w:divsChild>
                                <w:div w:id="1883519949">
                                  <w:marLeft w:val="0"/>
                                  <w:marRight w:val="0"/>
                                  <w:marTop w:val="0"/>
                                  <w:marBottom w:val="0"/>
                                  <w:divBdr>
                                    <w:top w:val="none" w:sz="0" w:space="0" w:color="auto"/>
                                    <w:left w:val="none" w:sz="0" w:space="0" w:color="auto"/>
                                    <w:bottom w:val="none" w:sz="0" w:space="0" w:color="auto"/>
                                    <w:right w:val="none" w:sz="0" w:space="0" w:color="auto"/>
                                  </w:divBdr>
                                  <w:divsChild>
                                    <w:div w:id="980233849">
                                      <w:marLeft w:val="0"/>
                                      <w:marRight w:val="0"/>
                                      <w:marTop w:val="0"/>
                                      <w:marBottom w:val="0"/>
                                      <w:divBdr>
                                        <w:top w:val="none" w:sz="0" w:space="0" w:color="auto"/>
                                        <w:left w:val="none" w:sz="0" w:space="0" w:color="auto"/>
                                        <w:bottom w:val="single" w:sz="6" w:space="0" w:color="9AA7B9"/>
                                        <w:right w:val="none" w:sz="0" w:space="0" w:color="auto"/>
                                      </w:divBdr>
                                      <w:divsChild>
                                        <w:div w:id="194310286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005875">
      <w:bodyDiv w:val="1"/>
      <w:marLeft w:val="0"/>
      <w:marRight w:val="0"/>
      <w:marTop w:val="0"/>
      <w:marBottom w:val="0"/>
      <w:divBdr>
        <w:top w:val="none" w:sz="0" w:space="0" w:color="auto"/>
        <w:left w:val="none" w:sz="0" w:space="0" w:color="auto"/>
        <w:bottom w:val="none" w:sz="0" w:space="0" w:color="auto"/>
        <w:right w:val="none" w:sz="0" w:space="0" w:color="auto"/>
      </w:divBdr>
      <w:divsChild>
        <w:div w:id="3629705">
          <w:marLeft w:val="0"/>
          <w:marRight w:val="0"/>
          <w:marTop w:val="0"/>
          <w:marBottom w:val="0"/>
          <w:divBdr>
            <w:top w:val="none" w:sz="0" w:space="0" w:color="auto"/>
            <w:left w:val="none" w:sz="0" w:space="0" w:color="auto"/>
            <w:bottom w:val="none" w:sz="0" w:space="0" w:color="auto"/>
            <w:right w:val="none" w:sz="0" w:space="0" w:color="auto"/>
          </w:divBdr>
          <w:divsChild>
            <w:div w:id="783693080">
              <w:marLeft w:val="0"/>
              <w:marRight w:val="0"/>
              <w:marTop w:val="0"/>
              <w:marBottom w:val="0"/>
              <w:divBdr>
                <w:top w:val="none" w:sz="0" w:space="0" w:color="auto"/>
                <w:left w:val="none" w:sz="0" w:space="0" w:color="auto"/>
                <w:bottom w:val="none" w:sz="0" w:space="0" w:color="auto"/>
                <w:right w:val="none" w:sz="0" w:space="0" w:color="auto"/>
              </w:divBdr>
            </w:div>
            <w:div w:id="1250119677">
              <w:marLeft w:val="0"/>
              <w:marRight w:val="0"/>
              <w:marTop w:val="0"/>
              <w:marBottom w:val="0"/>
              <w:divBdr>
                <w:top w:val="none" w:sz="0" w:space="0" w:color="auto"/>
                <w:left w:val="none" w:sz="0" w:space="0" w:color="auto"/>
                <w:bottom w:val="none" w:sz="0" w:space="0" w:color="auto"/>
                <w:right w:val="none" w:sz="0" w:space="0" w:color="auto"/>
              </w:divBdr>
            </w:div>
          </w:divsChild>
        </w:div>
        <w:div w:id="226307181">
          <w:marLeft w:val="0"/>
          <w:marRight w:val="0"/>
          <w:marTop w:val="0"/>
          <w:marBottom w:val="0"/>
          <w:divBdr>
            <w:top w:val="none" w:sz="0" w:space="0" w:color="auto"/>
            <w:left w:val="none" w:sz="0" w:space="0" w:color="auto"/>
            <w:bottom w:val="none" w:sz="0" w:space="0" w:color="auto"/>
            <w:right w:val="none" w:sz="0" w:space="0" w:color="auto"/>
          </w:divBdr>
          <w:divsChild>
            <w:div w:id="1311713213">
              <w:marLeft w:val="0"/>
              <w:marRight w:val="0"/>
              <w:marTop w:val="0"/>
              <w:marBottom w:val="0"/>
              <w:divBdr>
                <w:top w:val="none" w:sz="0" w:space="0" w:color="auto"/>
                <w:left w:val="none" w:sz="0" w:space="0" w:color="auto"/>
                <w:bottom w:val="none" w:sz="0" w:space="0" w:color="auto"/>
                <w:right w:val="none" w:sz="0" w:space="0" w:color="auto"/>
              </w:divBdr>
            </w:div>
          </w:divsChild>
        </w:div>
        <w:div w:id="411778345">
          <w:marLeft w:val="0"/>
          <w:marRight w:val="0"/>
          <w:marTop w:val="0"/>
          <w:marBottom w:val="0"/>
          <w:divBdr>
            <w:top w:val="none" w:sz="0" w:space="0" w:color="auto"/>
            <w:left w:val="none" w:sz="0" w:space="0" w:color="auto"/>
            <w:bottom w:val="none" w:sz="0" w:space="0" w:color="auto"/>
            <w:right w:val="none" w:sz="0" w:space="0" w:color="auto"/>
          </w:divBdr>
          <w:divsChild>
            <w:div w:id="644042895">
              <w:marLeft w:val="0"/>
              <w:marRight w:val="0"/>
              <w:marTop w:val="0"/>
              <w:marBottom w:val="0"/>
              <w:divBdr>
                <w:top w:val="none" w:sz="0" w:space="0" w:color="auto"/>
                <w:left w:val="none" w:sz="0" w:space="0" w:color="auto"/>
                <w:bottom w:val="none" w:sz="0" w:space="0" w:color="auto"/>
                <w:right w:val="none" w:sz="0" w:space="0" w:color="auto"/>
              </w:divBdr>
            </w:div>
          </w:divsChild>
        </w:div>
        <w:div w:id="497157477">
          <w:marLeft w:val="0"/>
          <w:marRight w:val="0"/>
          <w:marTop w:val="0"/>
          <w:marBottom w:val="0"/>
          <w:divBdr>
            <w:top w:val="none" w:sz="0" w:space="0" w:color="auto"/>
            <w:left w:val="none" w:sz="0" w:space="0" w:color="auto"/>
            <w:bottom w:val="none" w:sz="0" w:space="0" w:color="auto"/>
            <w:right w:val="none" w:sz="0" w:space="0" w:color="auto"/>
          </w:divBdr>
          <w:divsChild>
            <w:div w:id="969894743">
              <w:marLeft w:val="0"/>
              <w:marRight w:val="0"/>
              <w:marTop w:val="0"/>
              <w:marBottom w:val="0"/>
              <w:divBdr>
                <w:top w:val="none" w:sz="0" w:space="0" w:color="auto"/>
                <w:left w:val="none" w:sz="0" w:space="0" w:color="auto"/>
                <w:bottom w:val="none" w:sz="0" w:space="0" w:color="auto"/>
                <w:right w:val="none" w:sz="0" w:space="0" w:color="auto"/>
              </w:divBdr>
            </w:div>
          </w:divsChild>
        </w:div>
        <w:div w:id="626200564">
          <w:marLeft w:val="0"/>
          <w:marRight w:val="0"/>
          <w:marTop w:val="0"/>
          <w:marBottom w:val="0"/>
          <w:divBdr>
            <w:top w:val="none" w:sz="0" w:space="0" w:color="auto"/>
            <w:left w:val="none" w:sz="0" w:space="0" w:color="auto"/>
            <w:bottom w:val="none" w:sz="0" w:space="0" w:color="auto"/>
            <w:right w:val="none" w:sz="0" w:space="0" w:color="auto"/>
          </w:divBdr>
          <w:divsChild>
            <w:div w:id="797845027">
              <w:marLeft w:val="0"/>
              <w:marRight w:val="0"/>
              <w:marTop w:val="0"/>
              <w:marBottom w:val="0"/>
              <w:divBdr>
                <w:top w:val="none" w:sz="0" w:space="0" w:color="auto"/>
                <w:left w:val="none" w:sz="0" w:space="0" w:color="auto"/>
                <w:bottom w:val="none" w:sz="0" w:space="0" w:color="auto"/>
                <w:right w:val="none" w:sz="0" w:space="0" w:color="auto"/>
              </w:divBdr>
            </w:div>
          </w:divsChild>
        </w:div>
        <w:div w:id="644505475">
          <w:marLeft w:val="0"/>
          <w:marRight w:val="0"/>
          <w:marTop w:val="0"/>
          <w:marBottom w:val="0"/>
          <w:divBdr>
            <w:top w:val="none" w:sz="0" w:space="0" w:color="auto"/>
            <w:left w:val="none" w:sz="0" w:space="0" w:color="auto"/>
            <w:bottom w:val="none" w:sz="0" w:space="0" w:color="auto"/>
            <w:right w:val="none" w:sz="0" w:space="0" w:color="auto"/>
          </w:divBdr>
          <w:divsChild>
            <w:div w:id="13309504">
              <w:marLeft w:val="0"/>
              <w:marRight w:val="0"/>
              <w:marTop w:val="0"/>
              <w:marBottom w:val="0"/>
              <w:divBdr>
                <w:top w:val="none" w:sz="0" w:space="0" w:color="auto"/>
                <w:left w:val="none" w:sz="0" w:space="0" w:color="auto"/>
                <w:bottom w:val="none" w:sz="0" w:space="0" w:color="auto"/>
                <w:right w:val="none" w:sz="0" w:space="0" w:color="auto"/>
              </w:divBdr>
            </w:div>
          </w:divsChild>
        </w:div>
        <w:div w:id="734663098">
          <w:marLeft w:val="0"/>
          <w:marRight w:val="0"/>
          <w:marTop w:val="0"/>
          <w:marBottom w:val="0"/>
          <w:divBdr>
            <w:top w:val="none" w:sz="0" w:space="0" w:color="auto"/>
            <w:left w:val="none" w:sz="0" w:space="0" w:color="auto"/>
            <w:bottom w:val="none" w:sz="0" w:space="0" w:color="auto"/>
            <w:right w:val="none" w:sz="0" w:space="0" w:color="auto"/>
          </w:divBdr>
          <w:divsChild>
            <w:div w:id="1561671438">
              <w:marLeft w:val="0"/>
              <w:marRight w:val="0"/>
              <w:marTop w:val="0"/>
              <w:marBottom w:val="0"/>
              <w:divBdr>
                <w:top w:val="none" w:sz="0" w:space="0" w:color="auto"/>
                <w:left w:val="none" w:sz="0" w:space="0" w:color="auto"/>
                <w:bottom w:val="none" w:sz="0" w:space="0" w:color="auto"/>
                <w:right w:val="none" w:sz="0" w:space="0" w:color="auto"/>
              </w:divBdr>
            </w:div>
          </w:divsChild>
        </w:div>
        <w:div w:id="817841469">
          <w:marLeft w:val="0"/>
          <w:marRight w:val="0"/>
          <w:marTop w:val="0"/>
          <w:marBottom w:val="0"/>
          <w:divBdr>
            <w:top w:val="none" w:sz="0" w:space="0" w:color="auto"/>
            <w:left w:val="none" w:sz="0" w:space="0" w:color="auto"/>
            <w:bottom w:val="none" w:sz="0" w:space="0" w:color="auto"/>
            <w:right w:val="none" w:sz="0" w:space="0" w:color="auto"/>
          </w:divBdr>
          <w:divsChild>
            <w:div w:id="273175305">
              <w:marLeft w:val="0"/>
              <w:marRight w:val="0"/>
              <w:marTop w:val="0"/>
              <w:marBottom w:val="0"/>
              <w:divBdr>
                <w:top w:val="none" w:sz="0" w:space="0" w:color="auto"/>
                <w:left w:val="none" w:sz="0" w:space="0" w:color="auto"/>
                <w:bottom w:val="none" w:sz="0" w:space="0" w:color="auto"/>
                <w:right w:val="none" w:sz="0" w:space="0" w:color="auto"/>
              </w:divBdr>
            </w:div>
          </w:divsChild>
        </w:div>
        <w:div w:id="977540179">
          <w:marLeft w:val="0"/>
          <w:marRight w:val="0"/>
          <w:marTop w:val="0"/>
          <w:marBottom w:val="0"/>
          <w:divBdr>
            <w:top w:val="none" w:sz="0" w:space="0" w:color="auto"/>
            <w:left w:val="none" w:sz="0" w:space="0" w:color="auto"/>
            <w:bottom w:val="none" w:sz="0" w:space="0" w:color="auto"/>
            <w:right w:val="none" w:sz="0" w:space="0" w:color="auto"/>
          </w:divBdr>
          <w:divsChild>
            <w:div w:id="122356487">
              <w:marLeft w:val="0"/>
              <w:marRight w:val="0"/>
              <w:marTop w:val="0"/>
              <w:marBottom w:val="0"/>
              <w:divBdr>
                <w:top w:val="none" w:sz="0" w:space="0" w:color="auto"/>
                <w:left w:val="none" w:sz="0" w:space="0" w:color="auto"/>
                <w:bottom w:val="none" w:sz="0" w:space="0" w:color="auto"/>
                <w:right w:val="none" w:sz="0" w:space="0" w:color="auto"/>
              </w:divBdr>
            </w:div>
          </w:divsChild>
        </w:div>
        <w:div w:id="1122113571">
          <w:marLeft w:val="0"/>
          <w:marRight w:val="0"/>
          <w:marTop w:val="0"/>
          <w:marBottom w:val="0"/>
          <w:divBdr>
            <w:top w:val="none" w:sz="0" w:space="0" w:color="auto"/>
            <w:left w:val="none" w:sz="0" w:space="0" w:color="auto"/>
            <w:bottom w:val="none" w:sz="0" w:space="0" w:color="auto"/>
            <w:right w:val="none" w:sz="0" w:space="0" w:color="auto"/>
          </w:divBdr>
          <w:divsChild>
            <w:div w:id="209538732">
              <w:marLeft w:val="0"/>
              <w:marRight w:val="0"/>
              <w:marTop w:val="0"/>
              <w:marBottom w:val="0"/>
              <w:divBdr>
                <w:top w:val="none" w:sz="0" w:space="0" w:color="auto"/>
                <w:left w:val="none" w:sz="0" w:space="0" w:color="auto"/>
                <w:bottom w:val="none" w:sz="0" w:space="0" w:color="auto"/>
                <w:right w:val="none" w:sz="0" w:space="0" w:color="auto"/>
              </w:divBdr>
            </w:div>
          </w:divsChild>
        </w:div>
        <w:div w:id="1223447883">
          <w:marLeft w:val="0"/>
          <w:marRight w:val="0"/>
          <w:marTop w:val="0"/>
          <w:marBottom w:val="0"/>
          <w:divBdr>
            <w:top w:val="none" w:sz="0" w:space="0" w:color="auto"/>
            <w:left w:val="none" w:sz="0" w:space="0" w:color="auto"/>
            <w:bottom w:val="none" w:sz="0" w:space="0" w:color="auto"/>
            <w:right w:val="none" w:sz="0" w:space="0" w:color="auto"/>
          </w:divBdr>
          <w:divsChild>
            <w:div w:id="1045984449">
              <w:marLeft w:val="0"/>
              <w:marRight w:val="0"/>
              <w:marTop w:val="0"/>
              <w:marBottom w:val="0"/>
              <w:divBdr>
                <w:top w:val="none" w:sz="0" w:space="0" w:color="auto"/>
                <w:left w:val="none" w:sz="0" w:space="0" w:color="auto"/>
                <w:bottom w:val="none" w:sz="0" w:space="0" w:color="auto"/>
                <w:right w:val="none" w:sz="0" w:space="0" w:color="auto"/>
              </w:divBdr>
            </w:div>
          </w:divsChild>
        </w:div>
        <w:div w:id="1225800015">
          <w:marLeft w:val="0"/>
          <w:marRight w:val="0"/>
          <w:marTop w:val="0"/>
          <w:marBottom w:val="0"/>
          <w:divBdr>
            <w:top w:val="none" w:sz="0" w:space="0" w:color="auto"/>
            <w:left w:val="none" w:sz="0" w:space="0" w:color="auto"/>
            <w:bottom w:val="none" w:sz="0" w:space="0" w:color="auto"/>
            <w:right w:val="none" w:sz="0" w:space="0" w:color="auto"/>
          </w:divBdr>
          <w:divsChild>
            <w:div w:id="1813331080">
              <w:marLeft w:val="0"/>
              <w:marRight w:val="0"/>
              <w:marTop w:val="0"/>
              <w:marBottom w:val="0"/>
              <w:divBdr>
                <w:top w:val="none" w:sz="0" w:space="0" w:color="auto"/>
                <w:left w:val="none" w:sz="0" w:space="0" w:color="auto"/>
                <w:bottom w:val="none" w:sz="0" w:space="0" w:color="auto"/>
                <w:right w:val="none" w:sz="0" w:space="0" w:color="auto"/>
              </w:divBdr>
            </w:div>
          </w:divsChild>
        </w:div>
        <w:div w:id="1246189721">
          <w:marLeft w:val="0"/>
          <w:marRight w:val="0"/>
          <w:marTop w:val="0"/>
          <w:marBottom w:val="0"/>
          <w:divBdr>
            <w:top w:val="none" w:sz="0" w:space="0" w:color="auto"/>
            <w:left w:val="none" w:sz="0" w:space="0" w:color="auto"/>
            <w:bottom w:val="none" w:sz="0" w:space="0" w:color="auto"/>
            <w:right w:val="none" w:sz="0" w:space="0" w:color="auto"/>
          </w:divBdr>
          <w:divsChild>
            <w:div w:id="200438430">
              <w:marLeft w:val="0"/>
              <w:marRight w:val="0"/>
              <w:marTop w:val="0"/>
              <w:marBottom w:val="0"/>
              <w:divBdr>
                <w:top w:val="none" w:sz="0" w:space="0" w:color="auto"/>
                <w:left w:val="none" w:sz="0" w:space="0" w:color="auto"/>
                <w:bottom w:val="none" w:sz="0" w:space="0" w:color="auto"/>
                <w:right w:val="none" w:sz="0" w:space="0" w:color="auto"/>
              </w:divBdr>
            </w:div>
          </w:divsChild>
        </w:div>
        <w:div w:id="1253050336">
          <w:marLeft w:val="0"/>
          <w:marRight w:val="0"/>
          <w:marTop w:val="0"/>
          <w:marBottom w:val="0"/>
          <w:divBdr>
            <w:top w:val="none" w:sz="0" w:space="0" w:color="auto"/>
            <w:left w:val="none" w:sz="0" w:space="0" w:color="auto"/>
            <w:bottom w:val="none" w:sz="0" w:space="0" w:color="auto"/>
            <w:right w:val="none" w:sz="0" w:space="0" w:color="auto"/>
          </w:divBdr>
          <w:divsChild>
            <w:div w:id="1151210169">
              <w:marLeft w:val="0"/>
              <w:marRight w:val="0"/>
              <w:marTop w:val="0"/>
              <w:marBottom w:val="0"/>
              <w:divBdr>
                <w:top w:val="none" w:sz="0" w:space="0" w:color="auto"/>
                <w:left w:val="none" w:sz="0" w:space="0" w:color="auto"/>
                <w:bottom w:val="none" w:sz="0" w:space="0" w:color="auto"/>
                <w:right w:val="none" w:sz="0" w:space="0" w:color="auto"/>
              </w:divBdr>
            </w:div>
          </w:divsChild>
        </w:div>
        <w:div w:id="1303538536">
          <w:marLeft w:val="0"/>
          <w:marRight w:val="0"/>
          <w:marTop w:val="0"/>
          <w:marBottom w:val="0"/>
          <w:divBdr>
            <w:top w:val="none" w:sz="0" w:space="0" w:color="auto"/>
            <w:left w:val="none" w:sz="0" w:space="0" w:color="auto"/>
            <w:bottom w:val="none" w:sz="0" w:space="0" w:color="auto"/>
            <w:right w:val="none" w:sz="0" w:space="0" w:color="auto"/>
          </w:divBdr>
          <w:divsChild>
            <w:div w:id="1434782997">
              <w:marLeft w:val="0"/>
              <w:marRight w:val="0"/>
              <w:marTop w:val="0"/>
              <w:marBottom w:val="0"/>
              <w:divBdr>
                <w:top w:val="none" w:sz="0" w:space="0" w:color="auto"/>
                <w:left w:val="none" w:sz="0" w:space="0" w:color="auto"/>
                <w:bottom w:val="none" w:sz="0" w:space="0" w:color="auto"/>
                <w:right w:val="none" w:sz="0" w:space="0" w:color="auto"/>
              </w:divBdr>
            </w:div>
            <w:div w:id="2050296611">
              <w:marLeft w:val="0"/>
              <w:marRight w:val="0"/>
              <w:marTop w:val="0"/>
              <w:marBottom w:val="0"/>
              <w:divBdr>
                <w:top w:val="none" w:sz="0" w:space="0" w:color="auto"/>
                <w:left w:val="none" w:sz="0" w:space="0" w:color="auto"/>
                <w:bottom w:val="none" w:sz="0" w:space="0" w:color="auto"/>
                <w:right w:val="none" w:sz="0" w:space="0" w:color="auto"/>
              </w:divBdr>
            </w:div>
          </w:divsChild>
        </w:div>
        <w:div w:id="1357001137">
          <w:marLeft w:val="0"/>
          <w:marRight w:val="0"/>
          <w:marTop w:val="0"/>
          <w:marBottom w:val="0"/>
          <w:divBdr>
            <w:top w:val="none" w:sz="0" w:space="0" w:color="auto"/>
            <w:left w:val="none" w:sz="0" w:space="0" w:color="auto"/>
            <w:bottom w:val="none" w:sz="0" w:space="0" w:color="auto"/>
            <w:right w:val="none" w:sz="0" w:space="0" w:color="auto"/>
          </w:divBdr>
          <w:divsChild>
            <w:div w:id="1308053251">
              <w:marLeft w:val="0"/>
              <w:marRight w:val="0"/>
              <w:marTop w:val="0"/>
              <w:marBottom w:val="0"/>
              <w:divBdr>
                <w:top w:val="none" w:sz="0" w:space="0" w:color="auto"/>
                <w:left w:val="none" w:sz="0" w:space="0" w:color="auto"/>
                <w:bottom w:val="none" w:sz="0" w:space="0" w:color="auto"/>
                <w:right w:val="none" w:sz="0" w:space="0" w:color="auto"/>
              </w:divBdr>
            </w:div>
          </w:divsChild>
        </w:div>
        <w:div w:id="1396318179">
          <w:marLeft w:val="0"/>
          <w:marRight w:val="0"/>
          <w:marTop w:val="0"/>
          <w:marBottom w:val="0"/>
          <w:divBdr>
            <w:top w:val="none" w:sz="0" w:space="0" w:color="auto"/>
            <w:left w:val="none" w:sz="0" w:space="0" w:color="auto"/>
            <w:bottom w:val="none" w:sz="0" w:space="0" w:color="auto"/>
            <w:right w:val="none" w:sz="0" w:space="0" w:color="auto"/>
          </w:divBdr>
          <w:divsChild>
            <w:div w:id="39482098">
              <w:marLeft w:val="0"/>
              <w:marRight w:val="0"/>
              <w:marTop w:val="0"/>
              <w:marBottom w:val="0"/>
              <w:divBdr>
                <w:top w:val="none" w:sz="0" w:space="0" w:color="auto"/>
                <w:left w:val="none" w:sz="0" w:space="0" w:color="auto"/>
                <w:bottom w:val="none" w:sz="0" w:space="0" w:color="auto"/>
                <w:right w:val="none" w:sz="0" w:space="0" w:color="auto"/>
              </w:divBdr>
            </w:div>
            <w:div w:id="1627932587">
              <w:marLeft w:val="0"/>
              <w:marRight w:val="0"/>
              <w:marTop w:val="0"/>
              <w:marBottom w:val="0"/>
              <w:divBdr>
                <w:top w:val="none" w:sz="0" w:space="0" w:color="auto"/>
                <w:left w:val="none" w:sz="0" w:space="0" w:color="auto"/>
                <w:bottom w:val="none" w:sz="0" w:space="0" w:color="auto"/>
                <w:right w:val="none" w:sz="0" w:space="0" w:color="auto"/>
              </w:divBdr>
            </w:div>
          </w:divsChild>
        </w:div>
        <w:div w:id="1449548096">
          <w:marLeft w:val="0"/>
          <w:marRight w:val="0"/>
          <w:marTop w:val="0"/>
          <w:marBottom w:val="0"/>
          <w:divBdr>
            <w:top w:val="none" w:sz="0" w:space="0" w:color="auto"/>
            <w:left w:val="none" w:sz="0" w:space="0" w:color="auto"/>
            <w:bottom w:val="none" w:sz="0" w:space="0" w:color="auto"/>
            <w:right w:val="none" w:sz="0" w:space="0" w:color="auto"/>
          </w:divBdr>
          <w:divsChild>
            <w:div w:id="416022980">
              <w:marLeft w:val="0"/>
              <w:marRight w:val="0"/>
              <w:marTop w:val="0"/>
              <w:marBottom w:val="0"/>
              <w:divBdr>
                <w:top w:val="none" w:sz="0" w:space="0" w:color="auto"/>
                <w:left w:val="none" w:sz="0" w:space="0" w:color="auto"/>
                <w:bottom w:val="none" w:sz="0" w:space="0" w:color="auto"/>
                <w:right w:val="none" w:sz="0" w:space="0" w:color="auto"/>
              </w:divBdr>
            </w:div>
          </w:divsChild>
        </w:div>
        <w:div w:id="1548175974">
          <w:marLeft w:val="0"/>
          <w:marRight w:val="0"/>
          <w:marTop w:val="0"/>
          <w:marBottom w:val="0"/>
          <w:divBdr>
            <w:top w:val="none" w:sz="0" w:space="0" w:color="auto"/>
            <w:left w:val="none" w:sz="0" w:space="0" w:color="auto"/>
            <w:bottom w:val="none" w:sz="0" w:space="0" w:color="auto"/>
            <w:right w:val="none" w:sz="0" w:space="0" w:color="auto"/>
          </w:divBdr>
          <w:divsChild>
            <w:div w:id="1396011008">
              <w:marLeft w:val="0"/>
              <w:marRight w:val="0"/>
              <w:marTop w:val="0"/>
              <w:marBottom w:val="0"/>
              <w:divBdr>
                <w:top w:val="none" w:sz="0" w:space="0" w:color="auto"/>
                <w:left w:val="none" w:sz="0" w:space="0" w:color="auto"/>
                <w:bottom w:val="none" w:sz="0" w:space="0" w:color="auto"/>
                <w:right w:val="none" w:sz="0" w:space="0" w:color="auto"/>
              </w:divBdr>
            </w:div>
          </w:divsChild>
        </w:div>
        <w:div w:id="2076930221">
          <w:marLeft w:val="0"/>
          <w:marRight w:val="0"/>
          <w:marTop w:val="0"/>
          <w:marBottom w:val="0"/>
          <w:divBdr>
            <w:top w:val="none" w:sz="0" w:space="0" w:color="auto"/>
            <w:left w:val="none" w:sz="0" w:space="0" w:color="auto"/>
            <w:bottom w:val="none" w:sz="0" w:space="0" w:color="auto"/>
            <w:right w:val="none" w:sz="0" w:space="0" w:color="auto"/>
          </w:divBdr>
          <w:divsChild>
            <w:div w:id="50150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42383">
      <w:bodyDiv w:val="1"/>
      <w:marLeft w:val="0"/>
      <w:marRight w:val="0"/>
      <w:marTop w:val="0"/>
      <w:marBottom w:val="0"/>
      <w:divBdr>
        <w:top w:val="none" w:sz="0" w:space="0" w:color="auto"/>
        <w:left w:val="none" w:sz="0" w:space="0" w:color="auto"/>
        <w:bottom w:val="none" w:sz="0" w:space="0" w:color="auto"/>
        <w:right w:val="none" w:sz="0" w:space="0" w:color="auto"/>
      </w:divBdr>
    </w:div>
    <w:div w:id="157962085">
      <w:bodyDiv w:val="1"/>
      <w:marLeft w:val="0"/>
      <w:marRight w:val="0"/>
      <w:marTop w:val="0"/>
      <w:marBottom w:val="0"/>
      <w:divBdr>
        <w:top w:val="none" w:sz="0" w:space="0" w:color="auto"/>
        <w:left w:val="none" w:sz="0" w:space="0" w:color="auto"/>
        <w:bottom w:val="none" w:sz="0" w:space="0" w:color="auto"/>
        <w:right w:val="none" w:sz="0" w:space="0" w:color="auto"/>
      </w:divBdr>
    </w:div>
    <w:div w:id="161700262">
      <w:bodyDiv w:val="1"/>
      <w:marLeft w:val="0"/>
      <w:marRight w:val="0"/>
      <w:marTop w:val="0"/>
      <w:marBottom w:val="0"/>
      <w:divBdr>
        <w:top w:val="none" w:sz="0" w:space="0" w:color="auto"/>
        <w:left w:val="none" w:sz="0" w:space="0" w:color="auto"/>
        <w:bottom w:val="none" w:sz="0" w:space="0" w:color="auto"/>
        <w:right w:val="none" w:sz="0" w:space="0" w:color="auto"/>
      </w:divBdr>
      <w:divsChild>
        <w:div w:id="122382867">
          <w:marLeft w:val="0"/>
          <w:marRight w:val="0"/>
          <w:marTop w:val="0"/>
          <w:marBottom w:val="0"/>
          <w:divBdr>
            <w:top w:val="none" w:sz="0" w:space="0" w:color="auto"/>
            <w:left w:val="none" w:sz="0" w:space="0" w:color="auto"/>
            <w:bottom w:val="none" w:sz="0" w:space="0" w:color="auto"/>
            <w:right w:val="none" w:sz="0" w:space="0" w:color="auto"/>
          </w:divBdr>
          <w:divsChild>
            <w:div w:id="46223629">
              <w:marLeft w:val="0"/>
              <w:marRight w:val="0"/>
              <w:marTop w:val="0"/>
              <w:marBottom w:val="0"/>
              <w:divBdr>
                <w:top w:val="none" w:sz="0" w:space="0" w:color="auto"/>
                <w:left w:val="none" w:sz="0" w:space="0" w:color="auto"/>
                <w:bottom w:val="none" w:sz="0" w:space="0" w:color="auto"/>
                <w:right w:val="none" w:sz="0" w:space="0" w:color="auto"/>
              </w:divBdr>
            </w:div>
          </w:divsChild>
        </w:div>
        <w:div w:id="336884270">
          <w:marLeft w:val="0"/>
          <w:marRight w:val="0"/>
          <w:marTop w:val="0"/>
          <w:marBottom w:val="0"/>
          <w:divBdr>
            <w:top w:val="none" w:sz="0" w:space="0" w:color="auto"/>
            <w:left w:val="none" w:sz="0" w:space="0" w:color="auto"/>
            <w:bottom w:val="none" w:sz="0" w:space="0" w:color="auto"/>
            <w:right w:val="none" w:sz="0" w:space="0" w:color="auto"/>
          </w:divBdr>
          <w:divsChild>
            <w:div w:id="120266478">
              <w:marLeft w:val="0"/>
              <w:marRight w:val="0"/>
              <w:marTop w:val="0"/>
              <w:marBottom w:val="0"/>
              <w:divBdr>
                <w:top w:val="none" w:sz="0" w:space="0" w:color="auto"/>
                <w:left w:val="none" w:sz="0" w:space="0" w:color="auto"/>
                <w:bottom w:val="none" w:sz="0" w:space="0" w:color="auto"/>
                <w:right w:val="none" w:sz="0" w:space="0" w:color="auto"/>
              </w:divBdr>
            </w:div>
          </w:divsChild>
        </w:div>
        <w:div w:id="440299049">
          <w:marLeft w:val="0"/>
          <w:marRight w:val="0"/>
          <w:marTop w:val="0"/>
          <w:marBottom w:val="0"/>
          <w:divBdr>
            <w:top w:val="none" w:sz="0" w:space="0" w:color="auto"/>
            <w:left w:val="none" w:sz="0" w:space="0" w:color="auto"/>
            <w:bottom w:val="none" w:sz="0" w:space="0" w:color="auto"/>
            <w:right w:val="none" w:sz="0" w:space="0" w:color="auto"/>
          </w:divBdr>
          <w:divsChild>
            <w:div w:id="435371346">
              <w:marLeft w:val="0"/>
              <w:marRight w:val="0"/>
              <w:marTop w:val="0"/>
              <w:marBottom w:val="0"/>
              <w:divBdr>
                <w:top w:val="none" w:sz="0" w:space="0" w:color="auto"/>
                <w:left w:val="none" w:sz="0" w:space="0" w:color="auto"/>
                <w:bottom w:val="none" w:sz="0" w:space="0" w:color="auto"/>
                <w:right w:val="none" w:sz="0" w:space="0" w:color="auto"/>
              </w:divBdr>
            </w:div>
          </w:divsChild>
        </w:div>
        <w:div w:id="637419965">
          <w:marLeft w:val="0"/>
          <w:marRight w:val="0"/>
          <w:marTop w:val="0"/>
          <w:marBottom w:val="0"/>
          <w:divBdr>
            <w:top w:val="none" w:sz="0" w:space="0" w:color="auto"/>
            <w:left w:val="none" w:sz="0" w:space="0" w:color="auto"/>
            <w:bottom w:val="none" w:sz="0" w:space="0" w:color="auto"/>
            <w:right w:val="none" w:sz="0" w:space="0" w:color="auto"/>
          </w:divBdr>
          <w:divsChild>
            <w:div w:id="1860269005">
              <w:marLeft w:val="0"/>
              <w:marRight w:val="0"/>
              <w:marTop w:val="0"/>
              <w:marBottom w:val="0"/>
              <w:divBdr>
                <w:top w:val="none" w:sz="0" w:space="0" w:color="auto"/>
                <w:left w:val="none" w:sz="0" w:space="0" w:color="auto"/>
                <w:bottom w:val="none" w:sz="0" w:space="0" w:color="auto"/>
                <w:right w:val="none" w:sz="0" w:space="0" w:color="auto"/>
              </w:divBdr>
            </w:div>
          </w:divsChild>
        </w:div>
        <w:div w:id="650251623">
          <w:marLeft w:val="0"/>
          <w:marRight w:val="0"/>
          <w:marTop w:val="0"/>
          <w:marBottom w:val="0"/>
          <w:divBdr>
            <w:top w:val="none" w:sz="0" w:space="0" w:color="auto"/>
            <w:left w:val="none" w:sz="0" w:space="0" w:color="auto"/>
            <w:bottom w:val="none" w:sz="0" w:space="0" w:color="auto"/>
            <w:right w:val="none" w:sz="0" w:space="0" w:color="auto"/>
          </w:divBdr>
          <w:divsChild>
            <w:div w:id="1440416927">
              <w:marLeft w:val="0"/>
              <w:marRight w:val="0"/>
              <w:marTop w:val="0"/>
              <w:marBottom w:val="0"/>
              <w:divBdr>
                <w:top w:val="none" w:sz="0" w:space="0" w:color="auto"/>
                <w:left w:val="none" w:sz="0" w:space="0" w:color="auto"/>
                <w:bottom w:val="none" w:sz="0" w:space="0" w:color="auto"/>
                <w:right w:val="none" w:sz="0" w:space="0" w:color="auto"/>
              </w:divBdr>
            </w:div>
            <w:div w:id="1651901198">
              <w:marLeft w:val="0"/>
              <w:marRight w:val="0"/>
              <w:marTop w:val="0"/>
              <w:marBottom w:val="0"/>
              <w:divBdr>
                <w:top w:val="none" w:sz="0" w:space="0" w:color="auto"/>
                <w:left w:val="none" w:sz="0" w:space="0" w:color="auto"/>
                <w:bottom w:val="none" w:sz="0" w:space="0" w:color="auto"/>
                <w:right w:val="none" w:sz="0" w:space="0" w:color="auto"/>
              </w:divBdr>
            </w:div>
            <w:div w:id="1770002486">
              <w:marLeft w:val="0"/>
              <w:marRight w:val="0"/>
              <w:marTop w:val="0"/>
              <w:marBottom w:val="0"/>
              <w:divBdr>
                <w:top w:val="none" w:sz="0" w:space="0" w:color="auto"/>
                <w:left w:val="none" w:sz="0" w:space="0" w:color="auto"/>
                <w:bottom w:val="none" w:sz="0" w:space="0" w:color="auto"/>
                <w:right w:val="none" w:sz="0" w:space="0" w:color="auto"/>
              </w:divBdr>
            </w:div>
            <w:div w:id="1951738445">
              <w:marLeft w:val="0"/>
              <w:marRight w:val="0"/>
              <w:marTop w:val="0"/>
              <w:marBottom w:val="0"/>
              <w:divBdr>
                <w:top w:val="none" w:sz="0" w:space="0" w:color="auto"/>
                <w:left w:val="none" w:sz="0" w:space="0" w:color="auto"/>
                <w:bottom w:val="none" w:sz="0" w:space="0" w:color="auto"/>
                <w:right w:val="none" w:sz="0" w:space="0" w:color="auto"/>
              </w:divBdr>
            </w:div>
          </w:divsChild>
        </w:div>
        <w:div w:id="653603783">
          <w:marLeft w:val="0"/>
          <w:marRight w:val="0"/>
          <w:marTop w:val="0"/>
          <w:marBottom w:val="0"/>
          <w:divBdr>
            <w:top w:val="none" w:sz="0" w:space="0" w:color="auto"/>
            <w:left w:val="none" w:sz="0" w:space="0" w:color="auto"/>
            <w:bottom w:val="none" w:sz="0" w:space="0" w:color="auto"/>
            <w:right w:val="none" w:sz="0" w:space="0" w:color="auto"/>
          </w:divBdr>
          <w:divsChild>
            <w:div w:id="399791658">
              <w:marLeft w:val="0"/>
              <w:marRight w:val="0"/>
              <w:marTop w:val="0"/>
              <w:marBottom w:val="0"/>
              <w:divBdr>
                <w:top w:val="none" w:sz="0" w:space="0" w:color="auto"/>
                <w:left w:val="none" w:sz="0" w:space="0" w:color="auto"/>
                <w:bottom w:val="none" w:sz="0" w:space="0" w:color="auto"/>
                <w:right w:val="none" w:sz="0" w:space="0" w:color="auto"/>
              </w:divBdr>
            </w:div>
          </w:divsChild>
        </w:div>
        <w:div w:id="743451981">
          <w:marLeft w:val="0"/>
          <w:marRight w:val="0"/>
          <w:marTop w:val="0"/>
          <w:marBottom w:val="0"/>
          <w:divBdr>
            <w:top w:val="none" w:sz="0" w:space="0" w:color="auto"/>
            <w:left w:val="none" w:sz="0" w:space="0" w:color="auto"/>
            <w:bottom w:val="none" w:sz="0" w:space="0" w:color="auto"/>
            <w:right w:val="none" w:sz="0" w:space="0" w:color="auto"/>
          </w:divBdr>
          <w:divsChild>
            <w:div w:id="290324751">
              <w:marLeft w:val="0"/>
              <w:marRight w:val="0"/>
              <w:marTop w:val="0"/>
              <w:marBottom w:val="0"/>
              <w:divBdr>
                <w:top w:val="none" w:sz="0" w:space="0" w:color="auto"/>
                <w:left w:val="none" w:sz="0" w:space="0" w:color="auto"/>
                <w:bottom w:val="none" w:sz="0" w:space="0" w:color="auto"/>
                <w:right w:val="none" w:sz="0" w:space="0" w:color="auto"/>
              </w:divBdr>
            </w:div>
          </w:divsChild>
        </w:div>
        <w:div w:id="1136265374">
          <w:marLeft w:val="0"/>
          <w:marRight w:val="0"/>
          <w:marTop w:val="0"/>
          <w:marBottom w:val="0"/>
          <w:divBdr>
            <w:top w:val="none" w:sz="0" w:space="0" w:color="auto"/>
            <w:left w:val="none" w:sz="0" w:space="0" w:color="auto"/>
            <w:bottom w:val="none" w:sz="0" w:space="0" w:color="auto"/>
            <w:right w:val="none" w:sz="0" w:space="0" w:color="auto"/>
          </w:divBdr>
          <w:divsChild>
            <w:div w:id="651253324">
              <w:marLeft w:val="0"/>
              <w:marRight w:val="0"/>
              <w:marTop w:val="0"/>
              <w:marBottom w:val="0"/>
              <w:divBdr>
                <w:top w:val="none" w:sz="0" w:space="0" w:color="auto"/>
                <w:left w:val="none" w:sz="0" w:space="0" w:color="auto"/>
                <w:bottom w:val="none" w:sz="0" w:space="0" w:color="auto"/>
                <w:right w:val="none" w:sz="0" w:space="0" w:color="auto"/>
              </w:divBdr>
            </w:div>
          </w:divsChild>
        </w:div>
        <w:div w:id="2003270352">
          <w:marLeft w:val="0"/>
          <w:marRight w:val="0"/>
          <w:marTop w:val="0"/>
          <w:marBottom w:val="0"/>
          <w:divBdr>
            <w:top w:val="none" w:sz="0" w:space="0" w:color="auto"/>
            <w:left w:val="none" w:sz="0" w:space="0" w:color="auto"/>
            <w:bottom w:val="none" w:sz="0" w:space="0" w:color="auto"/>
            <w:right w:val="none" w:sz="0" w:space="0" w:color="auto"/>
          </w:divBdr>
          <w:divsChild>
            <w:div w:id="102506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77366">
      <w:bodyDiv w:val="1"/>
      <w:marLeft w:val="0"/>
      <w:marRight w:val="0"/>
      <w:marTop w:val="0"/>
      <w:marBottom w:val="0"/>
      <w:divBdr>
        <w:top w:val="none" w:sz="0" w:space="0" w:color="auto"/>
        <w:left w:val="none" w:sz="0" w:space="0" w:color="auto"/>
        <w:bottom w:val="none" w:sz="0" w:space="0" w:color="auto"/>
        <w:right w:val="none" w:sz="0" w:space="0" w:color="auto"/>
      </w:divBdr>
    </w:div>
    <w:div w:id="253322673">
      <w:bodyDiv w:val="1"/>
      <w:marLeft w:val="0"/>
      <w:marRight w:val="0"/>
      <w:marTop w:val="0"/>
      <w:marBottom w:val="0"/>
      <w:divBdr>
        <w:top w:val="none" w:sz="0" w:space="0" w:color="auto"/>
        <w:left w:val="none" w:sz="0" w:space="0" w:color="auto"/>
        <w:bottom w:val="none" w:sz="0" w:space="0" w:color="auto"/>
        <w:right w:val="none" w:sz="0" w:space="0" w:color="auto"/>
      </w:divBdr>
      <w:divsChild>
        <w:div w:id="20864206">
          <w:marLeft w:val="0"/>
          <w:marRight w:val="0"/>
          <w:marTop w:val="0"/>
          <w:marBottom w:val="0"/>
          <w:divBdr>
            <w:top w:val="none" w:sz="0" w:space="0" w:color="auto"/>
            <w:left w:val="none" w:sz="0" w:space="0" w:color="auto"/>
            <w:bottom w:val="none" w:sz="0" w:space="0" w:color="auto"/>
            <w:right w:val="none" w:sz="0" w:space="0" w:color="auto"/>
          </w:divBdr>
          <w:divsChild>
            <w:div w:id="683434971">
              <w:marLeft w:val="0"/>
              <w:marRight w:val="0"/>
              <w:marTop w:val="0"/>
              <w:marBottom w:val="0"/>
              <w:divBdr>
                <w:top w:val="none" w:sz="0" w:space="0" w:color="auto"/>
                <w:left w:val="none" w:sz="0" w:space="0" w:color="auto"/>
                <w:bottom w:val="none" w:sz="0" w:space="0" w:color="auto"/>
                <w:right w:val="none" w:sz="0" w:space="0" w:color="auto"/>
              </w:divBdr>
            </w:div>
            <w:div w:id="1547520919">
              <w:marLeft w:val="0"/>
              <w:marRight w:val="0"/>
              <w:marTop w:val="0"/>
              <w:marBottom w:val="0"/>
              <w:divBdr>
                <w:top w:val="none" w:sz="0" w:space="0" w:color="auto"/>
                <w:left w:val="none" w:sz="0" w:space="0" w:color="auto"/>
                <w:bottom w:val="none" w:sz="0" w:space="0" w:color="auto"/>
                <w:right w:val="none" w:sz="0" w:space="0" w:color="auto"/>
              </w:divBdr>
            </w:div>
            <w:div w:id="1810516443">
              <w:marLeft w:val="0"/>
              <w:marRight w:val="0"/>
              <w:marTop w:val="0"/>
              <w:marBottom w:val="0"/>
              <w:divBdr>
                <w:top w:val="none" w:sz="0" w:space="0" w:color="auto"/>
                <w:left w:val="none" w:sz="0" w:space="0" w:color="auto"/>
                <w:bottom w:val="none" w:sz="0" w:space="0" w:color="auto"/>
                <w:right w:val="none" w:sz="0" w:space="0" w:color="auto"/>
              </w:divBdr>
            </w:div>
          </w:divsChild>
        </w:div>
        <w:div w:id="168100468">
          <w:marLeft w:val="0"/>
          <w:marRight w:val="0"/>
          <w:marTop w:val="0"/>
          <w:marBottom w:val="0"/>
          <w:divBdr>
            <w:top w:val="none" w:sz="0" w:space="0" w:color="auto"/>
            <w:left w:val="none" w:sz="0" w:space="0" w:color="auto"/>
            <w:bottom w:val="none" w:sz="0" w:space="0" w:color="auto"/>
            <w:right w:val="none" w:sz="0" w:space="0" w:color="auto"/>
          </w:divBdr>
          <w:divsChild>
            <w:div w:id="2074809753">
              <w:marLeft w:val="0"/>
              <w:marRight w:val="0"/>
              <w:marTop w:val="0"/>
              <w:marBottom w:val="0"/>
              <w:divBdr>
                <w:top w:val="none" w:sz="0" w:space="0" w:color="auto"/>
                <w:left w:val="none" w:sz="0" w:space="0" w:color="auto"/>
                <w:bottom w:val="none" w:sz="0" w:space="0" w:color="auto"/>
                <w:right w:val="none" w:sz="0" w:space="0" w:color="auto"/>
              </w:divBdr>
            </w:div>
          </w:divsChild>
        </w:div>
        <w:div w:id="595017045">
          <w:marLeft w:val="0"/>
          <w:marRight w:val="0"/>
          <w:marTop w:val="0"/>
          <w:marBottom w:val="0"/>
          <w:divBdr>
            <w:top w:val="none" w:sz="0" w:space="0" w:color="auto"/>
            <w:left w:val="none" w:sz="0" w:space="0" w:color="auto"/>
            <w:bottom w:val="none" w:sz="0" w:space="0" w:color="auto"/>
            <w:right w:val="none" w:sz="0" w:space="0" w:color="auto"/>
          </w:divBdr>
          <w:divsChild>
            <w:div w:id="1791320889">
              <w:marLeft w:val="0"/>
              <w:marRight w:val="0"/>
              <w:marTop w:val="0"/>
              <w:marBottom w:val="0"/>
              <w:divBdr>
                <w:top w:val="none" w:sz="0" w:space="0" w:color="auto"/>
                <w:left w:val="none" w:sz="0" w:space="0" w:color="auto"/>
                <w:bottom w:val="none" w:sz="0" w:space="0" w:color="auto"/>
                <w:right w:val="none" w:sz="0" w:space="0" w:color="auto"/>
              </w:divBdr>
            </w:div>
          </w:divsChild>
        </w:div>
        <w:div w:id="845829173">
          <w:marLeft w:val="0"/>
          <w:marRight w:val="0"/>
          <w:marTop w:val="0"/>
          <w:marBottom w:val="0"/>
          <w:divBdr>
            <w:top w:val="none" w:sz="0" w:space="0" w:color="auto"/>
            <w:left w:val="none" w:sz="0" w:space="0" w:color="auto"/>
            <w:bottom w:val="none" w:sz="0" w:space="0" w:color="auto"/>
            <w:right w:val="none" w:sz="0" w:space="0" w:color="auto"/>
          </w:divBdr>
          <w:divsChild>
            <w:div w:id="334456860">
              <w:marLeft w:val="0"/>
              <w:marRight w:val="0"/>
              <w:marTop w:val="0"/>
              <w:marBottom w:val="0"/>
              <w:divBdr>
                <w:top w:val="none" w:sz="0" w:space="0" w:color="auto"/>
                <w:left w:val="none" w:sz="0" w:space="0" w:color="auto"/>
                <w:bottom w:val="none" w:sz="0" w:space="0" w:color="auto"/>
                <w:right w:val="none" w:sz="0" w:space="0" w:color="auto"/>
              </w:divBdr>
            </w:div>
          </w:divsChild>
        </w:div>
        <w:div w:id="1056852958">
          <w:marLeft w:val="0"/>
          <w:marRight w:val="0"/>
          <w:marTop w:val="0"/>
          <w:marBottom w:val="0"/>
          <w:divBdr>
            <w:top w:val="none" w:sz="0" w:space="0" w:color="auto"/>
            <w:left w:val="none" w:sz="0" w:space="0" w:color="auto"/>
            <w:bottom w:val="none" w:sz="0" w:space="0" w:color="auto"/>
            <w:right w:val="none" w:sz="0" w:space="0" w:color="auto"/>
          </w:divBdr>
          <w:divsChild>
            <w:div w:id="71439213">
              <w:marLeft w:val="0"/>
              <w:marRight w:val="0"/>
              <w:marTop w:val="0"/>
              <w:marBottom w:val="0"/>
              <w:divBdr>
                <w:top w:val="none" w:sz="0" w:space="0" w:color="auto"/>
                <w:left w:val="none" w:sz="0" w:space="0" w:color="auto"/>
                <w:bottom w:val="none" w:sz="0" w:space="0" w:color="auto"/>
                <w:right w:val="none" w:sz="0" w:space="0" w:color="auto"/>
              </w:divBdr>
            </w:div>
          </w:divsChild>
        </w:div>
        <w:div w:id="1075930479">
          <w:marLeft w:val="0"/>
          <w:marRight w:val="0"/>
          <w:marTop w:val="0"/>
          <w:marBottom w:val="0"/>
          <w:divBdr>
            <w:top w:val="none" w:sz="0" w:space="0" w:color="auto"/>
            <w:left w:val="none" w:sz="0" w:space="0" w:color="auto"/>
            <w:bottom w:val="none" w:sz="0" w:space="0" w:color="auto"/>
            <w:right w:val="none" w:sz="0" w:space="0" w:color="auto"/>
          </w:divBdr>
          <w:divsChild>
            <w:div w:id="502281758">
              <w:marLeft w:val="0"/>
              <w:marRight w:val="0"/>
              <w:marTop w:val="0"/>
              <w:marBottom w:val="0"/>
              <w:divBdr>
                <w:top w:val="none" w:sz="0" w:space="0" w:color="auto"/>
                <w:left w:val="none" w:sz="0" w:space="0" w:color="auto"/>
                <w:bottom w:val="none" w:sz="0" w:space="0" w:color="auto"/>
                <w:right w:val="none" w:sz="0" w:space="0" w:color="auto"/>
              </w:divBdr>
            </w:div>
          </w:divsChild>
        </w:div>
        <w:div w:id="1491217329">
          <w:marLeft w:val="0"/>
          <w:marRight w:val="0"/>
          <w:marTop w:val="0"/>
          <w:marBottom w:val="0"/>
          <w:divBdr>
            <w:top w:val="none" w:sz="0" w:space="0" w:color="auto"/>
            <w:left w:val="none" w:sz="0" w:space="0" w:color="auto"/>
            <w:bottom w:val="none" w:sz="0" w:space="0" w:color="auto"/>
            <w:right w:val="none" w:sz="0" w:space="0" w:color="auto"/>
          </w:divBdr>
          <w:divsChild>
            <w:div w:id="106966568">
              <w:marLeft w:val="0"/>
              <w:marRight w:val="0"/>
              <w:marTop w:val="0"/>
              <w:marBottom w:val="0"/>
              <w:divBdr>
                <w:top w:val="none" w:sz="0" w:space="0" w:color="auto"/>
                <w:left w:val="none" w:sz="0" w:space="0" w:color="auto"/>
                <w:bottom w:val="none" w:sz="0" w:space="0" w:color="auto"/>
                <w:right w:val="none" w:sz="0" w:space="0" w:color="auto"/>
              </w:divBdr>
            </w:div>
          </w:divsChild>
        </w:div>
        <w:div w:id="1843157399">
          <w:marLeft w:val="0"/>
          <w:marRight w:val="0"/>
          <w:marTop w:val="0"/>
          <w:marBottom w:val="0"/>
          <w:divBdr>
            <w:top w:val="none" w:sz="0" w:space="0" w:color="auto"/>
            <w:left w:val="none" w:sz="0" w:space="0" w:color="auto"/>
            <w:bottom w:val="none" w:sz="0" w:space="0" w:color="auto"/>
            <w:right w:val="none" w:sz="0" w:space="0" w:color="auto"/>
          </w:divBdr>
          <w:divsChild>
            <w:div w:id="92090259">
              <w:marLeft w:val="0"/>
              <w:marRight w:val="0"/>
              <w:marTop w:val="0"/>
              <w:marBottom w:val="0"/>
              <w:divBdr>
                <w:top w:val="none" w:sz="0" w:space="0" w:color="auto"/>
                <w:left w:val="none" w:sz="0" w:space="0" w:color="auto"/>
                <w:bottom w:val="none" w:sz="0" w:space="0" w:color="auto"/>
                <w:right w:val="none" w:sz="0" w:space="0" w:color="auto"/>
              </w:divBdr>
            </w:div>
            <w:div w:id="509491182">
              <w:marLeft w:val="0"/>
              <w:marRight w:val="0"/>
              <w:marTop w:val="0"/>
              <w:marBottom w:val="0"/>
              <w:divBdr>
                <w:top w:val="none" w:sz="0" w:space="0" w:color="auto"/>
                <w:left w:val="none" w:sz="0" w:space="0" w:color="auto"/>
                <w:bottom w:val="none" w:sz="0" w:space="0" w:color="auto"/>
                <w:right w:val="none" w:sz="0" w:space="0" w:color="auto"/>
              </w:divBdr>
            </w:div>
            <w:div w:id="527448168">
              <w:marLeft w:val="0"/>
              <w:marRight w:val="0"/>
              <w:marTop w:val="0"/>
              <w:marBottom w:val="0"/>
              <w:divBdr>
                <w:top w:val="none" w:sz="0" w:space="0" w:color="auto"/>
                <w:left w:val="none" w:sz="0" w:space="0" w:color="auto"/>
                <w:bottom w:val="none" w:sz="0" w:space="0" w:color="auto"/>
                <w:right w:val="none" w:sz="0" w:space="0" w:color="auto"/>
              </w:divBdr>
            </w:div>
            <w:div w:id="773134719">
              <w:marLeft w:val="0"/>
              <w:marRight w:val="0"/>
              <w:marTop w:val="0"/>
              <w:marBottom w:val="0"/>
              <w:divBdr>
                <w:top w:val="none" w:sz="0" w:space="0" w:color="auto"/>
                <w:left w:val="none" w:sz="0" w:space="0" w:color="auto"/>
                <w:bottom w:val="none" w:sz="0" w:space="0" w:color="auto"/>
                <w:right w:val="none" w:sz="0" w:space="0" w:color="auto"/>
              </w:divBdr>
            </w:div>
            <w:div w:id="864515907">
              <w:marLeft w:val="0"/>
              <w:marRight w:val="0"/>
              <w:marTop w:val="0"/>
              <w:marBottom w:val="0"/>
              <w:divBdr>
                <w:top w:val="none" w:sz="0" w:space="0" w:color="auto"/>
                <w:left w:val="none" w:sz="0" w:space="0" w:color="auto"/>
                <w:bottom w:val="none" w:sz="0" w:space="0" w:color="auto"/>
                <w:right w:val="none" w:sz="0" w:space="0" w:color="auto"/>
              </w:divBdr>
            </w:div>
            <w:div w:id="1062561803">
              <w:marLeft w:val="0"/>
              <w:marRight w:val="0"/>
              <w:marTop w:val="0"/>
              <w:marBottom w:val="0"/>
              <w:divBdr>
                <w:top w:val="none" w:sz="0" w:space="0" w:color="auto"/>
                <w:left w:val="none" w:sz="0" w:space="0" w:color="auto"/>
                <w:bottom w:val="none" w:sz="0" w:space="0" w:color="auto"/>
                <w:right w:val="none" w:sz="0" w:space="0" w:color="auto"/>
              </w:divBdr>
            </w:div>
          </w:divsChild>
        </w:div>
        <w:div w:id="1922596614">
          <w:marLeft w:val="0"/>
          <w:marRight w:val="0"/>
          <w:marTop w:val="0"/>
          <w:marBottom w:val="0"/>
          <w:divBdr>
            <w:top w:val="none" w:sz="0" w:space="0" w:color="auto"/>
            <w:left w:val="none" w:sz="0" w:space="0" w:color="auto"/>
            <w:bottom w:val="none" w:sz="0" w:space="0" w:color="auto"/>
            <w:right w:val="none" w:sz="0" w:space="0" w:color="auto"/>
          </w:divBdr>
          <w:divsChild>
            <w:div w:id="170898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093371">
      <w:bodyDiv w:val="1"/>
      <w:marLeft w:val="0"/>
      <w:marRight w:val="0"/>
      <w:marTop w:val="0"/>
      <w:marBottom w:val="0"/>
      <w:divBdr>
        <w:top w:val="none" w:sz="0" w:space="0" w:color="auto"/>
        <w:left w:val="none" w:sz="0" w:space="0" w:color="auto"/>
        <w:bottom w:val="none" w:sz="0" w:space="0" w:color="auto"/>
        <w:right w:val="none" w:sz="0" w:space="0" w:color="auto"/>
      </w:divBdr>
    </w:div>
    <w:div w:id="274363059">
      <w:bodyDiv w:val="1"/>
      <w:marLeft w:val="0"/>
      <w:marRight w:val="0"/>
      <w:marTop w:val="0"/>
      <w:marBottom w:val="0"/>
      <w:divBdr>
        <w:top w:val="none" w:sz="0" w:space="0" w:color="auto"/>
        <w:left w:val="none" w:sz="0" w:space="0" w:color="auto"/>
        <w:bottom w:val="none" w:sz="0" w:space="0" w:color="auto"/>
        <w:right w:val="none" w:sz="0" w:space="0" w:color="auto"/>
      </w:divBdr>
      <w:divsChild>
        <w:div w:id="5521646">
          <w:marLeft w:val="0"/>
          <w:marRight w:val="0"/>
          <w:marTop w:val="0"/>
          <w:marBottom w:val="0"/>
          <w:divBdr>
            <w:top w:val="none" w:sz="0" w:space="0" w:color="auto"/>
            <w:left w:val="none" w:sz="0" w:space="0" w:color="auto"/>
            <w:bottom w:val="none" w:sz="0" w:space="0" w:color="auto"/>
            <w:right w:val="none" w:sz="0" w:space="0" w:color="auto"/>
          </w:divBdr>
        </w:div>
        <w:div w:id="761031737">
          <w:marLeft w:val="0"/>
          <w:marRight w:val="0"/>
          <w:marTop w:val="0"/>
          <w:marBottom w:val="0"/>
          <w:divBdr>
            <w:top w:val="none" w:sz="0" w:space="0" w:color="auto"/>
            <w:left w:val="none" w:sz="0" w:space="0" w:color="auto"/>
            <w:bottom w:val="none" w:sz="0" w:space="0" w:color="auto"/>
            <w:right w:val="none" w:sz="0" w:space="0" w:color="auto"/>
          </w:divBdr>
          <w:divsChild>
            <w:div w:id="1784955506">
              <w:marLeft w:val="-75"/>
              <w:marRight w:val="0"/>
              <w:marTop w:val="30"/>
              <w:marBottom w:val="30"/>
              <w:divBdr>
                <w:top w:val="none" w:sz="0" w:space="0" w:color="auto"/>
                <w:left w:val="none" w:sz="0" w:space="0" w:color="auto"/>
                <w:bottom w:val="none" w:sz="0" w:space="0" w:color="auto"/>
                <w:right w:val="none" w:sz="0" w:space="0" w:color="auto"/>
              </w:divBdr>
              <w:divsChild>
                <w:div w:id="1121025478">
                  <w:marLeft w:val="0"/>
                  <w:marRight w:val="0"/>
                  <w:marTop w:val="0"/>
                  <w:marBottom w:val="0"/>
                  <w:divBdr>
                    <w:top w:val="none" w:sz="0" w:space="0" w:color="auto"/>
                    <w:left w:val="none" w:sz="0" w:space="0" w:color="auto"/>
                    <w:bottom w:val="none" w:sz="0" w:space="0" w:color="auto"/>
                    <w:right w:val="none" w:sz="0" w:space="0" w:color="auto"/>
                  </w:divBdr>
                  <w:divsChild>
                    <w:div w:id="1715887566">
                      <w:marLeft w:val="0"/>
                      <w:marRight w:val="0"/>
                      <w:marTop w:val="0"/>
                      <w:marBottom w:val="0"/>
                      <w:divBdr>
                        <w:top w:val="none" w:sz="0" w:space="0" w:color="auto"/>
                        <w:left w:val="none" w:sz="0" w:space="0" w:color="auto"/>
                        <w:bottom w:val="none" w:sz="0" w:space="0" w:color="auto"/>
                        <w:right w:val="none" w:sz="0" w:space="0" w:color="auto"/>
                      </w:divBdr>
                    </w:div>
                  </w:divsChild>
                </w:div>
                <w:div w:id="1691949247">
                  <w:marLeft w:val="0"/>
                  <w:marRight w:val="0"/>
                  <w:marTop w:val="0"/>
                  <w:marBottom w:val="0"/>
                  <w:divBdr>
                    <w:top w:val="none" w:sz="0" w:space="0" w:color="auto"/>
                    <w:left w:val="none" w:sz="0" w:space="0" w:color="auto"/>
                    <w:bottom w:val="none" w:sz="0" w:space="0" w:color="auto"/>
                    <w:right w:val="none" w:sz="0" w:space="0" w:color="auto"/>
                  </w:divBdr>
                  <w:divsChild>
                    <w:div w:id="109262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173088">
      <w:bodyDiv w:val="1"/>
      <w:marLeft w:val="0"/>
      <w:marRight w:val="0"/>
      <w:marTop w:val="0"/>
      <w:marBottom w:val="0"/>
      <w:divBdr>
        <w:top w:val="none" w:sz="0" w:space="0" w:color="auto"/>
        <w:left w:val="none" w:sz="0" w:space="0" w:color="auto"/>
        <w:bottom w:val="none" w:sz="0" w:space="0" w:color="auto"/>
        <w:right w:val="none" w:sz="0" w:space="0" w:color="auto"/>
      </w:divBdr>
      <w:divsChild>
        <w:div w:id="220530784">
          <w:marLeft w:val="0"/>
          <w:marRight w:val="0"/>
          <w:marTop w:val="0"/>
          <w:marBottom w:val="0"/>
          <w:divBdr>
            <w:top w:val="none" w:sz="0" w:space="0" w:color="auto"/>
            <w:left w:val="none" w:sz="0" w:space="0" w:color="auto"/>
            <w:bottom w:val="none" w:sz="0" w:space="0" w:color="auto"/>
            <w:right w:val="none" w:sz="0" w:space="0" w:color="auto"/>
          </w:divBdr>
          <w:divsChild>
            <w:div w:id="1352875313">
              <w:marLeft w:val="0"/>
              <w:marRight w:val="0"/>
              <w:marTop w:val="0"/>
              <w:marBottom w:val="0"/>
              <w:divBdr>
                <w:top w:val="none" w:sz="0" w:space="0" w:color="auto"/>
                <w:left w:val="none" w:sz="0" w:space="0" w:color="auto"/>
                <w:bottom w:val="none" w:sz="0" w:space="0" w:color="auto"/>
                <w:right w:val="none" w:sz="0" w:space="0" w:color="auto"/>
              </w:divBdr>
            </w:div>
          </w:divsChild>
        </w:div>
        <w:div w:id="229586708">
          <w:marLeft w:val="0"/>
          <w:marRight w:val="0"/>
          <w:marTop w:val="0"/>
          <w:marBottom w:val="0"/>
          <w:divBdr>
            <w:top w:val="none" w:sz="0" w:space="0" w:color="auto"/>
            <w:left w:val="none" w:sz="0" w:space="0" w:color="auto"/>
            <w:bottom w:val="none" w:sz="0" w:space="0" w:color="auto"/>
            <w:right w:val="none" w:sz="0" w:space="0" w:color="auto"/>
          </w:divBdr>
          <w:divsChild>
            <w:div w:id="2051882853">
              <w:marLeft w:val="0"/>
              <w:marRight w:val="0"/>
              <w:marTop w:val="0"/>
              <w:marBottom w:val="0"/>
              <w:divBdr>
                <w:top w:val="none" w:sz="0" w:space="0" w:color="auto"/>
                <w:left w:val="none" w:sz="0" w:space="0" w:color="auto"/>
                <w:bottom w:val="none" w:sz="0" w:space="0" w:color="auto"/>
                <w:right w:val="none" w:sz="0" w:space="0" w:color="auto"/>
              </w:divBdr>
            </w:div>
          </w:divsChild>
        </w:div>
        <w:div w:id="303119956">
          <w:marLeft w:val="0"/>
          <w:marRight w:val="0"/>
          <w:marTop w:val="0"/>
          <w:marBottom w:val="0"/>
          <w:divBdr>
            <w:top w:val="none" w:sz="0" w:space="0" w:color="auto"/>
            <w:left w:val="none" w:sz="0" w:space="0" w:color="auto"/>
            <w:bottom w:val="none" w:sz="0" w:space="0" w:color="auto"/>
            <w:right w:val="none" w:sz="0" w:space="0" w:color="auto"/>
          </w:divBdr>
          <w:divsChild>
            <w:div w:id="96026108">
              <w:marLeft w:val="0"/>
              <w:marRight w:val="0"/>
              <w:marTop w:val="0"/>
              <w:marBottom w:val="0"/>
              <w:divBdr>
                <w:top w:val="none" w:sz="0" w:space="0" w:color="auto"/>
                <w:left w:val="none" w:sz="0" w:space="0" w:color="auto"/>
                <w:bottom w:val="none" w:sz="0" w:space="0" w:color="auto"/>
                <w:right w:val="none" w:sz="0" w:space="0" w:color="auto"/>
              </w:divBdr>
            </w:div>
          </w:divsChild>
        </w:div>
        <w:div w:id="403917834">
          <w:marLeft w:val="0"/>
          <w:marRight w:val="0"/>
          <w:marTop w:val="0"/>
          <w:marBottom w:val="0"/>
          <w:divBdr>
            <w:top w:val="none" w:sz="0" w:space="0" w:color="auto"/>
            <w:left w:val="none" w:sz="0" w:space="0" w:color="auto"/>
            <w:bottom w:val="none" w:sz="0" w:space="0" w:color="auto"/>
            <w:right w:val="none" w:sz="0" w:space="0" w:color="auto"/>
          </w:divBdr>
          <w:divsChild>
            <w:div w:id="1882861095">
              <w:marLeft w:val="0"/>
              <w:marRight w:val="0"/>
              <w:marTop w:val="0"/>
              <w:marBottom w:val="0"/>
              <w:divBdr>
                <w:top w:val="none" w:sz="0" w:space="0" w:color="auto"/>
                <w:left w:val="none" w:sz="0" w:space="0" w:color="auto"/>
                <w:bottom w:val="none" w:sz="0" w:space="0" w:color="auto"/>
                <w:right w:val="none" w:sz="0" w:space="0" w:color="auto"/>
              </w:divBdr>
            </w:div>
          </w:divsChild>
        </w:div>
        <w:div w:id="677536748">
          <w:marLeft w:val="0"/>
          <w:marRight w:val="0"/>
          <w:marTop w:val="0"/>
          <w:marBottom w:val="0"/>
          <w:divBdr>
            <w:top w:val="none" w:sz="0" w:space="0" w:color="auto"/>
            <w:left w:val="none" w:sz="0" w:space="0" w:color="auto"/>
            <w:bottom w:val="none" w:sz="0" w:space="0" w:color="auto"/>
            <w:right w:val="none" w:sz="0" w:space="0" w:color="auto"/>
          </w:divBdr>
          <w:divsChild>
            <w:div w:id="957763090">
              <w:marLeft w:val="0"/>
              <w:marRight w:val="0"/>
              <w:marTop w:val="0"/>
              <w:marBottom w:val="0"/>
              <w:divBdr>
                <w:top w:val="none" w:sz="0" w:space="0" w:color="auto"/>
                <w:left w:val="none" w:sz="0" w:space="0" w:color="auto"/>
                <w:bottom w:val="none" w:sz="0" w:space="0" w:color="auto"/>
                <w:right w:val="none" w:sz="0" w:space="0" w:color="auto"/>
              </w:divBdr>
            </w:div>
          </w:divsChild>
        </w:div>
        <w:div w:id="681396674">
          <w:marLeft w:val="0"/>
          <w:marRight w:val="0"/>
          <w:marTop w:val="0"/>
          <w:marBottom w:val="0"/>
          <w:divBdr>
            <w:top w:val="none" w:sz="0" w:space="0" w:color="auto"/>
            <w:left w:val="none" w:sz="0" w:space="0" w:color="auto"/>
            <w:bottom w:val="none" w:sz="0" w:space="0" w:color="auto"/>
            <w:right w:val="none" w:sz="0" w:space="0" w:color="auto"/>
          </w:divBdr>
          <w:divsChild>
            <w:div w:id="1405645303">
              <w:marLeft w:val="0"/>
              <w:marRight w:val="0"/>
              <w:marTop w:val="0"/>
              <w:marBottom w:val="0"/>
              <w:divBdr>
                <w:top w:val="none" w:sz="0" w:space="0" w:color="auto"/>
                <w:left w:val="none" w:sz="0" w:space="0" w:color="auto"/>
                <w:bottom w:val="none" w:sz="0" w:space="0" w:color="auto"/>
                <w:right w:val="none" w:sz="0" w:space="0" w:color="auto"/>
              </w:divBdr>
            </w:div>
          </w:divsChild>
        </w:div>
        <w:div w:id="867258616">
          <w:marLeft w:val="0"/>
          <w:marRight w:val="0"/>
          <w:marTop w:val="0"/>
          <w:marBottom w:val="0"/>
          <w:divBdr>
            <w:top w:val="none" w:sz="0" w:space="0" w:color="auto"/>
            <w:left w:val="none" w:sz="0" w:space="0" w:color="auto"/>
            <w:bottom w:val="none" w:sz="0" w:space="0" w:color="auto"/>
            <w:right w:val="none" w:sz="0" w:space="0" w:color="auto"/>
          </w:divBdr>
          <w:divsChild>
            <w:div w:id="50232540">
              <w:marLeft w:val="0"/>
              <w:marRight w:val="0"/>
              <w:marTop w:val="0"/>
              <w:marBottom w:val="0"/>
              <w:divBdr>
                <w:top w:val="none" w:sz="0" w:space="0" w:color="auto"/>
                <w:left w:val="none" w:sz="0" w:space="0" w:color="auto"/>
                <w:bottom w:val="none" w:sz="0" w:space="0" w:color="auto"/>
                <w:right w:val="none" w:sz="0" w:space="0" w:color="auto"/>
              </w:divBdr>
            </w:div>
          </w:divsChild>
        </w:div>
        <w:div w:id="954486693">
          <w:marLeft w:val="0"/>
          <w:marRight w:val="0"/>
          <w:marTop w:val="0"/>
          <w:marBottom w:val="0"/>
          <w:divBdr>
            <w:top w:val="none" w:sz="0" w:space="0" w:color="auto"/>
            <w:left w:val="none" w:sz="0" w:space="0" w:color="auto"/>
            <w:bottom w:val="none" w:sz="0" w:space="0" w:color="auto"/>
            <w:right w:val="none" w:sz="0" w:space="0" w:color="auto"/>
          </w:divBdr>
          <w:divsChild>
            <w:div w:id="1635327199">
              <w:marLeft w:val="0"/>
              <w:marRight w:val="0"/>
              <w:marTop w:val="0"/>
              <w:marBottom w:val="0"/>
              <w:divBdr>
                <w:top w:val="none" w:sz="0" w:space="0" w:color="auto"/>
                <w:left w:val="none" w:sz="0" w:space="0" w:color="auto"/>
                <w:bottom w:val="none" w:sz="0" w:space="0" w:color="auto"/>
                <w:right w:val="none" w:sz="0" w:space="0" w:color="auto"/>
              </w:divBdr>
            </w:div>
          </w:divsChild>
        </w:div>
        <w:div w:id="990671216">
          <w:marLeft w:val="0"/>
          <w:marRight w:val="0"/>
          <w:marTop w:val="0"/>
          <w:marBottom w:val="0"/>
          <w:divBdr>
            <w:top w:val="none" w:sz="0" w:space="0" w:color="auto"/>
            <w:left w:val="none" w:sz="0" w:space="0" w:color="auto"/>
            <w:bottom w:val="none" w:sz="0" w:space="0" w:color="auto"/>
            <w:right w:val="none" w:sz="0" w:space="0" w:color="auto"/>
          </w:divBdr>
          <w:divsChild>
            <w:div w:id="2110277805">
              <w:marLeft w:val="0"/>
              <w:marRight w:val="0"/>
              <w:marTop w:val="0"/>
              <w:marBottom w:val="0"/>
              <w:divBdr>
                <w:top w:val="none" w:sz="0" w:space="0" w:color="auto"/>
                <w:left w:val="none" w:sz="0" w:space="0" w:color="auto"/>
                <w:bottom w:val="none" w:sz="0" w:space="0" w:color="auto"/>
                <w:right w:val="none" w:sz="0" w:space="0" w:color="auto"/>
              </w:divBdr>
            </w:div>
          </w:divsChild>
        </w:div>
        <w:div w:id="1054086652">
          <w:marLeft w:val="0"/>
          <w:marRight w:val="0"/>
          <w:marTop w:val="0"/>
          <w:marBottom w:val="0"/>
          <w:divBdr>
            <w:top w:val="none" w:sz="0" w:space="0" w:color="auto"/>
            <w:left w:val="none" w:sz="0" w:space="0" w:color="auto"/>
            <w:bottom w:val="none" w:sz="0" w:space="0" w:color="auto"/>
            <w:right w:val="none" w:sz="0" w:space="0" w:color="auto"/>
          </w:divBdr>
          <w:divsChild>
            <w:div w:id="1900899651">
              <w:marLeft w:val="0"/>
              <w:marRight w:val="0"/>
              <w:marTop w:val="0"/>
              <w:marBottom w:val="0"/>
              <w:divBdr>
                <w:top w:val="none" w:sz="0" w:space="0" w:color="auto"/>
                <w:left w:val="none" w:sz="0" w:space="0" w:color="auto"/>
                <w:bottom w:val="none" w:sz="0" w:space="0" w:color="auto"/>
                <w:right w:val="none" w:sz="0" w:space="0" w:color="auto"/>
              </w:divBdr>
            </w:div>
          </w:divsChild>
        </w:div>
        <w:div w:id="1060709269">
          <w:marLeft w:val="0"/>
          <w:marRight w:val="0"/>
          <w:marTop w:val="0"/>
          <w:marBottom w:val="0"/>
          <w:divBdr>
            <w:top w:val="none" w:sz="0" w:space="0" w:color="auto"/>
            <w:left w:val="none" w:sz="0" w:space="0" w:color="auto"/>
            <w:bottom w:val="none" w:sz="0" w:space="0" w:color="auto"/>
            <w:right w:val="none" w:sz="0" w:space="0" w:color="auto"/>
          </w:divBdr>
          <w:divsChild>
            <w:div w:id="429473738">
              <w:marLeft w:val="0"/>
              <w:marRight w:val="0"/>
              <w:marTop w:val="0"/>
              <w:marBottom w:val="0"/>
              <w:divBdr>
                <w:top w:val="none" w:sz="0" w:space="0" w:color="auto"/>
                <w:left w:val="none" w:sz="0" w:space="0" w:color="auto"/>
                <w:bottom w:val="none" w:sz="0" w:space="0" w:color="auto"/>
                <w:right w:val="none" w:sz="0" w:space="0" w:color="auto"/>
              </w:divBdr>
            </w:div>
          </w:divsChild>
        </w:div>
        <w:div w:id="1127316862">
          <w:marLeft w:val="0"/>
          <w:marRight w:val="0"/>
          <w:marTop w:val="0"/>
          <w:marBottom w:val="0"/>
          <w:divBdr>
            <w:top w:val="none" w:sz="0" w:space="0" w:color="auto"/>
            <w:left w:val="none" w:sz="0" w:space="0" w:color="auto"/>
            <w:bottom w:val="none" w:sz="0" w:space="0" w:color="auto"/>
            <w:right w:val="none" w:sz="0" w:space="0" w:color="auto"/>
          </w:divBdr>
          <w:divsChild>
            <w:div w:id="1860318554">
              <w:marLeft w:val="0"/>
              <w:marRight w:val="0"/>
              <w:marTop w:val="0"/>
              <w:marBottom w:val="0"/>
              <w:divBdr>
                <w:top w:val="none" w:sz="0" w:space="0" w:color="auto"/>
                <w:left w:val="none" w:sz="0" w:space="0" w:color="auto"/>
                <w:bottom w:val="none" w:sz="0" w:space="0" w:color="auto"/>
                <w:right w:val="none" w:sz="0" w:space="0" w:color="auto"/>
              </w:divBdr>
            </w:div>
          </w:divsChild>
        </w:div>
        <w:div w:id="1227957559">
          <w:marLeft w:val="0"/>
          <w:marRight w:val="0"/>
          <w:marTop w:val="0"/>
          <w:marBottom w:val="0"/>
          <w:divBdr>
            <w:top w:val="none" w:sz="0" w:space="0" w:color="auto"/>
            <w:left w:val="none" w:sz="0" w:space="0" w:color="auto"/>
            <w:bottom w:val="none" w:sz="0" w:space="0" w:color="auto"/>
            <w:right w:val="none" w:sz="0" w:space="0" w:color="auto"/>
          </w:divBdr>
          <w:divsChild>
            <w:div w:id="579677729">
              <w:marLeft w:val="0"/>
              <w:marRight w:val="0"/>
              <w:marTop w:val="0"/>
              <w:marBottom w:val="0"/>
              <w:divBdr>
                <w:top w:val="none" w:sz="0" w:space="0" w:color="auto"/>
                <w:left w:val="none" w:sz="0" w:space="0" w:color="auto"/>
                <w:bottom w:val="none" w:sz="0" w:space="0" w:color="auto"/>
                <w:right w:val="none" w:sz="0" w:space="0" w:color="auto"/>
              </w:divBdr>
            </w:div>
          </w:divsChild>
        </w:div>
        <w:div w:id="1302072417">
          <w:marLeft w:val="0"/>
          <w:marRight w:val="0"/>
          <w:marTop w:val="0"/>
          <w:marBottom w:val="0"/>
          <w:divBdr>
            <w:top w:val="none" w:sz="0" w:space="0" w:color="auto"/>
            <w:left w:val="none" w:sz="0" w:space="0" w:color="auto"/>
            <w:bottom w:val="none" w:sz="0" w:space="0" w:color="auto"/>
            <w:right w:val="none" w:sz="0" w:space="0" w:color="auto"/>
          </w:divBdr>
          <w:divsChild>
            <w:div w:id="1041514232">
              <w:marLeft w:val="0"/>
              <w:marRight w:val="0"/>
              <w:marTop w:val="0"/>
              <w:marBottom w:val="0"/>
              <w:divBdr>
                <w:top w:val="none" w:sz="0" w:space="0" w:color="auto"/>
                <w:left w:val="none" w:sz="0" w:space="0" w:color="auto"/>
                <w:bottom w:val="none" w:sz="0" w:space="0" w:color="auto"/>
                <w:right w:val="none" w:sz="0" w:space="0" w:color="auto"/>
              </w:divBdr>
            </w:div>
          </w:divsChild>
        </w:div>
        <w:div w:id="1382553517">
          <w:marLeft w:val="0"/>
          <w:marRight w:val="0"/>
          <w:marTop w:val="0"/>
          <w:marBottom w:val="0"/>
          <w:divBdr>
            <w:top w:val="none" w:sz="0" w:space="0" w:color="auto"/>
            <w:left w:val="none" w:sz="0" w:space="0" w:color="auto"/>
            <w:bottom w:val="none" w:sz="0" w:space="0" w:color="auto"/>
            <w:right w:val="none" w:sz="0" w:space="0" w:color="auto"/>
          </w:divBdr>
          <w:divsChild>
            <w:div w:id="744255705">
              <w:marLeft w:val="0"/>
              <w:marRight w:val="0"/>
              <w:marTop w:val="0"/>
              <w:marBottom w:val="0"/>
              <w:divBdr>
                <w:top w:val="none" w:sz="0" w:space="0" w:color="auto"/>
                <w:left w:val="none" w:sz="0" w:space="0" w:color="auto"/>
                <w:bottom w:val="none" w:sz="0" w:space="0" w:color="auto"/>
                <w:right w:val="none" w:sz="0" w:space="0" w:color="auto"/>
              </w:divBdr>
            </w:div>
          </w:divsChild>
        </w:div>
        <w:div w:id="1428623778">
          <w:marLeft w:val="0"/>
          <w:marRight w:val="0"/>
          <w:marTop w:val="0"/>
          <w:marBottom w:val="0"/>
          <w:divBdr>
            <w:top w:val="none" w:sz="0" w:space="0" w:color="auto"/>
            <w:left w:val="none" w:sz="0" w:space="0" w:color="auto"/>
            <w:bottom w:val="none" w:sz="0" w:space="0" w:color="auto"/>
            <w:right w:val="none" w:sz="0" w:space="0" w:color="auto"/>
          </w:divBdr>
          <w:divsChild>
            <w:div w:id="1642997007">
              <w:marLeft w:val="0"/>
              <w:marRight w:val="0"/>
              <w:marTop w:val="0"/>
              <w:marBottom w:val="0"/>
              <w:divBdr>
                <w:top w:val="none" w:sz="0" w:space="0" w:color="auto"/>
                <w:left w:val="none" w:sz="0" w:space="0" w:color="auto"/>
                <w:bottom w:val="none" w:sz="0" w:space="0" w:color="auto"/>
                <w:right w:val="none" w:sz="0" w:space="0" w:color="auto"/>
              </w:divBdr>
            </w:div>
          </w:divsChild>
        </w:div>
        <w:div w:id="1437604233">
          <w:marLeft w:val="0"/>
          <w:marRight w:val="0"/>
          <w:marTop w:val="0"/>
          <w:marBottom w:val="0"/>
          <w:divBdr>
            <w:top w:val="none" w:sz="0" w:space="0" w:color="auto"/>
            <w:left w:val="none" w:sz="0" w:space="0" w:color="auto"/>
            <w:bottom w:val="none" w:sz="0" w:space="0" w:color="auto"/>
            <w:right w:val="none" w:sz="0" w:space="0" w:color="auto"/>
          </w:divBdr>
          <w:divsChild>
            <w:div w:id="166285857">
              <w:marLeft w:val="0"/>
              <w:marRight w:val="0"/>
              <w:marTop w:val="0"/>
              <w:marBottom w:val="0"/>
              <w:divBdr>
                <w:top w:val="none" w:sz="0" w:space="0" w:color="auto"/>
                <w:left w:val="none" w:sz="0" w:space="0" w:color="auto"/>
                <w:bottom w:val="none" w:sz="0" w:space="0" w:color="auto"/>
                <w:right w:val="none" w:sz="0" w:space="0" w:color="auto"/>
              </w:divBdr>
            </w:div>
          </w:divsChild>
        </w:div>
        <w:div w:id="1528712040">
          <w:marLeft w:val="0"/>
          <w:marRight w:val="0"/>
          <w:marTop w:val="0"/>
          <w:marBottom w:val="0"/>
          <w:divBdr>
            <w:top w:val="none" w:sz="0" w:space="0" w:color="auto"/>
            <w:left w:val="none" w:sz="0" w:space="0" w:color="auto"/>
            <w:bottom w:val="none" w:sz="0" w:space="0" w:color="auto"/>
            <w:right w:val="none" w:sz="0" w:space="0" w:color="auto"/>
          </w:divBdr>
          <w:divsChild>
            <w:div w:id="587539140">
              <w:marLeft w:val="0"/>
              <w:marRight w:val="0"/>
              <w:marTop w:val="0"/>
              <w:marBottom w:val="0"/>
              <w:divBdr>
                <w:top w:val="none" w:sz="0" w:space="0" w:color="auto"/>
                <w:left w:val="none" w:sz="0" w:space="0" w:color="auto"/>
                <w:bottom w:val="none" w:sz="0" w:space="0" w:color="auto"/>
                <w:right w:val="none" w:sz="0" w:space="0" w:color="auto"/>
              </w:divBdr>
            </w:div>
          </w:divsChild>
        </w:div>
        <w:div w:id="1587113074">
          <w:marLeft w:val="0"/>
          <w:marRight w:val="0"/>
          <w:marTop w:val="0"/>
          <w:marBottom w:val="0"/>
          <w:divBdr>
            <w:top w:val="none" w:sz="0" w:space="0" w:color="auto"/>
            <w:left w:val="none" w:sz="0" w:space="0" w:color="auto"/>
            <w:bottom w:val="none" w:sz="0" w:space="0" w:color="auto"/>
            <w:right w:val="none" w:sz="0" w:space="0" w:color="auto"/>
          </w:divBdr>
          <w:divsChild>
            <w:div w:id="417868912">
              <w:marLeft w:val="0"/>
              <w:marRight w:val="0"/>
              <w:marTop w:val="0"/>
              <w:marBottom w:val="0"/>
              <w:divBdr>
                <w:top w:val="none" w:sz="0" w:space="0" w:color="auto"/>
                <w:left w:val="none" w:sz="0" w:space="0" w:color="auto"/>
                <w:bottom w:val="none" w:sz="0" w:space="0" w:color="auto"/>
                <w:right w:val="none" w:sz="0" w:space="0" w:color="auto"/>
              </w:divBdr>
            </w:div>
          </w:divsChild>
        </w:div>
        <w:div w:id="1927417374">
          <w:marLeft w:val="0"/>
          <w:marRight w:val="0"/>
          <w:marTop w:val="0"/>
          <w:marBottom w:val="0"/>
          <w:divBdr>
            <w:top w:val="none" w:sz="0" w:space="0" w:color="auto"/>
            <w:left w:val="none" w:sz="0" w:space="0" w:color="auto"/>
            <w:bottom w:val="none" w:sz="0" w:space="0" w:color="auto"/>
            <w:right w:val="none" w:sz="0" w:space="0" w:color="auto"/>
          </w:divBdr>
          <w:divsChild>
            <w:div w:id="1912736001">
              <w:marLeft w:val="0"/>
              <w:marRight w:val="0"/>
              <w:marTop w:val="0"/>
              <w:marBottom w:val="0"/>
              <w:divBdr>
                <w:top w:val="none" w:sz="0" w:space="0" w:color="auto"/>
                <w:left w:val="none" w:sz="0" w:space="0" w:color="auto"/>
                <w:bottom w:val="none" w:sz="0" w:space="0" w:color="auto"/>
                <w:right w:val="none" w:sz="0" w:space="0" w:color="auto"/>
              </w:divBdr>
            </w:div>
          </w:divsChild>
        </w:div>
        <w:div w:id="2013600700">
          <w:marLeft w:val="0"/>
          <w:marRight w:val="0"/>
          <w:marTop w:val="0"/>
          <w:marBottom w:val="0"/>
          <w:divBdr>
            <w:top w:val="none" w:sz="0" w:space="0" w:color="auto"/>
            <w:left w:val="none" w:sz="0" w:space="0" w:color="auto"/>
            <w:bottom w:val="none" w:sz="0" w:space="0" w:color="auto"/>
            <w:right w:val="none" w:sz="0" w:space="0" w:color="auto"/>
          </w:divBdr>
          <w:divsChild>
            <w:div w:id="1361315763">
              <w:marLeft w:val="0"/>
              <w:marRight w:val="0"/>
              <w:marTop w:val="0"/>
              <w:marBottom w:val="0"/>
              <w:divBdr>
                <w:top w:val="none" w:sz="0" w:space="0" w:color="auto"/>
                <w:left w:val="none" w:sz="0" w:space="0" w:color="auto"/>
                <w:bottom w:val="none" w:sz="0" w:space="0" w:color="auto"/>
                <w:right w:val="none" w:sz="0" w:space="0" w:color="auto"/>
              </w:divBdr>
            </w:div>
          </w:divsChild>
        </w:div>
        <w:div w:id="2015377961">
          <w:marLeft w:val="0"/>
          <w:marRight w:val="0"/>
          <w:marTop w:val="0"/>
          <w:marBottom w:val="0"/>
          <w:divBdr>
            <w:top w:val="none" w:sz="0" w:space="0" w:color="auto"/>
            <w:left w:val="none" w:sz="0" w:space="0" w:color="auto"/>
            <w:bottom w:val="none" w:sz="0" w:space="0" w:color="auto"/>
            <w:right w:val="none" w:sz="0" w:space="0" w:color="auto"/>
          </w:divBdr>
          <w:divsChild>
            <w:div w:id="1785886631">
              <w:marLeft w:val="0"/>
              <w:marRight w:val="0"/>
              <w:marTop w:val="0"/>
              <w:marBottom w:val="0"/>
              <w:divBdr>
                <w:top w:val="none" w:sz="0" w:space="0" w:color="auto"/>
                <w:left w:val="none" w:sz="0" w:space="0" w:color="auto"/>
                <w:bottom w:val="none" w:sz="0" w:space="0" w:color="auto"/>
                <w:right w:val="none" w:sz="0" w:space="0" w:color="auto"/>
              </w:divBdr>
            </w:div>
          </w:divsChild>
        </w:div>
        <w:div w:id="2104915716">
          <w:marLeft w:val="0"/>
          <w:marRight w:val="0"/>
          <w:marTop w:val="0"/>
          <w:marBottom w:val="0"/>
          <w:divBdr>
            <w:top w:val="none" w:sz="0" w:space="0" w:color="auto"/>
            <w:left w:val="none" w:sz="0" w:space="0" w:color="auto"/>
            <w:bottom w:val="none" w:sz="0" w:space="0" w:color="auto"/>
            <w:right w:val="none" w:sz="0" w:space="0" w:color="auto"/>
          </w:divBdr>
          <w:divsChild>
            <w:div w:id="759135110">
              <w:marLeft w:val="0"/>
              <w:marRight w:val="0"/>
              <w:marTop w:val="0"/>
              <w:marBottom w:val="0"/>
              <w:divBdr>
                <w:top w:val="none" w:sz="0" w:space="0" w:color="auto"/>
                <w:left w:val="none" w:sz="0" w:space="0" w:color="auto"/>
                <w:bottom w:val="none" w:sz="0" w:space="0" w:color="auto"/>
                <w:right w:val="none" w:sz="0" w:space="0" w:color="auto"/>
              </w:divBdr>
            </w:div>
          </w:divsChild>
        </w:div>
        <w:div w:id="2136823095">
          <w:marLeft w:val="0"/>
          <w:marRight w:val="0"/>
          <w:marTop w:val="0"/>
          <w:marBottom w:val="0"/>
          <w:divBdr>
            <w:top w:val="none" w:sz="0" w:space="0" w:color="auto"/>
            <w:left w:val="none" w:sz="0" w:space="0" w:color="auto"/>
            <w:bottom w:val="none" w:sz="0" w:space="0" w:color="auto"/>
            <w:right w:val="none" w:sz="0" w:space="0" w:color="auto"/>
          </w:divBdr>
          <w:divsChild>
            <w:div w:id="27979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91313">
      <w:bodyDiv w:val="1"/>
      <w:marLeft w:val="0"/>
      <w:marRight w:val="0"/>
      <w:marTop w:val="0"/>
      <w:marBottom w:val="0"/>
      <w:divBdr>
        <w:top w:val="none" w:sz="0" w:space="0" w:color="auto"/>
        <w:left w:val="none" w:sz="0" w:space="0" w:color="auto"/>
        <w:bottom w:val="none" w:sz="0" w:space="0" w:color="auto"/>
        <w:right w:val="none" w:sz="0" w:space="0" w:color="auto"/>
      </w:divBdr>
    </w:div>
    <w:div w:id="353121206">
      <w:bodyDiv w:val="1"/>
      <w:marLeft w:val="0"/>
      <w:marRight w:val="0"/>
      <w:marTop w:val="0"/>
      <w:marBottom w:val="0"/>
      <w:divBdr>
        <w:top w:val="none" w:sz="0" w:space="0" w:color="auto"/>
        <w:left w:val="none" w:sz="0" w:space="0" w:color="auto"/>
        <w:bottom w:val="none" w:sz="0" w:space="0" w:color="auto"/>
        <w:right w:val="none" w:sz="0" w:space="0" w:color="auto"/>
      </w:divBdr>
      <w:divsChild>
        <w:div w:id="20015481">
          <w:marLeft w:val="0"/>
          <w:marRight w:val="0"/>
          <w:marTop w:val="0"/>
          <w:marBottom w:val="0"/>
          <w:divBdr>
            <w:top w:val="none" w:sz="0" w:space="0" w:color="auto"/>
            <w:left w:val="none" w:sz="0" w:space="0" w:color="auto"/>
            <w:bottom w:val="none" w:sz="0" w:space="0" w:color="auto"/>
            <w:right w:val="none" w:sz="0" w:space="0" w:color="auto"/>
          </w:divBdr>
        </w:div>
        <w:div w:id="140968153">
          <w:marLeft w:val="0"/>
          <w:marRight w:val="0"/>
          <w:marTop w:val="0"/>
          <w:marBottom w:val="0"/>
          <w:divBdr>
            <w:top w:val="none" w:sz="0" w:space="0" w:color="auto"/>
            <w:left w:val="none" w:sz="0" w:space="0" w:color="auto"/>
            <w:bottom w:val="none" w:sz="0" w:space="0" w:color="auto"/>
            <w:right w:val="none" w:sz="0" w:space="0" w:color="auto"/>
          </w:divBdr>
        </w:div>
        <w:div w:id="172039241">
          <w:marLeft w:val="0"/>
          <w:marRight w:val="0"/>
          <w:marTop w:val="0"/>
          <w:marBottom w:val="0"/>
          <w:divBdr>
            <w:top w:val="none" w:sz="0" w:space="0" w:color="auto"/>
            <w:left w:val="none" w:sz="0" w:space="0" w:color="auto"/>
            <w:bottom w:val="none" w:sz="0" w:space="0" w:color="auto"/>
            <w:right w:val="none" w:sz="0" w:space="0" w:color="auto"/>
          </w:divBdr>
        </w:div>
        <w:div w:id="215824664">
          <w:marLeft w:val="0"/>
          <w:marRight w:val="0"/>
          <w:marTop w:val="0"/>
          <w:marBottom w:val="0"/>
          <w:divBdr>
            <w:top w:val="none" w:sz="0" w:space="0" w:color="auto"/>
            <w:left w:val="none" w:sz="0" w:space="0" w:color="auto"/>
            <w:bottom w:val="none" w:sz="0" w:space="0" w:color="auto"/>
            <w:right w:val="none" w:sz="0" w:space="0" w:color="auto"/>
          </w:divBdr>
        </w:div>
        <w:div w:id="230578473">
          <w:marLeft w:val="0"/>
          <w:marRight w:val="0"/>
          <w:marTop w:val="0"/>
          <w:marBottom w:val="0"/>
          <w:divBdr>
            <w:top w:val="none" w:sz="0" w:space="0" w:color="auto"/>
            <w:left w:val="none" w:sz="0" w:space="0" w:color="auto"/>
            <w:bottom w:val="none" w:sz="0" w:space="0" w:color="auto"/>
            <w:right w:val="none" w:sz="0" w:space="0" w:color="auto"/>
          </w:divBdr>
        </w:div>
        <w:div w:id="299963631">
          <w:marLeft w:val="0"/>
          <w:marRight w:val="0"/>
          <w:marTop w:val="0"/>
          <w:marBottom w:val="0"/>
          <w:divBdr>
            <w:top w:val="none" w:sz="0" w:space="0" w:color="auto"/>
            <w:left w:val="none" w:sz="0" w:space="0" w:color="auto"/>
            <w:bottom w:val="none" w:sz="0" w:space="0" w:color="auto"/>
            <w:right w:val="none" w:sz="0" w:space="0" w:color="auto"/>
          </w:divBdr>
        </w:div>
        <w:div w:id="393772844">
          <w:marLeft w:val="0"/>
          <w:marRight w:val="0"/>
          <w:marTop w:val="0"/>
          <w:marBottom w:val="0"/>
          <w:divBdr>
            <w:top w:val="none" w:sz="0" w:space="0" w:color="auto"/>
            <w:left w:val="none" w:sz="0" w:space="0" w:color="auto"/>
            <w:bottom w:val="none" w:sz="0" w:space="0" w:color="auto"/>
            <w:right w:val="none" w:sz="0" w:space="0" w:color="auto"/>
          </w:divBdr>
        </w:div>
        <w:div w:id="481699021">
          <w:marLeft w:val="0"/>
          <w:marRight w:val="0"/>
          <w:marTop w:val="0"/>
          <w:marBottom w:val="0"/>
          <w:divBdr>
            <w:top w:val="none" w:sz="0" w:space="0" w:color="auto"/>
            <w:left w:val="none" w:sz="0" w:space="0" w:color="auto"/>
            <w:bottom w:val="none" w:sz="0" w:space="0" w:color="auto"/>
            <w:right w:val="none" w:sz="0" w:space="0" w:color="auto"/>
          </w:divBdr>
        </w:div>
        <w:div w:id="482700797">
          <w:marLeft w:val="0"/>
          <w:marRight w:val="0"/>
          <w:marTop w:val="0"/>
          <w:marBottom w:val="0"/>
          <w:divBdr>
            <w:top w:val="none" w:sz="0" w:space="0" w:color="auto"/>
            <w:left w:val="none" w:sz="0" w:space="0" w:color="auto"/>
            <w:bottom w:val="none" w:sz="0" w:space="0" w:color="auto"/>
            <w:right w:val="none" w:sz="0" w:space="0" w:color="auto"/>
          </w:divBdr>
        </w:div>
        <w:div w:id="653215513">
          <w:marLeft w:val="0"/>
          <w:marRight w:val="0"/>
          <w:marTop w:val="0"/>
          <w:marBottom w:val="0"/>
          <w:divBdr>
            <w:top w:val="none" w:sz="0" w:space="0" w:color="auto"/>
            <w:left w:val="none" w:sz="0" w:space="0" w:color="auto"/>
            <w:bottom w:val="none" w:sz="0" w:space="0" w:color="auto"/>
            <w:right w:val="none" w:sz="0" w:space="0" w:color="auto"/>
          </w:divBdr>
        </w:div>
        <w:div w:id="714238651">
          <w:marLeft w:val="0"/>
          <w:marRight w:val="0"/>
          <w:marTop w:val="0"/>
          <w:marBottom w:val="0"/>
          <w:divBdr>
            <w:top w:val="none" w:sz="0" w:space="0" w:color="auto"/>
            <w:left w:val="none" w:sz="0" w:space="0" w:color="auto"/>
            <w:bottom w:val="none" w:sz="0" w:space="0" w:color="auto"/>
            <w:right w:val="none" w:sz="0" w:space="0" w:color="auto"/>
          </w:divBdr>
        </w:div>
        <w:div w:id="740565481">
          <w:marLeft w:val="0"/>
          <w:marRight w:val="0"/>
          <w:marTop w:val="0"/>
          <w:marBottom w:val="0"/>
          <w:divBdr>
            <w:top w:val="none" w:sz="0" w:space="0" w:color="auto"/>
            <w:left w:val="none" w:sz="0" w:space="0" w:color="auto"/>
            <w:bottom w:val="none" w:sz="0" w:space="0" w:color="auto"/>
            <w:right w:val="none" w:sz="0" w:space="0" w:color="auto"/>
          </w:divBdr>
        </w:div>
        <w:div w:id="786390586">
          <w:marLeft w:val="0"/>
          <w:marRight w:val="0"/>
          <w:marTop w:val="0"/>
          <w:marBottom w:val="0"/>
          <w:divBdr>
            <w:top w:val="none" w:sz="0" w:space="0" w:color="auto"/>
            <w:left w:val="none" w:sz="0" w:space="0" w:color="auto"/>
            <w:bottom w:val="none" w:sz="0" w:space="0" w:color="auto"/>
            <w:right w:val="none" w:sz="0" w:space="0" w:color="auto"/>
          </w:divBdr>
        </w:div>
        <w:div w:id="789780612">
          <w:marLeft w:val="0"/>
          <w:marRight w:val="0"/>
          <w:marTop w:val="0"/>
          <w:marBottom w:val="0"/>
          <w:divBdr>
            <w:top w:val="none" w:sz="0" w:space="0" w:color="auto"/>
            <w:left w:val="none" w:sz="0" w:space="0" w:color="auto"/>
            <w:bottom w:val="none" w:sz="0" w:space="0" w:color="auto"/>
            <w:right w:val="none" w:sz="0" w:space="0" w:color="auto"/>
          </w:divBdr>
        </w:div>
        <w:div w:id="947661330">
          <w:marLeft w:val="0"/>
          <w:marRight w:val="0"/>
          <w:marTop w:val="0"/>
          <w:marBottom w:val="0"/>
          <w:divBdr>
            <w:top w:val="none" w:sz="0" w:space="0" w:color="auto"/>
            <w:left w:val="none" w:sz="0" w:space="0" w:color="auto"/>
            <w:bottom w:val="none" w:sz="0" w:space="0" w:color="auto"/>
            <w:right w:val="none" w:sz="0" w:space="0" w:color="auto"/>
          </w:divBdr>
        </w:div>
        <w:div w:id="951781982">
          <w:marLeft w:val="0"/>
          <w:marRight w:val="0"/>
          <w:marTop w:val="0"/>
          <w:marBottom w:val="0"/>
          <w:divBdr>
            <w:top w:val="none" w:sz="0" w:space="0" w:color="auto"/>
            <w:left w:val="none" w:sz="0" w:space="0" w:color="auto"/>
            <w:bottom w:val="none" w:sz="0" w:space="0" w:color="auto"/>
            <w:right w:val="none" w:sz="0" w:space="0" w:color="auto"/>
          </w:divBdr>
        </w:div>
        <w:div w:id="1028219311">
          <w:marLeft w:val="0"/>
          <w:marRight w:val="0"/>
          <w:marTop w:val="0"/>
          <w:marBottom w:val="0"/>
          <w:divBdr>
            <w:top w:val="none" w:sz="0" w:space="0" w:color="auto"/>
            <w:left w:val="none" w:sz="0" w:space="0" w:color="auto"/>
            <w:bottom w:val="none" w:sz="0" w:space="0" w:color="auto"/>
            <w:right w:val="none" w:sz="0" w:space="0" w:color="auto"/>
          </w:divBdr>
        </w:div>
        <w:div w:id="1070078777">
          <w:marLeft w:val="0"/>
          <w:marRight w:val="0"/>
          <w:marTop w:val="0"/>
          <w:marBottom w:val="0"/>
          <w:divBdr>
            <w:top w:val="none" w:sz="0" w:space="0" w:color="auto"/>
            <w:left w:val="none" w:sz="0" w:space="0" w:color="auto"/>
            <w:bottom w:val="none" w:sz="0" w:space="0" w:color="auto"/>
            <w:right w:val="none" w:sz="0" w:space="0" w:color="auto"/>
          </w:divBdr>
        </w:div>
        <w:div w:id="1071807889">
          <w:marLeft w:val="0"/>
          <w:marRight w:val="0"/>
          <w:marTop w:val="0"/>
          <w:marBottom w:val="0"/>
          <w:divBdr>
            <w:top w:val="none" w:sz="0" w:space="0" w:color="auto"/>
            <w:left w:val="none" w:sz="0" w:space="0" w:color="auto"/>
            <w:bottom w:val="none" w:sz="0" w:space="0" w:color="auto"/>
            <w:right w:val="none" w:sz="0" w:space="0" w:color="auto"/>
          </w:divBdr>
        </w:div>
        <w:div w:id="1073501468">
          <w:marLeft w:val="0"/>
          <w:marRight w:val="0"/>
          <w:marTop w:val="0"/>
          <w:marBottom w:val="0"/>
          <w:divBdr>
            <w:top w:val="none" w:sz="0" w:space="0" w:color="auto"/>
            <w:left w:val="none" w:sz="0" w:space="0" w:color="auto"/>
            <w:bottom w:val="none" w:sz="0" w:space="0" w:color="auto"/>
            <w:right w:val="none" w:sz="0" w:space="0" w:color="auto"/>
          </w:divBdr>
        </w:div>
        <w:div w:id="1238784684">
          <w:marLeft w:val="0"/>
          <w:marRight w:val="0"/>
          <w:marTop w:val="0"/>
          <w:marBottom w:val="0"/>
          <w:divBdr>
            <w:top w:val="none" w:sz="0" w:space="0" w:color="auto"/>
            <w:left w:val="none" w:sz="0" w:space="0" w:color="auto"/>
            <w:bottom w:val="none" w:sz="0" w:space="0" w:color="auto"/>
            <w:right w:val="none" w:sz="0" w:space="0" w:color="auto"/>
          </w:divBdr>
        </w:div>
        <w:div w:id="1474173458">
          <w:marLeft w:val="0"/>
          <w:marRight w:val="0"/>
          <w:marTop w:val="0"/>
          <w:marBottom w:val="0"/>
          <w:divBdr>
            <w:top w:val="none" w:sz="0" w:space="0" w:color="auto"/>
            <w:left w:val="none" w:sz="0" w:space="0" w:color="auto"/>
            <w:bottom w:val="none" w:sz="0" w:space="0" w:color="auto"/>
            <w:right w:val="none" w:sz="0" w:space="0" w:color="auto"/>
          </w:divBdr>
        </w:div>
        <w:div w:id="1554845742">
          <w:marLeft w:val="0"/>
          <w:marRight w:val="0"/>
          <w:marTop w:val="0"/>
          <w:marBottom w:val="0"/>
          <w:divBdr>
            <w:top w:val="none" w:sz="0" w:space="0" w:color="auto"/>
            <w:left w:val="none" w:sz="0" w:space="0" w:color="auto"/>
            <w:bottom w:val="none" w:sz="0" w:space="0" w:color="auto"/>
            <w:right w:val="none" w:sz="0" w:space="0" w:color="auto"/>
          </w:divBdr>
        </w:div>
        <w:div w:id="1587811731">
          <w:marLeft w:val="0"/>
          <w:marRight w:val="0"/>
          <w:marTop w:val="0"/>
          <w:marBottom w:val="0"/>
          <w:divBdr>
            <w:top w:val="none" w:sz="0" w:space="0" w:color="auto"/>
            <w:left w:val="none" w:sz="0" w:space="0" w:color="auto"/>
            <w:bottom w:val="none" w:sz="0" w:space="0" w:color="auto"/>
            <w:right w:val="none" w:sz="0" w:space="0" w:color="auto"/>
          </w:divBdr>
        </w:div>
        <w:div w:id="1591893828">
          <w:marLeft w:val="0"/>
          <w:marRight w:val="0"/>
          <w:marTop w:val="0"/>
          <w:marBottom w:val="0"/>
          <w:divBdr>
            <w:top w:val="none" w:sz="0" w:space="0" w:color="auto"/>
            <w:left w:val="none" w:sz="0" w:space="0" w:color="auto"/>
            <w:bottom w:val="none" w:sz="0" w:space="0" w:color="auto"/>
            <w:right w:val="none" w:sz="0" w:space="0" w:color="auto"/>
          </w:divBdr>
        </w:div>
        <w:div w:id="1785804342">
          <w:marLeft w:val="0"/>
          <w:marRight w:val="0"/>
          <w:marTop w:val="0"/>
          <w:marBottom w:val="0"/>
          <w:divBdr>
            <w:top w:val="none" w:sz="0" w:space="0" w:color="auto"/>
            <w:left w:val="none" w:sz="0" w:space="0" w:color="auto"/>
            <w:bottom w:val="none" w:sz="0" w:space="0" w:color="auto"/>
            <w:right w:val="none" w:sz="0" w:space="0" w:color="auto"/>
          </w:divBdr>
        </w:div>
        <w:div w:id="1786121801">
          <w:marLeft w:val="0"/>
          <w:marRight w:val="0"/>
          <w:marTop w:val="0"/>
          <w:marBottom w:val="0"/>
          <w:divBdr>
            <w:top w:val="none" w:sz="0" w:space="0" w:color="auto"/>
            <w:left w:val="none" w:sz="0" w:space="0" w:color="auto"/>
            <w:bottom w:val="none" w:sz="0" w:space="0" w:color="auto"/>
            <w:right w:val="none" w:sz="0" w:space="0" w:color="auto"/>
          </w:divBdr>
        </w:div>
        <w:div w:id="1813012195">
          <w:marLeft w:val="0"/>
          <w:marRight w:val="0"/>
          <w:marTop w:val="0"/>
          <w:marBottom w:val="0"/>
          <w:divBdr>
            <w:top w:val="none" w:sz="0" w:space="0" w:color="auto"/>
            <w:left w:val="none" w:sz="0" w:space="0" w:color="auto"/>
            <w:bottom w:val="none" w:sz="0" w:space="0" w:color="auto"/>
            <w:right w:val="none" w:sz="0" w:space="0" w:color="auto"/>
          </w:divBdr>
        </w:div>
        <w:div w:id="1943759002">
          <w:marLeft w:val="0"/>
          <w:marRight w:val="0"/>
          <w:marTop w:val="0"/>
          <w:marBottom w:val="0"/>
          <w:divBdr>
            <w:top w:val="none" w:sz="0" w:space="0" w:color="auto"/>
            <w:left w:val="none" w:sz="0" w:space="0" w:color="auto"/>
            <w:bottom w:val="none" w:sz="0" w:space="0" w:color="auto"/>
            <w:right w:val="none" w:sz="0" w:space="0" w:color="auto"/>
          </w:divBdr>
        </w:div>
        <w:div w:id="1947157580">
          <w:marLeft w:val="0"/>
          <w:marRight w:val="0"/>
          <w:marTop w:val="0"/>
          <w:marBottom w:val="0"/>
          <w:divBdr>
            <w:top w:val="none" w:sz="0" w:space="0" w:color="auto"/>
            <w:left w:val="none" w:sz="0" w:space="0" w:color="auto"/>
            <w:bottom w:val="none" w:sz="0" w:space="0" w:color="auto"/>
            <w:right w:val="none" w:sz="0" w:space="0" w:color="auto"/>
          </w:divBdr>
        </w:div>
        <w:div w:id="2113822233">
          <w:marLeft w:val="0"/>
          <w:marRight w:val="0"/>
          <w:marTop w:val="0"/>
          <w:marBottom w:val="0"/>
          <w:divBdr>
            <w:top w:val="none" w:sz="0" w:space="0" w:color="auto"/>
            <w:left w:val="none" w:sz="0" w:space="0" w:color="auto"/>
            <w:bottom w:val="none" w:sz="0" w:space="0" w:color="auto"/>
            <w:right w:val="none" w:sz="0" w:space="0" w:color="auto"/>
          </w:divBdr>
        </w:div>
      </w:divsChild>
    </w:div>
    <w:div w:id="392657694">
      <w:bodyDiv w:val="1"/>
      <w:marLeft w:val="0"/>
      <w:marRight w:val="0"/>
      <w:marTop w:val="0"/>
      <w:marBottom w:val="0"/>
      <w:divBdr>
        <w:top w:val="none" w:sz="0" w:space="0" w:color="auto"/>
        <w:left w:val="none" w:sz="0" w:space="0" w:color="auto"/>
        <w:bottom w:val="none" w:sz="0" w:space="0" w:color="auto"/>
        <w:right w:val="none" w:sz="0" w:space="0" w:color="auto"/>
      </w:divBdr>
    </w:div>
    <w:div w:id="393623667">
      <w:bodyDiv w:val="1"/>
      <w:marLeft w:val="0"/>
      <w:marRight w:val="0"/>
      <w:marTop w:val="0"/>
      <w:marBottom w:val="0"/>
      <w:divBdr>
        <w:top w:val="none" w:sz="0" w:space="0" w:color="auto"/>
        <w:left w:val="none" w:sz="0" w:space="0" w:color="auto"/>
        <w:bottom w:val="none" w:sz="0" w:space="0" w:color="auto"/>
        <w:right w:val="none" w:sz="0" w:space="0" w:color="auto"/>
      </w:divBdr>
      <w:divsChild>
        <w:div w:id="87968874">
          <w:marLeft w:val="0"/>
          <w:marRight w:val="0"/>
          <w:marTop w:val="0"/>
          <w:marBottom w:val="0"/>
          <w:divBdr>
            <w:top w:val="none" w:sz="0" w:space="0" w:color="auto"/>
            <w:left w:val="none" w:sz="0" w:space="0" w:color="auto"/>
            <w:bottom w:val="none" w:sz="0" w:space="0" w:color="auto"/>
            <w:right w:val="none" w:sz="0" w:space="0" w:color="auto"/>
          </w:divBdr>
          <w:divsChild>
            <w:div w:id="133573435">
              <w:marLeft w:val="0"/>
              <w:marRight w:val="0"/>
              <w:marTop w:val="0"/>
              <w:marBottom w:val="0"/>
              <w:divBdr>
                <w:top w:val="none" w:sz="0" w:space="0" w:color="auto"/>
                <w:left w:val="none" w:sz="0" w:space="0" w:color="auto"/>
                <w:bottom w:val="none" w:sz="0" w:space="0" w:color="auto"/>
                <w:right w:val="none" w:sz="0" w:space="0" w:color="auto"/>
              </w:divBdr>
            </w:div>
          </w:divsChild>
        </w:div>
        <w:div w:id="350693179">
          <w:marLeft w:val="0"/>
          <w:marRight w:val="0"/>
          <w:marTop w:val="0"/>
          <w:marBottom w:val="0"/>
          <w:divBdr>
            <w:top w:val="none" w:sz="0" w:space="0" w:color="auto"/>
            <w:left w:val="none" w:sz="0" w:space="0" w:color="auto"/>
            <w:bottom w:val="none" w:sz="0" w:space="0" w:color="auto"/>
            <w:right w:val="none" w:sz="0" w:space="0" w:color="auto"/>
          </w:divBdr>
          <w:divsChild>
            <w:div w:id="1860923877">
              <w:marLeft w:val="0"/>
              <w:marRight w:val="0"/>
              <w:marTop w:val="0"/>
              <w:marBottom w:val="0"/>
              <w:divBdr>
                <w:top w:val="none" w:sz="0" w:space="0" w:color="auto"/>
                <w:left w:val="none" w:sz="0" w:space="0" w:color="auto"/>
                <w:bottom w:val="none" w:sz="0" w:space="0" w:color="auto"/>
                <w:right w:val="none" w:sz="0" w:space="0" w:color="auto"/>
              </w:divBdr>
            </w:div>
          </w:divsChild>
        </w:div>
        <w:div w:id="366880114">
          <w:marLeft w:val="0"/>
          <w:marRight w:val="0"/>
          <w:marTop w:val="0"/>
          <w:marBottom w:val="0"/>
          <w:divBdr>
            <w:top w:val="none" w:sz="0" w:space="0" w:color="auto"/>
            <w:left w:val="none" w:sz="0" w:space="0" w:color="auto"/>
            <w:bottom w:val="none" w:sz="0" w:space="0" w:color="auto"/>
            <w:right w:val="none" w:sz="0" w:space="0" w:color="auto"/>
          </w:divBdr>
          <w:divsChild>
            <w:div w:id="1122265626">
              <w:marLeft w:val="0"/>
              <w:marRight w:val="0"/>
              <w:marTop w:val="0"/>
              <w:marBottom w:val="0"/>
              <w:divBdr>
                <w:top w:val="none" w:sz="0" w:space="0" w:color="auto"/>
                <w:left w:val="none" w:sz="0" w:space="0" w:color="auto"/>
                <w:bottom w:val="none" w:sz="0" w:space="0" w:color="auto"/>
                <w:right w:val="none" w:sz="0" w:space="0" w:color="auto"/>
              </w:divBdr>
            </w:div>
          </w:divsChild>
        </w:div>
        <w:div w:id="402409450">
          <w:marLeft w:val="0"/>
          <w:marRight w:val="0"/>
          <w:marTop w:val="0"/>
          <w:marBottom w:val="0"/>
          <w:divBdr>
            <w:top w:val="none" w:sz="0" w:space="0" w:color="auto"/>
            <w:left w:val="none" w:sz="0" w:space="0" w:color="auto"/>
            <w:bottom w:val="none" w:sz="0" w:space="0" w:color="auto"/>
            <w:right w:val="none" w:sz="0" w:space="0" w:color="auto"/>
          </w:divBdr>
          <w:divsChild>
            <w:div w:id="1339766818">
              <w:marLeft w:val="0"/>
              <w:marRight w:val="0"/>
              <w:marTop w:val="0"/>
              <w:marBottom w:val="0"/>
              <w:divBdr>
                <w:top w:val="none" w:sz="0" w:space="0" w:color="auto"/>
                <w:left w:val="none" w:sz="0" w:space="0" w:color="auto"/>
                <w:bottom w:val="none" w:sz="0" w:space="0" w:color="auto"/>
                <w:right w:val="none" w:sz="0" w:space="0" w:color="auto"/>
              </w:divBdr>
            </w:div>
          </w:divsChild>
        </w:div>
        <w:div w:id="701511946">
          <w:marLeft w:val="0"/>
          <w:marRight w:val="0"/>
          <w:marTop w:val="0"/>
          <w:marBottom w:val="0"/>
          <w:divBdr>
            <w:top w:val="none" w:sz="0" w:space="0" w:color="auto"/>
            <w:left w:val="none" w:sz="0" w:space="0" w:color="auto"/>
            <w:bottom w:val="none" w:sz="0" w:space="0" w:color="auto"/>
            <w:right w:val="none" w:sz="0" w:space="0" w:color="auto"/>
          </w:divBdr>
          <w:divsChild>
            <w:div w:id="310869465">
              <w:marLeft w:val="0"/>
              <w:marRight w:val="0"/>
              <w:marTop w:val="0"/>
              <w:marBottom w:val="0"/>
              <w:divBdr>
                <w:top w:val="none" w:sz="0" w:space="0" w:color="auto"/>
                <w:left w:val="none" w:sz="0" w:space="0" w:color="auto"/>
                <w:bottom w:val="none" w:sz="0" w:space="0" w:color="auto"/>
                <w:right w:val="none" w:sz="0" w:space="0" w:color="auto"/>
              </w:divBdr>
            </w:div>
          </w:divsChild>
        </w:div>
        <w:div w:id="743920347">
          <w:marLeft w:val="0"/>
          <w:marRight w:val="0"/>
          <w:marTop w:val="0"/>
          <w:marBottom w:val="0"/>
          <w:divBdr>
            <w:top w:val="none" w:sz="0" w:space="0" w:color="auto"/>
            <w:left w:val="none" w:sz="0" w:space="0" w:color="auto"/>
            <w:bottom w:val="none" w:sz="0" w:space="0" w:color="auto"/>
            <w:right w:val="none" w:sz="0" w:space="0" w:color="auto"/>
          </w:divBdr>
          <w:divsChild>
            <w:div w:id="1413159292">
              <w:marLeft w:val="0"/>
              <w:marRight w:val="0"/>
              <w:marTop w:val="0"/>
              <w:marBottom w:val="0"/>
              <w:divBdr>
                <w:top w:val="none" w:sz="0" w:space="0" w:color="auto"/>
                <w:left w:val="none" w:sz="0" w:space="0" w:color="auto"/>
                <w:bottom w:val="none" w:sz="0" w:space="0" w:color="auto"/>
                <w:right w:val="none" w:sz="0" w:space="0" w:color="auto"/>
              </w:divBdr>
            </w:div>
          </w:divsChild>
        </w:div>
        <w:div w:id="799423935">
          <w:marLeft w:val="0"/>
          <w:marRight w:val="0"/>
          <w:marTop w:val="0"/>
          <w:marBottom w:val="0"/>
          <w:divBdr>
            <w:top w:val="none" w:sz="0" w:space="0" w:color="auto"/>
            <w:left w:val="none" w:sz="0" w:space="0" w:color="auto"/>
            <w:bottom w:val="none" w:sz="0" w:space="0" w:color="auto"/>
            <w:right w:val="none" w:sz="0" w:space="0" w:color="auto"/>
          </w:divBdr>
          <w:divsChild>
            <w:div w:id="629476047">
              <w:marLeft w:val="0"/>
              <w:marRight w:val="0"/>
              <w:marTop w:val="0"/>
              <w:marBottom w:val="0"/>
              <w:divBdr>
                <w:top w:val="none" w:sz="0" w:space="0" w:color="auto"/>
                <w:left w:val="none" w:sz="0" w:space="0" w:color="auto"/>
                <w:bottom w:val="none" w:sz="0" w:space="0" w:color="auto"/>
                <w:right w:val="none" w:sz="0" w:space="0" w:color="auto"/>
              </w:divBdr>
            </w:div>
          </w:divsChild>
        </w:div>
        <w:div w:id="817500918">
          <w:marLeft w:val="0"/>
          <w:marRight w:val="0"/>
          <w:marTop w:val="0"/>
          <w:marBottom w:val="0"/>
          <w:divBdr>
            <w:top w:val="none" w:sz="0" w:space="0" w:color="auto"/>
            <w:left w:val="none" w:sz="0" w:space="0" w:color="auto"/>
            <w:bottom w:val="none" w:sz="0" w:space="0" w:color="auto"/>
            <w:right w:val="none" w:sz="0" w:space="0" w:color="auto"/>
          </w:divBdr>
          <w:divsChild>
            <w:div w:id="480270804">
              <w:marLeft w:val="0"/>
              <w:marRight w:val="0"/>
              <w:marTop w:val="0"/>
              <w:marBottom w:val="0"/>
              <w:divBdr>
                <w:top w:val="none" w:sz="0" w:space="0" w:color="auto"/>
                <w:left w:val="none" w:sz="0" w:space="0" w:color="auto"/>
                <w:bottom w:val="none" w:sz="0" w:space="0" w:color="auto"/>
                <w:right w:val="none" w:sz="0" w:space="0" w:color="auto"/>
              </w:divBdr>
            </w:div>
          </w:divsChild>
        </w:div>
        <w:div w:id="871111637">
          <w:marLeft w:val="0"/>
          <w:marRight w:val="0"/>
          <w:marTop w:val="0"/>
          <w:marBottom w:val="0"/>
          <w:divBdr>
            <w:top w:val="none" w:sz="0" w:space="0" w:color="auto"/>
            <w:left w:val="none" w:sz="0" w:space="0" w:color="auto"/>
            <w:bottom w:val="none" w:sz="0" w:space="0" w:color="auto"/>
            <w:right w:val="none" w:sz="0" w:space="0" w:color="auto"/>
          </w:divBdr>
          <w:divsChild>
            <w:div w:id="1343699990">
              <w:marLeft w:val="0"/>
              <w:marRight w:val="0"/>
              <w:marTop w:val="0"/>
              <w:marBottom w:val="0"/>
              <w:divBdr>
                <w:top w:val="none" w:sz="0" w:space="0" w:color="auto"/>
                <w:left w:val="none" w:sz="0" w:space="0" w:color="auto"/>
                <w:bottom w:val="none" w:sz="0" w:space="0" w:color="auto"/>
                <w:right w:val="none" w:sz="0" w:space="0" w:color="auto"/>
              </w:divBdr>
            </w:div>
          </w:divsChild>
        </w:div>
        <w:div w:id="910694078">
          <w:marLeft w:val="0"/>
          <w:marRight w:val="0"/>
          <w:marTop w:val="0"/>
          <w:marBottom w:val="0"/>
          <w:divBdr>
            <w:top w:val="none" w:sz="0" w:space="0" w:color="auto"/>
            <w:left w:val="none" w:sz="0" w:space="0" w:color="auto"/>
            <w:bottom w:val="none" w:sz="0" w:space="0" w:color="auto"/>
            <w:right w:val="none" w:sz="0" w:space="0" w:color="auto"/>
          </w:divBdr>
          <w:divsChild>
            <w:div w:id="1833594952">
              <w:marLeft w:val="0"/>
              <w:marRight w:val="0"/>
              <w:marTop w:val="0"/>
              <w:marBottom w:val="0"/>
              <w:divBdr>
                <w:top w:val="none" w:sz="0" w:space="0" w:color="auto"/>
                <w:left w:val="none" w:sz="0" w:space="0" w:color="auto"/>
                <w:bottom w:val="none" w:sz="0" w:space="0" w:color="auto"/>
                <w:right w:val="none" w:sz="0" w:space="0" w:color="auto"/>
              </w:divBdr>
            </w:div>
          </w:divsChild>
        </w:div>
        <w:div w:id="924607577">
          <w:marLeft w:val="0"/>
          <w:marRight w:val="0"/>
          <w:marTop w:val="0"/>
          <w:marBottom w:val="0"/>
          <w:divBdr>
            <w:top w:val="none" w:sz="0" w:space="0" w:color="auto"/>
            <w:left w:val="none" w:sz="0" w:space="0" w:color="auto"/>
            <w:bottom w:val="none" w:sz="0" w:space="0" w:color="auto"/>
            <w:right w:val="none" w:sz="0" w:space="0" w:color="auto"/>
          </w:divBdr>
          <w:divsChild>
            <w:div w:id="951939365">
              <w:marLeft w:val="0"/>
              <w:marRight w:val="0"/>
              <w:marTop w:val="0"/>
              <w:marBottom w:val="0"/>
              <w:divBdr>
                <w:top w:val="none" w:sz="0" w:space="0" w:color="auto"/>
                <w:left w:val="none" w:sz="0" w:space="0" w:color="auto"/>
                <w:bottom w:val="none" w:sz="0" w:space="0" w:color="auto"/>
                <w:right w:val="none" w:sz="0" w:space="0" w:color="auto"/>
              </w:divBdr>
            </w:div>
          </w:divsChild>
        </w:div>
        <w:div w:id="982391274">
          <w:marLeft w:val="0"/>
          <w:marRight w:val="0"/>
          <w:marTop w:val="0"/>
          <w:marBottom w:val="0"/>
          <w:divBdr>
            <w:top w:val="none" w:sz="0" w:space="0" w:color="auto"/>
            <w:left w:val="none" w:sz="0" w:space="0" w:color="auto"/>
            <w:bottom w:val="none" w:sz="0" w:space="0" w:color="auto"/>
            <w:right w:val="none" w:sz="0" w:space="0" w:color="auto"/>
          </w:divBdr>
          <w:divsChild>
            <w:div w:id="1052118375">
              <w:marLeft w:val="0"/>
              <w:marRight w:val="0"/>
              <w:marTop w:val="0"/>
              <w:marBottom w:val="0"/>
              <w:divBdr>
                <w:top w:val="none" w:sz="0" w:space="0" w:color="auto"/>
                <w:left w:val="none" w:sz="0" w:space="0" w:color="auto"/>
                <w:bottom w:val="none" w:sz="0" w:space="0" w:color="auto"/>
                <w:right w:val="none" w:sz="0" w:space="0" w:color="auto"/>
              </w:divBdr>
            </w:div>
          </w:divsChild>
        </w:div>
        <w:div w:id="1078676028">
          <w:marLeft w:val="0"/>
          <w:marRight w:val="0"/>
          <w:marTop w:val="0"/>
          <w:marBottom w:val="0"/>
          <w:divBdr>
            <w:top w:val="none" w:sz="0" w:space="0" w:color="auto"/>
            <w:left w:val="none" w:sz="0" w:space="0" w:color="auto"/>
            <w:bottom w:val="none" w:sz="0" w:space="0" w:color="auto"/>
            <w:right w:val="none" w:sz="0" w:space="0" w:color="auto"/>
          </w:divBdr>
          <w:divsChild>
            <w:div w:id="42953080">
              <w:marLeft w:val="0"/>
              <w:marRight w:val="0"/>
              <w:marTop w:val="0"/>
              <w:marBottom w:val="0"/>
              <w:divBdr>
                <w:top w:val="none" w:sz="0" w:space="0" w:color="auto"/>
                <w:left w:val="none" w:sz="0" w:space="0" w:color="auto"/>
                <w:bottom w:val="none" w:sz="0" w:space="0" w:color="auto"/>
                <w:right w:val="none" w:sz="0" w:space="0" w:color="auto"/>
              </w:divBdr>
            </w:div>
          </w:divsChild>
        </w:div>
        <w:div w:id="1210074205">
          <w:marLeft w:val="0"/>
          <w:marRight w:val="0"/>
          <w:marTop w:val="0"/>
          <w:marBottom w:val="0"/>
          <w:divBdr>
            <w:top w:val="none" w:sz="0" w:space="0" w:color="auto"/>
            <w:left w:val="none" w:sz="0" w:space="0" w:color="auto"/>
            <w:bottom w:val="none" w:sz="0" w:space="0" w:color="auto"/>
            <w:right w:val="none" w:sz="0" w:space="0" w:color="auto"/>
          </w:divBdr>
          <w:divsChild>
            <w:div w:id="811682079">
              <w:marLeft w:val="0"/>
              <w:marRight w:val="0"/>
              <w:marTop w:val="0"/>
              <w:marBottom w:val="0"/>
              <w:divBdr>
                <w:top w:val="none" w:sz="0" w:space="0" w:color="auto"/>
                <w:left w:val="none" w:sz="0" w:space="0" w:color="auto"/>
                <w:bottom w:val="none" w:sz="0" w:space="0" w:color="auto"/>
                <w:right w:val="none" w:sz="0" w:space="0" w:color="auto"/>
              </w:divBdr>
            </w:div>
          </w:divsChild>
        </w:div>
        <w:div w:id="1259485734">
          <w:marLeft w:val="0"/>
          <w:marRight w:val="0"/>
          <w:marTop w:val="0"/>
          <w:marBottom w:val="0"/>
          <w:divBdr>
            <w:top w:val="none" w:sz="0" w:space="0" w:color="auto"/>
            <w:left w:val="none" w:sz="0" w:space="0" w:color="auto"/>
            <w:bottom w:val="none" w:sz="0" w:space="0" w:color="auto"/>
            <w:right w:val="none" w:sz="0" w:space="0" w:color="auto"/>
          </w:divBdr>
          <w:divsChild>
            <w:div w:id="1956400929">
              <w:marLeft w:val="0"/>
              <w:marRight w:val="0"/>
              <w:marTop w:val="0"/>
              <w:marBottom w:val="0"/>
              <w:divBdr>
                <w:top w:val="none" w:sz="0" w:space="0" w:color="auto"/>
                <w:left w:val="none" w:sz="0" w:space="0" w:color="auto"/>
                <w:bottom w:val="none" w:sz="0" w:space="0" w:color="auto"/>
                <w:right w:val="none" w:sz="0" w:space="0" w:color="auto"/>
              </w:divBdr>
            </w:div>
          </w:divsChild>
        </w:div>
        <w:div w:id="1571303426">
          <w:marLeft w:val="0"/>
          <w:marRight w:val="0"/>
          <w:marTop w:val="0"/>
          <w:marBottom w:val="0"/>
          <w:divBdr>
            <w:top w:val="none" w:sz="0" w:space="0" w:color="auto"/>
            <w:left w:val="none" w:sz="0" w:space="0" w:color="auto"/>
            <w:bottom w:val="none" w:sz="0" w:space="0" w:color="auto"/>
            <w:right w:val="none" w:sz="0" w:space="0" w:color="auto"/>
          </w:divBdr>
          <w:divsChild>
            <w:div w:id="1335493675">
              <w:marLeft w:val="0"/>
              <w:marRight w:val="0"/>
              <w:marTop w:val="0"/>
              <w:marBottom w:val="0"/>
              <w:divBdr>
                <w:top w:val="none" w:sz="0" w:space="0" w:color="auto"/>
                <w:left w:val="none" w:sz="0" w:space="0" w:color="auto"/>
                <w:bottom w:val="none" w:sz="0" w:space="0" w:color="auto"/>
                <w:right w:val="none" w:sz="0" w:space="0" w:color="auto"/>
              </w:divBdr>
            </w:div>
          </w:divsChild>
        </w:div>
        <w:div w:id="1598365232">
          <w:marLeft w:val="0"/>
          <w:marRight w:val="0"/>
          <w:marTop w:val="0"/>
          <w:marBottom w:val="0"/>
          <w:divBdr>
            <w:top w:val="none" w:sz="0" w:space="0" w:color="auto"/>
            <w:left w:val="none" w:sz="0" w:space="0" w:color="auto"/>
            <w:bottom w:val="none" w:sz="0" w:space="0" w:color="auto"/>
            <w:right w:val="none" w:sz="0" w:space="0" w:color="auto"/>
          </w:divBdr>
          <w:divsChild>
            <w:div w:id="1536580560">
              <w:marLeft w:val="0"/>
              <w:marRight w:val="0"/>
              <w:marTop w:val="0"/>
              <w:marBottom w:val="0"/>
              <w:divBdr>
                <w:top w:val="none" w:sz="0" w:space="0" w:color="auto"/>
                <w:left w:val="none" w:sz="0" w:space="0" w:color="auto"/>
                <w:bottom w:val="none" w:sz="0" w:space="0" w:color="auto"/>
                <w:right w:val="none" w:sz="0" w:space="0" w:color="auto"/>
              </w:divBdr>
            </w:div>
          </w:divsChild>
        </w:div>
        <w:div w:id="1965188470">
          <w:marLeft w:val="0"/>
          <w:marRight w:val="0"/>
          <w:marTop w:val="0"/>
          <w:marBottom w:val="0"/>
          <w:divBdr>
            <w:top w:val="none" w:sz="0" w:space="0" w:color="auto"/>
            <w:left w:val="none" w:sz="0" w:space="0" w:color="auto"/>
            <w:bottom w:val="none" w:sz="0" w:space="0" w:color="auto"/>
            <w:right w:val="none" w:sz="0" w:space="0" w:color="auto"/>
          </w:divBdr>
          <w:divsChild>
            <w:div w:id="522941685">
              <w:marLeft w:val="0"/>
              <w:marRight w:val="0"/>
              <w:marTop w:val="0"/>
              <w:marBottom w:val="0"/>
              <w:divBdr>
                <w:top w:val="none" w:sz="0" w:space="0" w:color="auto"/>
                <w:left w:val="none" w:sz="0" w:space="0" w:color="auto"/>
                <w:bottom w:val="none" w:sz="0" w:space="0" w:color="auto"/>
                <w:right w:val="none" w:sz="0" w:space="0" w:color="auto"/>
              </w:divBdr>
            </w:div>
          </w:divsChild>
        </w:div>
        <w:div w:id="2139103623">
          <w:marLeft w:val="0"/>
          <w:marRight w:val="0"/>
          <w:marTop w:val="0"/>
          <w:marBottom w:val="0"/>
          <w:divBdr>
            <w:top w:val="none" w:sz="0" w:space="0" w:color="auto"/>
            <w:left w:val="none" w:sz="0" w:space="0" w:color="auto"/>
            <w:bottom w:val="none" w:sz="0" w:space="0" w:color="auto"/>
            <w:right w:val="none" w:sz="0" w:space="0" w:color="auto"/>
          </w:divBdr>
          <w:divsChild>
            <w:div w:id="60550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279931">
      <w:bodyDiv w:val="1"/>
      <w:marLeft w:val="0"/>
      <w:marRight w:val="0"/>
      <w:marTop w:val="0"/>
      <w:marBottom w:val="0"/>
      <w:divBdr>
        <w:top w:val="none" w:sz="0" w:space="0" w:color="auto"/>
        <w:left w:val="none" w:sz="0" w:space="0" w:color="auto"/>
        <w:bottom w:val="none" w:sz="0" w:space="0" w:color="auto"/>
        <w:right w:val="none" w:sz="0" w:space="0" w:color="auto"/>
      </w:divBdr>
      <w:divsChild>
        <w:div w:id="155146455">
          <w:marLeft w:val="0"/>
          <w:marRight w:val="0"/>
          <w:marTop w:val="0"/>
          <w:marBottom w:val="0"/>
          <w:divBdr>
            <w:top w:val="none" w:sz="0" w:space="0" w:color="auto"/>
            <w:left w:val="none" w:sz="0" w:space="0" w:color="auto"/>
            <w:bottom w:val="none" w:sz="0" w:space="0" w:color="auto"/>
            <w:right w:val="none" w:sz="0" w:space="0" w:color="auto"/>
          </w:divBdr>
          <w:divsChild>
            <w:div w:id="1317762440">
              <w:marLeft w:val="0"/>
              <w:marRight w:val="0"/>
              <w:marTop w:val="0"/>
              <w:marBottom w:val="0"/>
              <w:divBdr>
                <w:top w:val="none" w:sz="0" w:space="0" w:color="auto"/>
                <w:left w:val="none" w:sz="0" w:space="0" w:color="auto"/>
                <w:bottom w:val="none" w:sz="0" w:space="0" w:color="auto"/>
                <w:right w:val="none" w:sz="0" w:space="0" w:color="auto"/>
              </w:divBdr>
            </w:div>
          </w:divsChild>
        </w:div>
        <w:div w:id="213854408">
          <w:marLeft w:val="0"/>
          <w:marRight w:val="0"/>
          <w:marTop w:val="0"/>
          <w:marBottom w:val="0"/>
          <w:divBdr>
            <w:top w:val="none" w:sz="0" w:space="0" w:color="auto"/>
            <w:left w:val="none" w:sz="0" w:space="0" w:color="auto"/>
            <w:bottom w:val="none" w:sz="0" w:space="0" w:color="auto"/>
            <w:right w:val="none" w:sz="0" w:space="0" w:color="auto"/>
          </w:divBdr>
          <w:divsChild>
            <w:div w:id="1192914285">
              <w:marLeft w:val="0"/>
              <w:marRight w:val="0"/>
              <w:marTop w:val="0"/>
              <w:marBottom w:val="0"/>
              <w:divBdr>
                <w:top w:val="none" w:sz="0" w:space="0" w:color="auto"/>
                <w:left w:val="none" w:sz="0" w:space="0" w:color="auto"/>
                <w:bottom w:val="none" w:sz="0" w:space="0" w:color="auto"/>
                <w:right w:val="none" w:sz="0" w:space="0" w:color="auto"/>
              </w:divBdr>
            </w:div>
          </w:divsChild>
        </w:div>
        <w:div w:id="297343983">
          <w:marLeft w:val="0"/>
          <w:marRight w:val="0"/>
          <w:marTop w:val="0"/>
          <w:marBottom w:val="0"/>
          <w:divBdr>
            <w:top w:val="none" w:sz="0" w:space="0" w:color="auto"/>
            <w:left w:val="none" w:sz="0" w:space="0" w:color="auto"/>
            <w:bottom w:val="none" w:sz="0" w:space="0" w:color="auto"/>
            <w:right w:val="none" w:sz="0" w:space="0" w:color="auto"/>
          </w:divBdr>
          <w:divsChild>
            <w:div w:id="968125875">
              <w:marLeft w:val="0"/>
              <w:marRight w:val="0"/>
              <w:marTop w:val="0"/>
              <w:marBottom w:val="0"/>
              <w:divBdr>
                <w:top w:val="none" w:sz="0" w:space="0" w:color="auto"/>
                <w:left w:val="none" w:sz="0" w:space="0" w:color="auto"/>
                <w:bottom w:val="none" w:sz="0" w:space="0" w:color="auto"/>
                <w:right w:val="none" w:sz="0" w:space="0" w:color="auto"/>
              </w:divBdr>
            </w:div>
          </w:divsChild>
        </w:div>
        <w:div w:id="478764730">
          <w:marLeft w:val="0"/>
          <w:marRight w:val="0"/>
          <w:marTop w:val="0"/>
          <w:marBottom w:val="0"/>
          <w:divBdr>
            <w:top w:val="none" w:sz="0" w:space="0" w:color="auto"/>
            <w:left w:val="none" w:sz="0" w:space="0" w:color="auto"/>
            <w:bottom w:val="none" w:sz="0" w:space="0" w:color="auto"/>
            <w:right w:val="none" w:sz="0" w:space="0" w:color="auto"/>
          </w:divBdr>
          <w:divsChild>
            <w:div w:id="778719091">
              <w:marLeft w:val="0"/>
              <w:marRight w:val="0"/>
              <w:marTop w:val="0"/>
              <w:marBottom w:val="0"/>
              <w:divBdr>
                <w:top w:val="none" w:sz="0" w:space="0" w:color="auto"/>
                <w:left w:val="none" w:sz="0" w:space="0" w:color="auto"/>
                <w:bottom w:val="none" w:sz="0" w:space="0" w:color="auto"/>
                <w:right w:val="none" w:sz="0" w:space="0" w:color="auto"/>
              </w:divBdr>
            </w:div>
          </w:divsChild>
        </w:div>
        <w:div w:id="580680285">
          <w:marLeft w:val="0"/>
          <w:marRight w:val="0"/>
          <w:marTop w:val="0"/>
          <w:marBottom w:val="0"/>
          <w:divBdr>
            <w:top w:val="none" w:sz="0" w:space="0" w:color="auto"/>
            <w:left w:val="none" w:sz="0" w:space="0" w:color="auto"/>
            <w:bottom w:val="none" w:sz="0" w:space="0" w:color="auto"/>
            <w:right w:val="none" w:sz="0" w:space="0" w:color="auto"/>
          </w:divBdr>
          <w:divsChild>
            <w:div w:id="955868448">
              <w:marLeft w:val="0"/>
              <w:marRight w:val="0"/>
              <w:marTop w:val="0"/>
              <w:marBottom w:val="0"/>
              <w:divBdr>
                <w:top w:val="none" w:sz="0" w:space="0" w:color="auto"/>
                <w:left w:val="none" w:sz="0" w:space="0" w:color="auto"/>
                <w:bottom w:val="none" w:sz="0" w:space="0" w:color="auto"/>
                <w:right w:val="none" w:sz="0" w:space="0" w:color="auto"/>
              </w:divBdr>
            </w:div>
          </w:divsChild>
        </w:div>
        <w:div w:id="630327601">
          <w:marLeft w:val="0"/>
          <w:marRight w:val="0"/>
          <w:marTop w:val="0"/>
          <w:marBottom w:val="0"/>
          <w:divBdr>
            <w:top w:val="none" w:sz="0" w:space="0" w:color="auto"/>
            <w:left w:val="none" w:sz="0" w:space="0" w:color="auto"/>
            <w:bottom w:val="none" w:sz="0" w:space="0" w:color="auto"/>
            <w:right w:val="none" w:sz="0" w:space="0" w:color="auto"/>
          </w:divBdr>
          <w:divsChild>
            <w:div w:id="1530987614">
              <w:marLeft w:val="0"/>
              <w:marRight w:val="0"/>
              <w:marTop w:val="0"/>
              <w:marBottom w:val="0"/>
              <w:divBdr>
                <w:top w:val="none" w:sz="0" w:space="0" w:color="auto"/>
                <w:left w:val="none" w:sz="0" w:space="0" w:color="auto"/>
                <w:bottom w:val="none" w:sz="0" w:space="0" w:color="auto"/>
                <w:right w:val="none" w:sz="0" w:space="0" w:color="auto"/>
              </w:divBdr>
            </w:div>
          </w:divsChild>
        </w:div>
        <w:div w:id="888611468">
          <w:marLeft w:val="0"/>
          <w:marRight w:val="0"/>
          <w:marTop w:val="0"/>
          <w:marBottom w:val="0"/>
          <w:divBdr>
            <w:top w:val="none" w:sz="0" w:space="0" w:color="auto"/>
            <w:left w:val="none" w:sz="0" w:space="0" w:color="auto"/>
            <w:bottom w:val="none" w:sz="0" w:space="0" w:color="auto"/>
            <w:right w:val="none" w:sz="0" w:space="0" w:color="auto"/>
          </w:divBdr>
          <w:divsChild>
            <w:div w:id="271087445">
              <w:marLeft w:val="0"/>
              <w:marRight w:val="0"/>
              <w:marTop w:val="0"/>
              <w:marBottom w:val="0"/>
              <w:divBdr>
                <w:top w:val="none" w:sz="0" w:space="0" w:color="auto"/>
                <w:left w:val="none" w:sz="0" w:space="0" w:color="auto"/>
                <w:bottom w:val="none" w:sz="0" w:space="0" w:color="auto"/>
                <w:right w:val="none" w:sz="0" w:space="0" w:color="auto"/>
              </w:divBdr>
            </w:div>
          </w:divsChild>
        </w:div>
        <w:div w:id="1045178723">
          <w:marLeft w:val="0"/>
          <w:marRight w:val="0"/>
          <w:marTop w:val="0"/>
          <w:marBottom w:val="0"/>
          <w:divBdr>
            <w:top w:val="none" w:sz="0" w:space="0" w:color="auto"/>
            <w:left w:val="none" w:sz="0" w:space="0" w:color="auto"/>
            <w:bottom w:val="none" w:sz="0" w:space="0" w:color="auto"/>
            <w:right w:val="none" w:sz="0" w:space="0" w:color="auto"/>
          </w:divBdr>
          <w:divsChild>
            <w:div w:id="262346532">
              <w:marLeft w:val="0"/>
              <w:marRight w:val="0"/>
              <w:marTop w:val="0"/>
              <w:marBottom w:val="0"/>
              <w:divBdr>
                <w:top w:val="none" w:sz="0" w:space="0" w:color="auto"/>
                <w:left w:val="none" w:sz="0" w:space="0" w:color="auto"/>
                <w:bottom w:val="none" w:sz="0" w:space="0" w:color="auto"/>
                <w:right w:val="none" w:sz="0" w:space="0" w:color="auto"/>
              </w:divBdr>
            </w:div>
          </w:divsChild>
        </w:div>
        <w:div w:id="1079794136">
          <w:marLeft w:val="0"/>
          <w:marRight w:val="0"/>
          <w:marTop w:val="0"/>
          <w:marBottom w:val="0"/>
          <w:divBdr>
            <w:top w:val="none" w:sz="0" w:space="0" w:color="auto"/>
            <w:left w:val="none" w:sz="0" w:space="0" w:color="auto"/>
            <w:bottom w:val="none" w:sz="0" w:space="0" w:color="auto"/>
            <w:right w:val="none" w:sz="0" w:space="0" w:color="auto"/>
          </w:divBdr>
          <w:divsChild>
            <w:div w:id="176045812">
              <w:marLeft w:val="0"/>
              <w:marRight w:val="0"/>
              <w:marTop w:val="0"/>
              <w:marBottom w:val="0"/>
              <w:divBdr>
                <w:top w:val="none" w:sz="0" w:space="0" w:color="auto"/>
                <w:left w:val="none" w:sz="0" w:space="0" w:color="auto"/>
                <w:bottom w:val="none" w:sz="0" w:space="0" w:color="auto"/>
                <w:right w:val="none" w:sz="0" w:space="0" w:color="auto"/>
              </w:divBdr>
            </w:div>
          </w:divsChild>
        </w:div>
        <w:div w:id="1326595509">
          <w:marLeft w:val="0"/>
          <w:marRight w:val="0"/>
          <w:marTop w:val="0"/>
          <w:marBottom w:val="0"/>
          <w:divBdr>
            <w:top w:val="none" w:sz="0" w:space="0" w:color="auto"/>
            <w:left w:val="none" w:sz="0" w:space="0" w:color="auto"/>
            <w:bottom w:val="none" w:sz="0" w:space="0" w:color="auto"/>
            <w:right w:val="none" w:sz="0" w:space="0" w:color="auto"/>
          </w:divBdr>
          <w:divsChild>
            <w:div w:id="1311398547">
              <w:marLeft w:val="0"/>
              <w:marRight w:val="0"/>
              <w:marTop w:val="0"/>
              <w:marBottom w:val="0"/>
              <w:divBdr>
                <w:top w:val="none" w:sz="0" w:space="0" w:color="auto"/>
                <w:left w:val="none" w:sz="0" w:space="0" w:color="auto"/>
                <w:bottom w:val="none" w:sz="0" w:space="0" w:color="auto"/>
                <w:right w:val="none" w:sz="0" w:space="0" w:color="auto"/>
              </w:divBdr>
            </w:div>
          </w:divsChild>
        </w:div>
        <w:div w:id="1401513222">
          <w:marLeft w:val="0"/>
          <w:marRight w:val="0"/>
          <w:marTop w:val="0"/>
          <w:marBottom w:val="0"/>
          <w:divBdr>
            <w:top w:val="none" w:sz="0" w:space="0" w:color="auto"/>
            <w:left w:val="none" w:sz="0" w:space="0" w:color="auto"/>
            <w:bottom w:val="none" w:sz="0" w:space="0" w:color="auto"/>
            <w:right w:val="none" w:sz="0" w:space="0" w:color="auto"/>
          </w:divBdr>
          <w:divsChild>
            <w:div w:id="534848737">
              <w:marLeft w:val="0"/>
              <w:marRight w:val="0"/>
              <w:marTop w:val="0"/>
              <w:marBottom w:val="0"/>
              <w:divBdr>
                <w:top w:val="none" w:sz="0" w:space="0" w:color="auto"/>
                <w:left w:val="none" w:sz="0" w:space="0" w:color="auto"/>
                <w:bottom w:val="none" w:sz="0" w:space="0" w:color="auto"/>
                <w:right w:val="none" w:sz="0" w:space="0" w:color="auto"/>
              </w:divBdr>
            </w:div>
          </w:divsChild>
        </w:div>
        <w:div w:id="1405839047">
          <w:marLeft w:val="0"/>
          <w:marRight w:val="0"/>
          <w:marTop w:val="0"/>
          <w:marBottom w:val="0"/>
          <w:divBdr>
            <w:top w:val="none" w:sz="0" w:space="0" w:color="auto"/>
            <w:left w:val="none" w:sz="0" w:space="0" w:color="auto"/>
            <w:bottom w:val="none" w:sz="0" w:space="0" w:color="auto"/>
            <w:right w:val="none" w:sz="0" w:space="0" w:color="auto"/>
          </w:divBdr>
          <w:divsChild>
            <w:div w:id="1383140435">
              <w:marLeft w:val="0"/>
              <w:marRight w:val="0"/>
              <w:marTop w:val="0"/>
              <w:marBottom w:val="0"/>
              <w:divBdr>
                <w:top w:val="none" w:sz="0" w:space="0" w:color="auto"/>
                <w:left w:val="none" w:sz="0" w:space="0" w:color="auto"/>
                <w:bottom w:val="none" w:sz="0" w:space="0" w:color="auto"/>
                <w:right w:val="none" w:sz="0" w:space="0" w:color="auto"/>
              </w:divBdr>
            </w:div>
          </w:divsChild>
        </w:div>
        <w:div w:id="1419448612">
          <w:marLeft w:val="0"/>
          <w:marRight w:val="0"/>
          <w:marTop w:val="0"/>
          <w:marBottom w:val="0"/>
          <w:divBdr>
            <w:top w:val="none" w:sz="0" w:space="0" w:color="auto"/>
            <w:left w:val="none" w:sz="0" w:space="0" w:color="auto"/>
            <w:bottom w:val="none" w:sz="0" w:space="0" w:color="auto"/>
            <w:right w:val="none" w:sz="0" w:space="0" w:color="auto"/>
          </w:divBdr>
          <w:divsChild>
            <w:div w:id="1455439008">
              <w:marLeft w:val="0"/>
              <w:marRight w:val="0"/>
              <w:marTop w:val="0"/>
              <w:marBottom w:val="0"/>
              <w:divBdr>
                <w:top w:val="none" w:sz="0" w:space="0" w:color="auto"/>
                <w:left w:val="none" w:sz="0" w:space="0" w:color="auto"/>
                <w:bottom w:val="none" w:sz="0" w:space="0" w:color="auto"/>
                <w:right w:val="none" w:sz="0" w:space="0" w:color="auto"/>
              </w:divBdr>
            </w:div>
          </w:divsChild>
        </w:div>
        <w:div w:id="1691489677">
          <w:marLeft w:val="0"/>
          <w:marRight w:val="0"/>
          <w:marTop w:val="0"/>
          <w:marBottom w:val="0"/>
          <w:divBdr>
            <w:top w:val="none" w:sz="0" w:space="0" w:color="auto"/>
            <w:left w:val="none" w:sz="0" w:space="0" w:color="auto"/>
            <w:bottom w:val="none" w:sz="0" w:space="0" w:color="auto"/>
            <w:right w:val="none" w:sz="0" w:space="0" w:color="auto"/>
          </w:divBdr>
          <w:divsChild>
            <w:div w:id="173666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460077">
      <w:bodyDiv w:val="1"/>
      <w:marLeft w:val="0"/>
      <w:marRight w:val="0"/>
      <w:marTop w:val="0"/>
      <w:marBottom w:val="0"/>
      <w:divBdr>
        <w:top w:val="none" w:sz="0" w:space="0" w:color="auto"/>
        <w:left w:val="none" w:sz="0" w:space="0" w:color="auto"/>
        <w:bottom w:val="none" w:sz="0" w:space="0" w:color="auto"/>
        <w:right w:val="none" w:sz="0" w:space="0" w:color="auto"/>
      </w:divBdr>
    </w:div>
    <w:div w:id="418064081">
      <w:bodyDiv w:val="1"/>
      <w:marLeft w:val="0"/>
      <w:marRight w:val="0"/>
      <w:marTop w:val="0"/>
      <w:marBottom w:val="0"/>
      <w:divBdr>
        <w:top w:val="none" w:sz="0" w:space="0" w:color="auto"/>
        <w:left w:val="none" w:sz="0" w:space="0" w:color="auto"/>
        <w:bottom w:val="none" w:sz="0" w:space="0" w:color="auto"/>
        <w:right w:val="none" w:sz="0" w:space="0" w:color="auto"/>
      </w:divBdr>
      <w:divsChild>
        <w:div w:id="22757155">
          <w:marLeft w:val="0"/>
          <w:marRight w:val="0"/>
          <w:marTop w:val="0"/>
          <w:marBottom w:val="0"/>
          <w:divBdr>
            <w:top w:val="none" w:sz="0" w:space="0" w:color="auto"/>
            <w:left w:val="none" w:sz="0" w:space="0" w:color="auto"/>
            <w:bottom w:val="none" w:sz="0" w:space="0" w:color="auto"/>
            <w:right w:val="none" w:sz="0" w:space="0" w:color="auto"/>
          </w:divBdr>
          <w:divsChild>
            <w:div w:id="56825410">
              <w:marLeft w:val="0"/>
              <w:marRight w:val="0"/>
              <w:marTop w:val="0"/>
              <w:marBottom w:val="0"/>
              <w:divBdr>
                <w:top w:val="none" w:sz="0" w:space="0" w:color="auto"/>
                <w:left w:val="none" w:sz="0" w:space="0" w:color="auto"/>
                <w:bottom w:val="none" w:sz="0" w:space="0" w:color="auto"/>
                <w:right w:val="none" w:sz="0" w:space="0" w:color="auto"/>
              </w:divBdr>
            </w:div>
          </w:divsChild>
        </w:div>
        <w:div w:id="75640347">
          <w:marLeft w:val="0"/>
          <w:marRight w:val="0"/>
          <w:marTop w:val="0"/>
          <w:marBottom w:val="0"/>
          <w:divBdr>
            <w:top w:val="none" w:sz="0" w:space="0" w:color="auto"/>
            <w:left w:val="none" w:sz="0" w:space="0" w:color="auto"/>
            <w:bottom w:val="none" w:sz="0" w:space="0" w:color="auto"/>
            <w:right w:val="none" w:sz="0" w:space="0" w:color="auto"/>
          </w:divBdr>
          <w:divsChild>
            <w:div w:id="1266038254">
              <w:marLeft w:val="0"/>
              <w:marRight w:val="0"/>
              <w:marTop w:val="0"/>
              <w:marBottom w:val="0"/>
              <w:divBdr>
                <w:top w:val="none" w:sz="0" w:space="0" w:color="auto"/>
                <w:left w:val="none" w:sz="0" w:space="0" w:color="auto"/>
                <w:bottom w:val="none" w:sz="0" w:space="0" w:color="auto"/>
                <w:right w:val="none" w:sz="0" w:space="0" w:color="auto"/>
              </w:divBdr>
            </w:div>
          </w:divsChild>
        </w:div>
        <w:div w:id="180633834">
          <w:marLeft w:val="0"/>
          <w:marRight w:val="0"/>
          <w:marTop w:val="0"/>
          <w:marBottom w:val="0"/>
          <w:divBdr>
            <w:top w:val="none" w:sz="0" w:space="0" w:color="auto"/>
            <w:left w:val="none" w:sz="0" w:space="0" w:color="auto"/>
            <w:bottom w:val="none" w:sz="0" w:space="0" w:color="auto"/>
            <w:right w:val="none" w:sz="0" w:space="0" w:color="auto"/>
          </w:divBdr>
          <w:divsChild>
            <w:div w:id="661129540">
              <w:marLeft w:val="0"/>
              <w:marRight w:val="0"/>
              <w:marTop w:val="0"/>
              <w:marBottom w:val="0"/>
              <w:divBdr>
                <w:top w:val="none" w:sz="0" w:space="0" w:color="auto"/>
                <w:left w:val="none" w:sz="0" w:space="0" w:color="auto"/>
                <w:bottom w:val="none" w:sz="0" w:space="0" w:color="auto"/>
                <w:right w:val="none" w:sz="0" w:space="0" w:color="auto"/>
              </w:divBdr>
            </w:div>
          </w:divsChild>
        </w:div>
        <w:div w:id="202210212">
          <w:marLeft w:val="0"/>
          <w:marRight w:val="0"/>
          <w:marTop w:val="0"/>
          <w:marBottom w:val="0"/>
          <w:divBdr>
            <w:top w:val="none" w:sz="0" w:space="0" w:color="auto"/>
            <w:left w:val="none" w:sz="0" w:space="0" w:color="auto"/>
            <w:bottom w:val="none" w:sz="0" w:space="0" w:color="auto"/>
            <w:right w:val="none" w:sz="0" w:space="0" w:color="auto"/>
          </w:divBdr>
          <w:divsChild>
            <w:div w:id="1279798362">
              <w:marLeft w:val="0"/>
              <w:marRight w:val="0"/>
              <w:marTop w:val="0"/>
              <w:marBottom w:val="0"/>
              <w:divBdr>
                <w:top w:val="none" w:sz="0" w:space="0" w:color="auto"/>
                <w:left w:val="none" w:sz="0" w:space="0" w:color="auto"/>
                <w:bottom w:val="none" w:sz="0" w:space="0" w:color="auto"/>
                <w:right w:val="none" w:sz="0" w:space="0" w:color="auto"/>
              </w:divBdr>
            </w:div>
          </w:divsChild>
        </w:div>
        <w:div w:id="340132567">
          <w:marLeft w:val="0"/>
          <w:marRight w:val="0"/>
          <w:marTop w:val="0"/>
          <w:marBottom w:val="0"/>
          <w:divBdr>
            <w:top w:val="none" w:sz="0" w:space="0" w:color="auto"/>
            <w:left w:val="none" w:sz="0" w:space="0" w:color="auto"/>
            <w:bottom w:val="none" w:sz="0" w:space="0" w:color="auto"/>
            <w:right w:val="none" w:sz="0" w:space="0" w:color="auto"/>
          </w:divBdr>
          <w:divsChild>
            <w:div w:id="26834893">
              <w:marLeft w:val="0"/>
              <w:marRight w:val="0"/>
              <w:marTop w:val="0"/>
              <w:marBottom w:val="0"/>
              <w:divBdr>
                <w:top w:val="none" w:sz="0" w:space="0" w:color="auto"/>
                <w:left w:val="none" w:sz="0" w:space="0" w:color="auto"/>
                <w:bottom w:val="none" w:sz="0" w:space="0" w:color="auto"/>
                <w:right w:val="none" w:sz="0" w:space="0" w:color="auto"/>
              </w:divBdr>
            </w:div>
          </w:divsChild>
        </w:div>
        <w:div w:id="345979913">
          <w:marLeft w:val="0"/>
          <w:marRight w:val="0"/>
          <w:marTop w:val="0"/>
          <w:marBottom w:val="0"/>
          <w:divBdr>
            <w:top w:val="none" w:sz="0" w:space="0" w:color="auto"/>
            <w:left w:val="none" w:sz="0" w:space="0" w:color="auto"/>
            <w:bottom w:val="none" w:sz="0" w:space="0" w:color="auto"/>
            <w:right w:val="none" w:sz="0" w:space="0" w:color="auto"/>
          </w:divBdr>
          <w:divsChild>
            <w:div w:id="1918593739">
              <w:marLeft w:val="0"/>
              <w:marRight w:val="0"/>
              <w:marTop w:val="0"/>
              <w:marBottom w:val="0"/>
              <w:divBdr>
                <w:top w:val="none" w:sz="0" w:space="0" w:color="auto"/>
                <w:left w:val="none" w:sz="0" w:space="0" w:color="auto"/>
                <w:bottom w:val="none" w:sz="0" w:space="0" w:color="auto"/>
                <w:right w:val="none" w:sz="0" w:space="0" w:color="auto"/>
              </w:divBdr>
            </w:div>
          </w:divsChild>
        </w:div>
        <w:div w:id="434137833">
          <w:marLeft w:val="0"/>
          <w:marRight w:val="0"/>
          <w:marTop w:val="0"/>
          <w:marBottom w:val="0"/>
          <w:divBdr>
            <w:top w:val="none" w:sz="0" w:space="0" w:color="auto"/>
            <w:left w:val="none" w:sz="0" w:space="0" w:color="auto"/>
            <w:bottom w:val="none" w:sz="0" w:space="0" w:color="auto"/>
            <w:right w:val="none" w:sz="0" w:space="0" w:color="auto"/>
          </w:divBdr>
          <w:divsChild>
            <w:div w:id="534195914">
              <w:marLeft w:val="0"/>
              <w:marRight w:val="0"/>
              <w:marTop w:val="0"/>
              <w:marBottom w:val="0"/>
              <w:divBdr>
                <w:top w:val="none" w:sz="0" w:space="0" w:color="auto"/>
                <w:left w:val="none" w:sz="0" w:space="0" w:color="auto"/>
                <w:bottom w:val="none" w:sz="0" w:space="0" w:color="auto"/>
                <w:right w:val="none" w:sz="0" w:space="0" w:color="auto"/>
              </w:divBdr>
            </w:div>
          </w:divsChild>
        </w:div>
        <w:div w:id="451632579">
          <w:marLeft w:val="0"/>
          <w:marRight w:val="0"/>
          <w:marTop w:val="0"/>
          <w:marBottom w:val="0"/>
          <w:divBdr>
            <w:top w:val="none" w:sz="0" w:space="0" w:color="auto"/>
            <w:left w:val="none" w:sz="0" w:space="0" w:color="auto"/>
            <w:bottom w:val="none" w:sz="0" w:space="0" w:color="auto"/>
            <w:right w:val="none" w:sz="0" w:space="0" w:color="auto"/>
          </w:divBdr>
          <w:divsChild>
            <w:div w:id="1744374051">
              <w:marLeft w:val="0"/>
              <w:marRight w:val="0"/>
              <w:marTop w:val="0"/>
              <w:marBottom w:val="0"/>
              <w:divBdr>
                <w:top w:val="none" w:sz="0" w:space="0" w:color="auto"/>
                <w:left w:val="none" w:sz="0" w:space="0" w:color="auto"/>
                <w:bottom w:val="none" w:sz="0" w:space="0" w:color="auto"/>
                <w:right w:val="none" w:sz="0" w:space="0" w:color="auto"/>
              </w:divBdr>
            </w:div>
          </w:divsChild>
        </w:div>
        <w:div w:id="582759436">
          <w:marLeft w:val="0"/>
          <w:marRight w:val="0"/>
          <w:marTop w:val="0"/>
          <w:marBottom w:val="0"/>
          <w:divBdr>
            <w:top w:val="none" w:sz="0" w:space="0" w:color="auto"/>
            <w:left w:val="none" w:sz="0" w:space="0" w:color="auto"/>
            <w:bottom w:val="none" w:sz="0" w:space="0" w:color="auto"/>
            <w:right w:val="none" w:sz="0" w:space="0" w:color="auto"/>
          </w:divBdr>
          <w:divsChild>
            <w:div w:id="835531714">
              <w:marLeft w:val="0"/>
              <w:marRight w:val="0"/>
              <w:marTop w:val="0"/>
              <w:marBottom w:val="0"/>
              <w:divBdr>
                <w:top w:val="none" w:sz="0" w:space="0" w:color="auto"/>
                <w:left w:val="none" w:sz="0" w:space="0" w:color="auto"/>
                <w:bottom w:val="none" w:sz="0" w:space="0" w:color="auto"/>
                <w:right w:val="none" w:sz="0" w:space="0" w:color="auto"/>
              </w:divBdr>
            </w:div>
          </w:divsChild>
        </w:div>
        <w:div w:id="614605206">
          <w:marLeft w:val="0"/>
          <w:marRight w:val="0"/>
          <w:marTop w:val="0"/>
          <w:marBottom w:val="0"/>
          <w:divBdr>
            <w:top w:val="none" w:sz="0" w:space="0" w:color="auto"/>
            <w:left w:val="none" w:sz="0" w:space="0" w:color="auto"/>
            <w:bottom w:val="none" w:sz="0" w:space="0" w:color="auto"/>
            <w:right w:val="none" w:sz="0" w:space="0" w:color="auto"/>
          </w:divBdr>
          <w:divsChild>
            <w:div w:id="1703506863">
              <w:marLeft w:val="0"/>
              <w:marRight w:val="0"/>
              <w:marTop w:val="0"/>
              <w:marBottom w:val="0"/>
              <w:divBdr>
                <w:top w:val="none" w:sz="0" w:space="0" w:color="auto"/>
                <w:left w:val="none" w:sz="0" w:space="0" w:color="auto"/>
                <w:bottom w:val="none" w:sz="0" w:space="0" w:color="auto"/>
                <w:right w:val="none" w:sz="0" w:space="0" w:color="auto"/>
              </w:divBdr>
            </w:div>
          </w:divsChild>
        </w:div>
        <w:div w:id="628516885">
          <w:marLeft w:val="0"/>
          <w:marRight w:val="0"/>
          <w:marTop w:val="0"/>
          <w:marBottom w:val="0"/>
          <w:divBdr>
            <w:top w:val="none" w:sz="0" w:space="0" w:color="auto"/>
            <w:left w:val="none" w:sz="0" w:space="0" w:color="auto"/>
            <w:bottom w:val="none" w:sz="0" w:space="0" w:color="auto"/>
            <w:right w:val="none" w:sz="0" w:space="0" w:color="auto"/>
          </w:divBdr>
          <w:divsChild>
            <w:div w:id="864636477">
              <w:marLeft w:val="0"/>
              <w:marRight w:val="0"/>
              <w:marTop w:val="0"/>
              <w:marBottom w:val="0"/>
              <w:divBdr>
                <w:top w:val="none" w:sz="0" w:space="0" w:color="auto"/>
                <w:left w:val="none" w:sz="0" w:space="0" w:color="auto"/>
                <w:bottom w:val="none" w:sz="0" w:space="0" w:color="auto"/>
                <w:right w:val="none" w:sz="0" w:space="0" w:color="auto"/>
              </w:divBdr>
            </w:div>
          </w:divsChild>
        </w:div>
        <w:div w:id="664938668">
          <w:marLeft w:val="0"/>
          <w:marRight w:val="0"/>
          <w:marTop w:val="0"/>
          <w:marBottom w:val="0"/>
          <w:divBdr>
            <w:top w:val="none" w:sz="0" w:space="0" w:color="auto"/>
            <w:left w:val="none" w:sz="0" w:space="0" w:color="auto"/>
            <w:bottom w:val="none" w:sz="0" w:space="0" w:color="auto"/>
            <w:right w:val="none" w:sz="0" w:space="0" w:color="auto"/>
          </w:divBdr>
          <w:divsChild>
            <w:div w:id="1059330755">
              <w:marLeft w:val="0"/>
              <w:marRight w:val="0"/>
              <w:marTop w:val="0"/>
              <w:marBottom w:val="0"/>
              <w:divBdr>
                <w:top w:val="none" w:sz="0" w:space="0" w:color="auto"/>
                <w:left w:val="none" w:sz="0" w:space="0" w:color="auto"/>
                <w:bottom w:val="none" w:sz="0" w:space="0" w:color="auto"/>
                <w:right w:val="none" w:sz="0" w:space="0" w:color="auto"/>
              </w:divBdr>
            </w:div>
          </w:divsChild>
        </w:div>
        <w:div w:id="670378375">
          <w:marLeft w:val="0"/>
          <w:marRight w:val="0"/>
          <w:marTop w:val="0"/>
          <w:marBottom w:val="0"/>
          <w:divBdr>
            <w:top w:val="none" w:sz="0" w:space="0" w:color="auto"/>
            <w:left w:val="none" w:sz="0" w:space="0" w:color="auto"/>
            <w:bottom w:val="none" w:sz="0" w:space="0" w:color="auto"/>
            <w:right w:val="none" w:sz="0" w:space="0" w:color="auto"/>
          </w:divBdr>
          <w:divsChild>
            <w:div w:id="2015644158">
              <w:marLeft w:val="0"/>
              <w:marRight w:val="0"/>
              <w:marTop w:val="0"/>
              <w:marBottom w:val="0"/>
              <w:divBdr>
                <w:top w:val="none" w:sz="0" w:space="0" w:color="auto"/>
                <w:left w:val="none" w:sz="0" w:space="0" w:color="auto"/>
                <w:bottom w:val="none" w:sz="0" w:space="0" w:color="auto"/>
                <w:right w:val="none" w:sz="0" w:space="0" w:color="auto"/>
              </w:divBdr>
            </w:div>
          </w:divsChild>
        </w:div>
        <w:div w:id="692149996">
          <w:marLeft w:val="0"/>
          <w:marRight w:val="0"/>
          <w:marTop w:val="0"/>
          <w:marBottom w:val="0"/>
          <w:divBdr>
            <w:top w:val="none" w:sz="0" w:space="0" w:color="auto"/>
            <w:left w:val="none" w:sz="0" w:space="0" w:color="auto"/>
            <w:bottom w:val="none" w:sz="0" w:space="0" w:color="auto"/>
            <w:right w:val="none" w:sz="0" w:space="0" w:color="auto"/>
          </w:divBdr>
          <w:divsChild>
            <w:div w:id="937179354">
              <w:marLeft w:val="0"/>
              <w:marRight w:val="0"/>
              <w:marTop w:val="0"/>
              <w:marBottom w:val="0"/>
              <w:divBdr>
                <w:top w:val="none" w:sz="0" w:space="0" w:color="auto"/>
                <w:left w:val="none" w:sz="0" w:space="0" w:color="auto"/>
                <w:bottom w:val="none" w:sz="0" w:space="0" w:color="auto"/>
                <w:right w:val="none" w:sz="0" w:space="0" w:color="auto"/>
              </w:divBdr>
            </w:div>
          </w:divsChild>
        </w:div>
        <w:div w:id="826483633">
          <w:marLeft w:val="0"/>
          <w:marRight w:val="0"/>
          <w:marTop w:val="0"/>
          <w:marBottom w:val="0"/>
          <w:divBdr>
            <w:top w:val="none" w:sz="0" w:space="0" w:color="auto"/>
            <w:left w:val="none" w:sz="0" w:space="0" w:color="auto"/>
            <w:bottom w:val="none" w:sz="0" w:space="0" w:color="auto"/>
            <w:right w:val="none" w:sz="0" w:space="0" w:color="auto"/>
          </w:divBdr>
          <w:divsChild>
            <w:div w:id="972558281">
              <w:marLeft w:val="0"/>
              <w:marRight w:val="0"/>
              <w:marTop w:val="0"/>
              <w:marBottom w:val="0"/>
              <w:divBdr>
                <w:top w:val="none" w:sz="0" w:space="0" w:color="auto"/>
                <w:left w:val="none" w:sz="0" w:space="0" w:color="auto"/>
                <w:bottom w:val="none" w:sz="0" w:space="0" w:color="auto"/>
                <w:right w:val="none" w:sz="0" w:space="0" w:color="auto"/>
              </w:divBdr>
            </w:div>
          </w:divsChild>
        </w:div>
        <w:div w:id="831799926">
          <w:marLeft w:val="0"/>
          <w:marRight w:val="0"/>
          <w:marTop w:val="0"/>
          <w:marBottom w:val="0"/>
          <w:divBdr>
            <w:top w:val="none" w:sz="0" w:space="0" w:color="auto"/>
            <w:left w:val="none" w:sz="0" w:space="0" w:color="auto"/>
            <w:bottom w:val="none" w:sz="0" w:space="0" w:color="auto"/>
            <w:right w:val="none" w:sz="0" w:space="0" w:color="auto"/>
          </w:divBdr>
          <w:divsChild>
            <w:div w:id="784738932">
              <w:marLeft w:val="0"/>
              <w:marRight w:val="0"/>
              <w:marTop w:val="0"/>
              <w:marBottom w:val="0"/>
              <w:divBdr>
                <w:top w:val="none" w:sz="0" w:space="0" w:color="auto"/>
                <w:left w:val="none" w:sz="0" w:space="0" w:color="auto"/>
                <w:bottom w:val="none" w:sz="0" w:space="0" w:color="auto"/>
                <w:right w:val="none" w:sz="0" w:space="0" w:color="auto"/>
              </w:divBdr>
            </w:div>
          </w:divsChild>
        </w:div>
        <w:div w:id="846363146">
          <w:marLeft w:val="0"/>
          <w:marRight w:val="0"/>
          <w:marTop w:val="0"/>
          <w:marBottom w:val="0"/>
          <w:divBdr>
            <w:top w:val="none" w:sz="0" w:space="0" w:color="auto"/>
            <w:left w:val="none" w:sz="0" w:space="0" w:color="auto"/>
            <w:bottom w:val="none" w:sz="0" w:space="0" w:color="auto"/>
            <w:right w:val="none" w:sz="0" w:space="0" w:color="auto"/>
          </w:divBdr>
          <w:divsChild>
            <w:div w:id="1369600486">
              <w:marLeft w:val="0"/>
              <w:marRight w:val="0"/>
              <w:marTop w:val="0"/>
              <w:marBottom w:val="0"/>
              <w:divBdr>
                <w:top w:val="none" w:sz="0" w:space="0" w:color="auto"/>
                <w:left w:val="none" w:sz="0" w:space="0" w:color="auto"/>
                <w:bottom w:val="none" w:sz="0" w:space="0" w:color="auto"/>
                <w:right w:val="none" w:sz="0" w:space="0" w:color="auto"/>
              </w:divBdr>
            </w:div>
          </w:divsChild>
        </w:div>
        <w:div w:id="896625740">
          <w:marLeft w:val="0"/>
          <w:marRight w:val="0"/>
          <w:marTop w:val="0"/>
          <w:marBottom w:val="0"/>
          <w:divBdr>
            <w:top w:val="none" w:sz="0" w:space="0" w:color="auto"/>
            <w:left w:val="none" w:sz="0" w:space="0" w:color="auto"/>
            <w:bottom w:val="none" w:sz="0" w:space="0" w:color="auto"/>
            <w:right w:val="none" w:sz="0" w:space="0" w:color="auto"/>
          </w:divBdr>
          <w:divsChild>
            <w:div w:id="1312439819">
              <w:marLeft w:val="0"/>
              <w:marRight w:val="0"/>
              <w:marTop w:val="0"/>
              <w:marBottom w:val="0"/>
              <w:divBdr>
                <w:top w:val="none" w:sz="0" w:space="0" w:color="auto"/>
                <w:left w:val="none" w:sz="0" w:space="0" w:color="auto"/>
                <w:bottom w:val="none" w:sz="0" w:space="0" w:color="auto"/>
                <w:right w:val="none" w:sz="0" w:space="0" w:color="auto"/>
              </w:divBdr>
            </w:div>
          </w:divsChild>
        </w:div>
        <w:div w:id="948396715">
          <w:marLeft w:val="0"/>
          <w:marRight w:val="0"/>
          <w:marTop w:val="0"/>
          <w:marBottom w:val="0"/>
          <w:divBdr>
            <w:top w:val="none" w:sz="0" w:space="0" w:color="auto"/>
            <w:left w:val="none" w:sz="0" w:space="0" w:color="auto"/>
            <w:bottom w:val="none" w:sz="0" w:space="0" w:color="auto"/>
            <w:right w:val="none" w:sz="0" w:space="0" w:color="auto"/>
          </w:divBdr>
          <w:divsChild>
            <w:div w:id="1097293919">
              <w:marLeft w:val="0"/>
              <w:marRight w:val="0"/>
              <w:marTop w:val="0"/>
              <w:marBottom w:val="0"/>
              <w:divBdr>
                <w:top w:val="none" w:sz="0" w:space="0" w:color="auto"/>
                <w:left w:val="none" w:sz="0" w:space="0" w:color="auto"/>
                <w:bottom w:val="none" w:sz="0" w:space="0" w:color="auto"/>
                <w:right w:val="none" w:sz="0" w:space="0" w:color="auto"/>
              </w:divBdr>
            </w:div>
          </w:divsChild>
        </w:div>
        <w:div w:id="960187064">
          <w:marLeft w:val="0"/>
          <w:marRight w:val="0"/>
          <w:marTop w:val="0"/>
          <w:marBottom w:val="0"/>
          <w:divBdr>
            <w:top w:val="none" w:sz="0" w:space="0" w:color="auto"/>
            <w:left w:val="none" w:sz="0" w:space="0" w:color="auto"/>
            <w:bottom w:val="none" w:sz="0" w:space="0" w:color="auto"/>
            <w:right w:val="none" w:sz="0" w:space="0" w:color="auto"/>
          </w:divBdr>
          <w:divsChild>
            <w:div w:id="780688565">
              <w:marLeft w:val="0"/>
              <w:marRight w:val="0"/>
              <w:marTop w:val="0"/>
              <w:marBottom w:val="0"/>
              <w:divBdr>
                <w:top w:val="none" w:sz="0" w:space="0" w:color="auto"/>
                <w:left w:val="none" w:sz="0" w:space="0" w:color="auto"/>
                <w:bottom w:val="none" w:sz="0" w:space="0" w:color="auto"/>
                <w:right w:val="none" w:sz="0" w:space="0" w:color="auto"/>
              </w:divBdr>
            </w:div>
          </w:divsChild>
        </w:div>
        <w:div w:id="1070155455">
          <w:marLeft w:val="0"/>
          <w:marRight w:val="0"/>
          <w:marTop w:val="0"/>
          <w:marBottom w:val="0"/>
          <w:divBdr>
            <w:top w:val="none" w:sz="0" w:space="0" w:color="auto"/>
            <w:left w:val="none" w:sz="0" w:space="0" w:color="auto"/>
            <w:bottom w:val="none" w:sz="0" w:space="0" w:color="auto"/>
            <w:right w:val="none" w:sz="0" w:space="0" w:color="auto"/>
          </w:divBdr>
          <w:divsChild>
            <w:div w:id="1555264999">
              <w:marLeft w:val="0"/>
              <w:marRight w:val="0"/>
              <w:marTop w:val="0"/>
              <w:marBottom w:val="0"/>
              <w:divBdr>
                <w:top w:val="none" w:sz="0" w:space="0" w:color="auto"/>
                <w:left w:val="none" w:sz="0" w:space="0" w:color="auto"/>
                <w:bottom w:val="none" w:sz="0" w:space="0" w:color="auto"/>
                <w:right w:val="none" w:sz="0" w:space="0" w:color="auto"/>
              </w:divBdr>
            </w:div>
          </w:divsChild>
        </w:div>
        <w:div w:id="1083377237">
          <w:marLeft w:val="0"/>
          <w:marRight w:val="0"/>
          <w:marTop w:val="0"/>
          <w:marBottom w:val="0"/>
          <w:divBdr>
            <w:top w:val="none" w:sz="0" w:space="0" w:color="auto"/>
            <w:left w:val="none" w:sz="0" w:space="0" w:color="auto"/>
            <w:bottom w:val="none" w:sz="0" w:space="0" w:color="auto"/>
            <w:right w:val="none" w:sz="0" w:space="0" w:color="auto"/>
          </w:divBdr>
          <w:divsChild>
            <w:div w:id="1399330422">
              <w:marLeft w:val="0"/>
              <w:marRight w:val="0"/>
              <w:marTop w:val="0"/>
              <w:marBottom w:val="0"/>
              <w:divBdr>
                <w:top w:val="none" w:sz="0" w:space="0" w:color="auto"/>
                <w:left w:val="none" w:sz="0" w:space="0" w:color="auto"/>
                <w:bottom w:val="none" w:sz="0" w:space="0" w:color="auto"/>
                <w:right w:val="none" w:sz="0" w:space="0" w:color="auto"/>
              </w:divBdr>
            </w:div>
          </w:divsChild>
        </w:div>
        <w:div w:id="1088892061">
          <w:marLeft w:val="0"/>
          <w:marRight w:val="0"/>
          <w:marTop w:val="0"/>
          <w:marBottom w:val="0"/>
          <w:divBdr>
            <w:top w:val="none" w:sz="0" w:space="0" w:color="auto"/>
            <w:left w:val="none" w:sz="0" w:space="0" w:color="auto"/>
            <w:bottom w:val="none" w:sz="0" w:space="0" w:color="auto"/>
            <w:right w:val="none" w:sz="0" w:space="0" w:color="auto"/>
          </w:divBdr>
          <w:divsChild>
            <w:div w:id="1526678241">
              <w:marLeft w:val="0"/>
              <w:marRight w:val="0"/>
              <w:marTop w:val="0"/>
              <w:marBottom w:val="0"/>
              <w:divBdr>
                <w:top w:val="none" w:sz="0" w:space="0" w:color="auto"/>
                <w:left w:val="none" w:sz="0" w:space="0" w:color="auto"/>
                <w:bottom w:val="none" w:sz="0" w:space="0" w:color="auto"/>
                <w:right w:val="none" w:sz="0" w:space="0" w:color="auto"/>
              </w:divBdr>
            </w:div>
          </w:divsChild>
        </w:div>
        <w:div w:id="1187254401">
          <w:marLeft w:val="0"/>
          <w:marRight w:val="0"/>
          <w:marTop w:val="0"/>
          <w:marBottom w:val="0"/>
          <w:divBdr>
            <w:top w:val="none" w:sz="0" w:space="0" w:color="auto"/>
            <w:left w:val="none" w:sz="0" w:space="0" w:color="auto"/>
            <w:bottom w:val="none" w:sz="0" w:space="0" w:color="auto"/>
            <w:right w:val="none" w:sz="0" w:space="0" w:color="auto"/>
          </w:divBdr>
          <w:divsChild>
            <w:div w:id="426658743">
              <w:marLeft w:val="0"/>
              <w:marRight w:val="0"/>
              <w:marTop w:val="0"/>
              <w:marBottom w:val="0"/>
              <w:divBdr>
                <w:top w:val="none" w:sz="0" w:space="0" w:color="auto"/>
                <w:left w:val="none" w:sz="0" w:space="0" w:color="auto"/>
                <w:bottom w:val="none" w:sz="0" w:space="0" w:color="auto"/>
                <w:right w:val="none" w:sz="0" w:space="0" w:color="auto"/>
              </w:divBdr>
            </w:div>
          </w:divsChild>
        </w:div>
        <w:div w:id="1219897846">
          <w:marLeft w:val="0"/>
          <w:marRight w:val="0"/>
          <w:marTop w:val="0"/>
          <w:marBottom w:val="0"/>
          <w:divBdr>
            <w:top w:val="none" w:sz="0" w:space="0" w:color="auto"/>
            <w:left w:val="none" w:sz="0" w:space="0" w:color="auto"/>
            <w:bottom w:val="none" w:sz="0" w:space="0" w:color="auto"/>
            <w:right w:val="none" w:sz="0" w:space="0" w:color="auto"/>
          </w:divBdr>
          <w:divsChild>
            <w:div w:id="1150100471">
              <w:marLeft w:val="0"/>
              <w:marRight w:val="0"/>
              <w:marTop w:val="0"/>
              <w:marBottom w:val="0"/>
              <w:divBdr>
                <w:top w:val="none" w:sz="0" w:space="0" w:color="auto"/>
                <w:left w:val="none" w:sz="0" w:space="0" w:color="auto"/>
                <w:bottom w:val="none" w:sz="0" w:space="0" w:color="auto"/>
                <w:right w:val="none" w:sz="0" w:space="0" w:color="auto"/>
              </w:divBdr>
            </w:div>
          </w:divsChild>
        </w:div>
        <w:div w:id="1281254598">
          <w:marLeft w:val="0"/>
          <w:marRight w:val="0"/>
          <w:marTop w:val="0"/>
          <w:marBottom w:val="0"/>
          <w:divBdr>
            <w:top w:val="none" w:sz="0" w:space="0" w:color="auto"/>
            <w:left w:val="none" w:sz="0" w:space="0" w:color="auto"/>
            <w:bottom w:val="none" w:sz="0" w:space="0" w:color="auto"/>
            <w:right w:val="none" w:sz="0" w:space="0" w:color="auto"/>
          </w:divBdr>
          <w:divsChild>
            <w:div w:id="166484920">
              <w:marLeft w:val="0"/>
              <w:marRight w:val="0"/>
              <w:marTop w:val="0"/>
              <w:marBottom w:val="0"/>
              <w:divBdr>
                <w:top w:val="none" w:sz="0" w:space="0" w:color="auto"/>
                <w:left w:val="none" w:sz="0" w:space="0" w:color="auto"/>
                <w:bottom w:val="none" w:sz="0" w:space="0" w:color="auto"/>
                <w:right w:val="none" w:sz="0" w:space="0" w:color="auto"/>
              </w:divBdr>
            </w:div>
          </w:divsChild>
        </w:div>
        <w:div w:id="1383022708">
          <w:marLeft w:val="0"/>
          <w:marRight w:val="0"/>
          <w:marTop w:val="0"/>
          <w:marBottom w:val="0"/>
          <w:divBdr>
            <w:top w:val="none" w:sz="0" w:space="0" w:color="auto"/>
            <w:left w:val="none" w:sz="0" w:space="0" w:color="auto"/>
            <w:bottom w:val="none" w:sz="0" w:space="0" w:color="auto"/>
            <w:right w:val="none" w:sz="0" w:space="0" w:color="auto"/>
          </w:divBdr>
          <w:divsChild>
            <w:div w:id="1195271567">
              <w:marLeft w:val="0"/>
              <w:marRight w:val="0"/>
              <w:marTop w:val="0"/>
              <w:marBottom w:val="0"/>
              <w:divBdr>
                <w:top w:val="none" w:sz="0" w:space="0" w:color="auto"/>
                <w:left w:val="none" w:sz="0" w:space="0" w:color="auto"/>
                <w:bottom w:val="none" w:sz="0" w:space="0" w:color="auto"/>
                <w:right w:val="none" w:sz="0" w:space="0" w:color="auto"/>
              </w:divBdr>
            </w:div>
          </w:divsChild>
        </w:div>
        <w:div w:id="1395928560">
          <w:marLeft w:val="0"/>
          <w:marRight w:val="0"/>
          <w:marTop w:val="0"/>
          <w:marBottom w:val="0"/>
          <w:divBdr>
            <w:top w:val="none" w:sz="0" w:space="0" w:color="auto"/>
            <w:left w:val="none" w:sz="0" w:space="0" w:color="auto"/>
            <w:bottom w:val="none" w:sz="0" w:space="0" w:color="auto"/>
            <w:right w:val="none" w:sz="0" w:space="0" w:color="auto"/>
          </w:divBdr>
          <w:divsChild>
            <w:div w:id="301428389">
              <w:marLeft w:val="0"/>
              <w:marRight w:val="0"/>
              <w:marTop w:val="0"/>
              <w:marBottom w:val="0"/>
              <w:divBdr>
                <w:top w:val="none" w:sz="0" w:space="0" w:color="auto"/>
                <w:left w:val="none" w:sz="0" w:space="0" w:color="auto"/>
                <w:bottom w:val="none" w:sz="0" w:space="0" w:color="auto"/>
                <w:right w:val="none" w:sz="0" w:space="0" w:color="auto"/>
              </w:divBdr>
            </w:div>
          </w:divsChild>
        </w:div>
        <w:div w:id="1398168130">
          <w:marLeft w:val="0"/>
          <w:marRight w:val="0"/>
          <w:marTop w:val="0"/>
          <w:marBottom w:val="0"/>
          <w:divBdr>
            <w:top w:val="none" w:sz="0" w:space="0" w:color="auto"/>
            <w:left w:val="none" w:sz="0" w:space="0" w:color="auto"/>
            <w:bottom w:val="none" w:sz="0" w:space="0" w:color="auto"/>
            <w:right w:val="none" w:sz="0" w:space="0" w:color="auto"/>
          </w:divBdr>
          <w:divsChild>
            <w:div w:id="907765149">
              <w:marLeft w:val="0"/>
              <w:marRight w:val="0"/>
              <w:marTop w:val="0"/>
              <w:marBottom w:val="0"/>
              <w:divBdr>
                <w:top w:val="none" w:sz="0" w:space="0" w:color="auto"/>
                <w:left w:val="none" w:sz="0" w:space="0" w:color="auto"/>
                <w:bottom w:val="none" w:sz="0" w:space="0" w:color="auto"/>
                <w:right w:val="none" w:sz="0" w:space="0" w:color="auto"/>
              </w:divBdr>
            </w:div>
          </w:divsChild>
        </w:div>
        <w:div w:id="1473864319">
          <w:marLeft w:val="0"/>
          <w:marRight w:val="0"/>
          <w:marTop w:val="0"/>
          <w:marBottom w:val="0"/>
          <w:divBdr>
            <w:top w:val="none" w:sz="0" w:space="0" w:color="auto"/>
            <w:left w:val="none" w:sz="0" w:space="0" w:color="auto"/>
            <w:bottom w:val="none" w:sz="0" w:space="0" w:color="auto"/>
            <w:right w:val="none" w:sz="0" w:space="0" w:color="auto"/>
          </w:divBdr>
          <w:divsChild>
            <w:div w:id="1529293275">
              <w:marLeft w:val="0"/>
              <w:marRight w:val="0"/>
              <w:marTop w:val="0"/>
              <w:marBottom w:val="0"/>
              <w:divBdr>
                <w:top w:val="none" w:sz="0" w:space="0" w:color="auto"/>
                <w:left w:val="none" w:sz="0" w:space="0" w:color="auto"/>
                <w:bottom w:val="none" w:sz="0" w:space="0" w:color="auto"/>
                <w:right w:val="none" w:sz="0" w:space="0" w:color="auto"/>
              </w:divBdr>
            </w:div>
          </w:divsChild>
        </w:div>
        <w:div w:id="1495950557">
          <w:marLeft w:val="0"/>
          <w:marRight w:val="0"/>
          <w:marTop w:val="0"/>
          <w:marBottom w:val="0"/>
          <w:divBdr>
            <w:top w:val="none" w:sz="0" w:space="0" w:color="auto"/>
            <w:left w:val="none" w:sz="0" w:space="0" w:color="auto"/>
            <w:bottom w:val="none" w:sz="0" w:space="0" w:color="auto"/>
            <w:right w:val="none" w:sz="0" w:space="0" w:color="auto"/>
          </w:divBdr>
          <w:divsChild>
            <w:div w:id="60521006">
              <w:marLeft w:val="0"/>
              <w:marRight w:val="0"/>
              <w:marTop w:val="0"/>
              <w:marBottom w:val="0"/>
              <w:divBdr>
                <w:top w:val="none" w:sz="0" w:space="0" w:color="auto"/>
                <w:left w:val="none" w:sz="0" w:space="0" w:color="auto"/>
                <w:bottom w:val="none" w:sz="0" w:space="0" w:color="auto"/>
                <w:right w:val="none" w:sz="0" w:space="0" w:color="auto"/>
              </w:divBdr>
            </w:div>
          </w:divsChild>
        </w:div>
        <w:div w:id="1569732670">
          <w:marLeft w:val="0"/>
          <w:marRight w:val="0"/>
          <w:marTop w:val="0"/>
          <w:marBottom w:val="0"/>
          <w:divBdr>
            <w:top w:val="none" w:sz="0" w:space="0" w:color="auto"/>
            <w:left w:val="none" w:sz="0" w:space="0" w:color="auto"/>
            <w:bottom w:val="none" w:sz="0" w:space="0" w:color="auto"/>
            <w:right w:val="none" w:sz="0" w:space="0" w:color="auto"/>
          </w:divBdr>
          <w:divsChild>
            <w:div w:id="1014963935">
              <w:marLeft w:val="0"/>
              <w:marRight w:val="0"/>
              <w:marTop w:val="0"/>
              <w:marBottom w:val="0"/>
              <w:divBdr>
                <w:top w:val="none" w:sz="0" w:space="0" w:color="auto"/>
                <w:left w:val="none" w:sz="0" w:space="0" w:color="auto"/>
                <w:bottom w:val="none" w:sz="0" w:space="0" w:color="auto"/>
                <w:right w:val="none" w:sz="0" w:space="0" w:color="auto"/>
              </w:divBdr>
            </w:div>
          </w:divsChild>
        </w:div>
        <w:div w:id="1621255935">
          <w:marLeft w:val="0"/>
          <w:marRight w:val="0"/>
          <w:marTop w:val="0"/>
          <w:marBottom w:val="0"/>
          <w:divBdr>
            <w:top w:val="none" w:sz="0" w:space="0" w:color="auto"/>
            <w:left w:val="none" w:sz="0" w:space="0" w:color="auto"/>
            <w:bottom w:val="none" w:sz="0" w:space="0" w:color="auto"/>
            <w:right w:val="none" w:sz="0" w:space="0" w:color="auto"/>
          </w:divBdr>
          <w:divsChild>
            <w:div w:id="1067268276">
              <w:marLeft w:val="0"/>
              <w:marRight w:val="0"/>
              <w:marTop w:val="0"/>
              <w:marBottom w:val="0"/>
              <w:divBdr>
                <w:top w:val="none" w:sz="0" w:space="0" w:color="auto"/>
                <w:left w:val="none" w:sz="0" w:space="0" w:color="auto"/>
                <w:bottom w:val="none" w:sz="0" w:space="0" w:color="auto"/>
                <w:right w:val="none" w:sz="0" w:space="0" w:color="auto"/>
              </w:divBdr>
            </w:div>
          </w:divsChild>
        </w:div>
        <w:div w:id="1634210242">
          <w:marLeft w:val="0"/>
          <w:marRight w:val="0"/>
          <w:marTop w:val="0"/>
          <w:marBottom w:val="0"/>
          <w:divBdr>
            <w:top w:val="none" w:sz="0" w:space="0" w:color="auto"/>
            <w:left w:val="none" w:sz="0" w:space="0" w:color="auto"/>
            <w:bottom w:val="none" w:sz="0" w:space="0" w:color="auto"/>
            <w:right w:val="none" w:sz="0" w:space="0" w:color="auto"/>
          </w:divBdr>
          <w:divsChild>
            <w:div w:id="1100107651">
              <w:marLeft w:val="0"/>
              <w:marRight w:val="0"/>
              <w:marTop w:val="0"/>
              <w:marBottom w:val="0"/>
              <w:divBdr>
                <w:top w:val="none" w:sz="0" w:space="0" w:color="auto"/>
                <w:left w:val="none" w:sz="0" w:space="0" w:color="auto"/>
                <w:bottom w:val="none" w:sz="0" w:space="0" w:color="auto"/>
                <w:right w:val="none" w:sz="0" w:space="0" w:color="auto"/>
              </w:divBdr>
            </w:div>
          </w:divsChild>
        </w:div>
        <w:div w:id="1754472215">
          <w:marLeft w:val="0"/>
          <w:marRight w:val="0"/>
          <w:marTop w:val="0"/>
          <w:marBottom w:val="0"/>
          <w:divBdr>
            <w:top w:val="none" w:sz="0" w:space="0" w:color="auto"/>
            <w:left w:val="none" w:sz="0" w:space="0" w:color="auto"/>
            <w:bottom w:val="none" w:sz="0" w:space="0" w:color="auto"/>
            <w:right w:val="none" w:sz="0" w:space="0" w:color="auto"/>
          </w:divBdr>
          <w:divsChild>
            <w:div w:id="794451193">
              <w:marLeft w:val="0"/>
              <w:marRight w:val="0"/>
              <w:marTop w:val="0"/>
              <w:marBottom w:val="0"/>
              <w:divBdr>
                <w:top w:val="none" w:sz="0" w:space="0" w:color="auto"/>
                <w:left w:val="none" w:sz="0" w:space="0" w:color="auto"/>
                <w:bottom w:val="none" w:sz="0" w:space="0" w:color="auto"/>
                <w:right w:val="none" w:sz="0" w:space="0" w:color="auto"/>
              </w:divBdr>
            </w:div>
          </w:divsChild>
        </w:div>
        <w:div w:id="1855069707">
          <w:marLeft w:val="0"/>
          <w:marRight w:val="0"/>
          <w:marTop w:val="0"/>
          <w:marBottom w:val="0"/>
          <w:divBdr>
            <w:top w:val="none" w:sz="0" w:space="0" w:color="auto"/>
            <w:left w:val="none" w:sz="0" w:space="0" w:color="auto"/>
            <w:bottom w:val="none" w:sz="0" w:space="0" w:color="auto"/>
            <w:right w:val="none" w:sz="0" w:space="0" w:color="auto"/>
          </w:divBdr>
          <w:divsChild>
            <w:div w:id="1235161098">
              <w:marLeft w:val="0"/>
              <w:marRight w:val="0"/>
              <w:marTop w:val="0"/>
              <w:marBottom w:val="0"/>
              <w:divBdr>
                <w:top w:val="none" w:sz="0" w:space="0" w:color="auto"/>
                <w:left w:val="none" w:sz="0" w:space="0" w:color="auto"/>
                <w:bottom w:val="none" w:sz="0" w:space="0" w:color="auto"/>
                <w:right w:val="none" w:sz="0" w:space="0" w:color="auto"/>
              </w:divBdr>
            </w:div>
          </w:divsChild>
        </w:div>
        <w:div w:id="1887139093">
          <w:marLeft w:val="0"/>
          <w:marRight w:val="0"/>
          <w:marTop w:val="0"/>
          <w:marBottom w:val="0"/>
          <w:divBdr>
            <w:top w:val="none" w:sz="0" w:space="0" w:color="auto"/>
            <w:left w:val="none" w:sz="0" w:space="0" w:color="auto"/>
            <w:bottom w:val="none" w:sz="0" w:space="0" w:color="auto"/>
            <w:right w:val="none" w:sz="0" w:space="0" w:color="auto"/>
          </w:divBdr>
          <w:divsChild>
            <w:div w:id="1816026568">
              <w:marLeft w:val="0"/>
              <w:marRight w:val="0"/>
              <w:marTop w:val="0"/>
              <w:marBottom w:val="0"/>
              <w:divBdr>
                <w:top w:val="none" w:sz="0" w:space="0" w:color="auto"/>
                <w:left w:val="none" w:sz="0" w:space="0" w:color="auto"/>
                <w:bottom w:val="none" w:sz="0" w:space="0" w:color="auto"/>
                <w:right w:val="none" w:sz="0" w:space="0" w:color="auto"/>
              </w:divBdr>
            </w:div>
          </w:divsChild>
        </w:div>
        <w:div w:id="1922062023">
          <w:marLeft w:val="0"/>
          <w:marRight w:val="0"/>
          <w:marTop w:val="0"/>
          <w:marBottom w:val="0"/>
          <w:divBdr>
            <w:top w:val="none" w:sz="0" w:space="0" w:color="auto"/>
            <w:left w:val="none" w:sz="0" w:space="0" w:color="auto"/>
            <w:bottom w:val="none" w:sz="0" w:space="0" w:color="auto"/>
            <w:right w:val="none" w:sz="0" w:space="0" w:color="auto"/>
          </w:divBdr>
          <w:divsChild>
            <w:div w:id="1131703800">
              <w:marLeft w:val="0"/>
              <w:marRight w:val="0"/>
              <w:marTop w:val="0"/>
              <w:marBottom w:val="0"/>
              <w:divBdr>
                <w:top w:val="none" w:sz="0" w:space="0" w:color="auto"/>
                <w:left w:val="none" w:sz="0" w:space="0" w:color="auto"/>
                <w:bottom w:val="none" w:sz="0" w:space="0" w:color="auto"/>
                <w:right w:val="none" w:sz="0" w:space="0" w:color="auto"/>
              </w:divBdr>
            </w:div>
          </w:divsChild>
        </w:div>
        <w:div w:id="2014644421">
          <w:marLeft w:val="0"/>
          <w:marRight w:val="0"/>
          <w:marTop w:val="0"/>
          <w:marBottom w:val="0"/>
          <w:divBdr>
            <w:top w:val="none" w:sz="0" w:space="0" w:color="auto"/>
            <w:left w:val="none" w:sz="0" w:space="0" w:color="auto"/>
            <w:bottom w:val="none" w:sz="0" w:space="0" w:color="auto"/>
            <w:right w:val="none" w:sz="0" w:space="0" w:color="auto"/>
          </w:divBdr>
          <w:divsChild>
            <w:div w:id="443616450">
              <w:marLeft w:val="0"/>
              <w:marRight w:val="0"/>
              <w:marTop w:val="0"/>
              <w:marBottom w:val="0"/>
              <w:divBdr>
                <w:top w:val="none" w:sz="0" w:space="0" w:color="auto"/>
                <w:left w:val="none" w:sz="0" w:space="0" w:color="auto"/>
                <w:bottom w:val="none" w:sz="0" w:space="0" w:color="auto"/>
                <w:right w:val="none" w:sz="0" w:space="0" w:color="auto"/>
              </w:divBdr>
            </w:div>
          </w:divsChild>
        </w:div>
        <w:div w:id="2094738437">
          <w:marLeft w:val="0"/>
          <w:marRight w:val="0"/>
          <w:marTop w:val="0"/>
          <w:marBottom w:val="0"/>
          <w:divBdr>
            <w:top w:val="none" w:sz="0" w:space="0" w:color="auto"/>
            <w:left w:val="none" w:sz="0" w:space="0" w:color="auto"/>
            <w:bottom w:val="none" w:sz="0" w:space="0" w:color="auto"/>
            <w:right w:val="none" w:sz="0" w:space="0" w:color="auto"/>
          </w:divBdr>
          <w:divsChild>
            <w:div w:id="15735229">
              <w:marLeft w:val="0"/>
              <w:marRight w:val="0"/>
              <w:marTop w:val="0"/>
              <w:marBottom w:val="0"/>
              <w:divBdr>
                <w:top w:val="none" w:sz="0" w:space="0" w:color="auto"/>
                <w:left w:val="none" w:sz="0" w:space="0" w:color="auto"/>
                <w:bottom w:val="none" w:sz="0" w:space="0" w:color="auto"/>
                <w:right w:val="none" w:sz="0" w:space="0" w:color="auto"/>
              </w:divBdr>
            </w:div>
          </w:divsChild>
        </w:div>
        <w:div w:id="2099279817">
          <w:marLeft w:val="0"/>
          <w:marRight w:val="0"/>
          <w:marTop w:val="0"/>
          <w:marBottom w:val="0"/>
          <w:divBdr>
            <w:top w:val="none" w:sz="0" w:space="0" w:color="auto"/>
            <w:left w:val="none" w:sz="0" w:space="0" w:color="auto"/>
            <w:bottom w:val="none" w:sz="0" w:space="0" w:color="auto"/>
            <w:right w:val="none" w:sz="0" w:space="0" w:color="auto"/>
          </w:divBdr>
          <w:divsChild>
            <w:div w:id="812526935">
              <w:marLeft w:val="0"/>
              <w:marRight w:val="0"/>
              <w:marTop w:val="0"/>
              <w:marBottom w:val="0"/>
              <w:divBdr>
                <w:top w:val="none" w:sz="0" w:space="0" w:color="auto"/>
                <w:left w:val="none" w:sz="0" w:space="0" w:color="auto"/>
                <w:bottom w:val="none" w:sz="0" w:space="0" w:color="auto"/>
                <w:right w:val="none" w:sz="0" w:space="0" w:color="auto"/>
              </w:divBdr>
            </w:div>
          </w:divsChild>
        </w:div>
        <w:div w:id="2106609861">
          <w:marLeft w:val="0"/>
          <w:marRight w:val="0"/>
          <w:marTop w:val="0"/>
          <w:marBottom w:val="0"/>
          <w:divBdr>
            <w:top w:val="none" w:sz="0" w:space="0" w:color="auto"/>
            <w:left w:val="none" w:sz="0" w:space="0" w:color="auto"/>
            <w:bottom w:val="none" w:sz="0" w:space="0" w:color="auto"/>
            <w:right w:val="none" w:sz="0" w:space="0" w:color="auto"/>
          </w:divBdr>
          <w:divsChild>
            <w:div w:id="463432134">
              <w:marLeft w:val="0"/>
              <w:marRight w:val="0"/>
              <w:marTop w:val="0"/>
              <w:marBottom w:val="0"/>
              <w:divBdr>
                <w:top w:val="none" w:sz="0" w:space="0" w:color="auto"/>
                <w:left w:val="none" w:sz="0" w:space="0" w:color="auto"/>
                <w:bottom w:val="none" w:sz="0" w:space="0" w:color="auto"/>
                <w:right w:val="none" w:sz="0" w:space="0" w:color="auto"/>
              </w:divBdr>
            </w:div>
          </w:divsChild>
        </w:div>
        <w:div w:id="2132042933">
          <w:marLeft w:val="0"/>
          <w:marRight w:val="0"/>
          <w:marTop w:val="0"/>
          <w:marBottom w:val="0"/>
          <w:divBdr>
            <w:top w:val="none" w:sz="0" w:space="0" w:color="auto"/>
            <w:left w:val="none" w:sz="0" w:space="0" w:color="auto"/>
            <w:bottom w:val="none" w:sz="0" w:space="0" w:color="auto"/>
            <w:right w:val="none" w:sz="0" w:space="0" w:color="auto"/>
          </w:divBdr>
          <w:divsChild>
            <w:div w:id="213844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81431">
      <w:bodyDiv w:val="1"/>
      <w:marLeft w:val="0"/>
      <w:marRight w:val="0"/>
      <w:marTop w:val="0"/>
      <w:marBottom w:val="0"/>
      <w:divBdr>
        <w:top w:val="none" w:sz="0" w:space="0" w:color="auto"/>
        <w:left w:val="none" w:sz="0" w:space="0" w:color="auto"/>
        <w:bottom w:val="none" w:sz="0" w:space="0" w:color="auto"/>
        <w:right w:val="none" w:sz="0" w:space="0" w:color="auto"/>
      </w:divBdr>
    </w:div>
    <w:div w:id="425688748">
      <w:bodyDiv w:val="1"/>
      <w:marLeft w:val="0"/>
      <w:marRight w:val="0"/>
      <w:marTop w:val="0"/>
      <w:marBottom w:val="0"/>
      <w:divBdr>
        <w:top w:val="none" w:sz="0" w:space="0" w:color="auto"/>
        <w:left w:val="none" w:sz="0" w:space="0" w:color="auto"/>
        <w:bottom w:val="none" w:sz="0" w:space="0" w:color="auto"/>
        <w:right w:val="none" w:sz="0" w:space="0" w:color="auto"/>
      </w:divBdr>
      <w:divsChild>
        <w:div w:id="89618548">
          <w:marLeft w:val="0"/>
          <w:marRight w:val="0"/>
          <w:marTop w:val="0"/>
          <w:marBottom w:val="0"/>
          <w:divBdr>
            <w:top w:val="none" w:sz="0" w:space="0" w:color="auto"/>
            <w:left w:val="none" w:sz="0" w:space="0" w:color="auto"/>
            <w:bottom w:val="none" w:sz="0" w:space="0" w:color="auto"/>
            <w:right w:val="none" w:sz="0" w:space="0" w:color="auto"/>
          </w:divBdr>
          <w:divsChild>
            <w:div w:id="787046750">
              <w:marLeft w:val="0"/>
              <w:marRight w:val="0"/>
              <w:marTop w:val="0"/>
              <w:marBottom w:val="0"/>
              <w:divBdr>
                <w:top w:val="none" w:sz="0" w:space="0" w:color="auto"/>
                <w:left w:val="none" w:sz="0" w:space="0" w:color="auto"/>
                <w:bottom w:val="none" w:sz="0" w:space="0" w:color="auto"/>
                <w:right w:val="none" w:sz="0" w:space="0" w:color="auto"/>
              </w:divBdr>
            </w:div>
          </w:divsChild>
        </w:div>
        <w:div w:id="242884686">
          <w:marLeft w:val="0"/>
          <w:marRight w:val="0"/>
          <w:marTop w:val="0"/>
          <w:marBottom w:val="0"/>
          <w:divBdr>
            <w:top w:val="none" w:sz="0" w:space="0" w:color="auto"/>
            <w:left w:val="none" w:sz="0" w:space="0" w:color="auto"/>
            <w:bottom w:val="none" w:sz="0" w:space="0" w:color="auto"/>
            <w:right w:val="none" w:sz="0" w:space="0" w:color="auto"/>
          </w:divBdr>
          <w:divsChild>
            <w:div w:id="416487479">
              <w:marLeft w:val="0"/>
              <w:marRight w:val="0"/>
              <w:marTop w:val="0"/>
              <w:marBottom w:val="0"/>
              <w:divBdr>
                <w:top w:val="none" w:sz="0" w:space="0" w:color="auto"/>
                <w:left w:val="none" w:sz="0" w:space="0" w:color="auto"/>
                <w:bottom w:val="none" w:sz="0" w:space="0" w:color="auto"/>
                <w:right w:val="none" w:sz="0" w:space="0" w:color="auto"/>
              </w:divBdr>
            </w:div>
          </w:divsChild>
        </w:div>
        <w:div w:id="448207959">
          <w:marLeft w:val="0"/>
          <w:marRight w:val="0"/>
          <w:marTop w:val="0"/>
          <w:marBottom w:val="0"/>
          <w:divBdr>
            <w:top w:val="none" w:sz="0" w:space="0" w:color="auto"/>
            <w:left w:val="none" w:sz="0" w:space="0" w:color="auto"/>
            <w:bottom w:val="none" w:sz="0" w:space="0" w:color="auto"/>
            <w:right w:val="none" w:sz="0" w:space="0" w:color="auto"/>
          </w:divBdr>
          <w:divsChild>
            <w:div w:id="239222267">
              <w:marLeft w:val="0"/>
              <w:marRight w:val="0"/>
              <w:marTop w:val="0"/>
              <w:marBottom w:val="0"/>
              <w:divBdr>
                <w:top w:val="none" w:sz="0" w:space="0" w:color="auto"/>
                <w:left w:val="none" w:sz="0" w:space="0" w:color="auto"/>
                <w:bottom w:val="none" w:sz="0" w:space="0" w:color="auto"/>
                <w:right w:val="none" w:sz="0" w:space="0" w:color="auto"/>
              </w:divBdr>
            </w:div>
            <w:div w:id="602540564">
              <w:marLeft w:val="0"/>
              <w:marRight w:val="0"/>
              <w:marTop w:val="0"/>
              <w:marBottom w:val="0"/>
              <w:divBdr>
                <w:top w:val="none" w:sz="0" w:space="0" w:color="auto"/>
                <w:left w:val="none" w:sz="0" w:space="0" w:color="auto"/>
                <w:bottom w:val="none" w:sz="0" w:space="0" w:color="auto"/>
                <w:right w:val="none" w:sz="0" w:space="0" w:color="auto"/>
              </w:divBdr>
            </w:div>
            <w:div w:id="1006831940">
              <w:marLeft w:val="0"/>
              <w:marRight w:val="0"/>
              <w:marTop w:val="0"/>
              <w:marBottom w:val="0"/>
              <w:divBdr>
                <w:top w:val="none" w:sz="0" w:space="0" w:color="auto"/>
                <w:left w:val="none" w:sz="0" w:space="0" w:color="auto"/>
                <w:bottom w:val="none" w:sz="0" w:space="0" w:color="auto"/>
                <w:right w:val="none" w:sz="0" w:space="0" w:color="auto"/>
              </w:divBdr>
            </w:div>
            <w:div w:id="1173841601">
              <w:marLeft w:val="0"/>
              <w:marRight w:val="0"/>
              <w:marTop w:val="0"/>
              <w:marBottom w:val="0"/>
              <w:divBdr>
                <w:top w:val="none" w:sz="0" w:space="0" w:color="auto"/>
                <w:left w:val="none" w:sz="0" w:space="0" w:color="auto"/>
                <w:bottom w:val="none" w:sz="0" w:space="0" w:color="auto"/>
                <w:right w:val="none" w:sz="0" w:space="0" w:color="auto"/>
              </w:divBdr>
            </w:div>
            <w:div w:id="1667518171">
              <w:marLeft w:val="0"/>
              <w:marRight w:val="0"/>
              <w:marTop w:val="0"/>
              <w:marBottom w:val="0"/>
              <w:divBdr>
                <w:top w:val="none" w:sz="0" w:space="0" w:color="auto"/>
                <w:left w:val="none" w:sz="0" w:space="0" w:color="auto"/>
                <w:bottom w:val="none" w:sz="0" w:space="0" w:color="auto"/>
                <w:right w:val="none" w:sz="0" w:space="0" w:color="auto"/>
              </w:divBdr>
            </w:div>
          </w:divsChild>
        </w:div>
        <w:div w:id="451901685">
          <w:marLeft w:val="0"/>
          <w:marRight w:val="0"/>
          <w:marTop w:val="0"/>
          <w:marBottom w:val="0"/>
          <w:divBdr>
            <w:top w:val="none" w:sz="0" w:space="0" w:color="auto"/>
            <w:left w:val="none" w:sz="0" w:space="0" w:color="auto"/>
            <w:bottom w:val="none" w:sz="0" w:space="0" w:color="auto"/>
            <w:right w:val="none" w:sz="0" w:space="0" w:color="auto"/>
          </w:divBdr>
          <w:divsChild>
            <w:div w:id="1791586799">
              <w:marLeft w:val="0"/>
              <w:marRight w:val="0"/>
              <w:marTop w:val="0"/>
              <w:marBottom w:val="0"/>
              <w:divBdr>
                <w:top w:val="none" w:sz="0" w:space="0" w:color="auto"/>
                <w:left w:val="none" w:sz="0" w:space="0" w:color="auto"/>
                <w:bottom w:val="none" w:sz="0" w:space="0" w:color="auto"/>
                <w:right w:val="none" w:sz="0" w:space="0" w:color="auto"/>
              </w:divBdr>
            </w:div>
          </w:divsChild>
        </w:div>
        <w:div w:id="1013072174">
          <w:marLeft w:val="0"/>
          <w:marRight w:val="0"/>
          <w:marTop w:val="0"/>
          <w:marBottom w:val="0"/>
          <w:divBdr>
            <w:top w:val="none" w:sz="0" w:space="0" w:color="auto"/>
            <w:left w:val="none" w:sz="0" w:space="0" w:color="auto"/>
            <w:bottom w:val="none" w:sz="0" w:space="0" w:color="auto"/>
            <w:right w:val="none" w:sz="0" w:space="0" w:color="auto"/>
          </w:divBdr>
          <w:divsChild>
            <w:div w:id="270674365">
              <w:marLeft w:val="0"/>
              <w:marRight w:val="0"/>
              <w:marTop w:val="0"/>
              <w:marBottom w:val="0"/>
              <w:divBdr>
                <w:top w:val="none" w:sz="0" w:space="0" w:color="auto"/>
                <w:left w:val="none" w:sz="0" w:space="0" w:color="auto"/>
                <w:bottom w:val="none" w:sz="0" w:space="0" w:color="auto"/>
                <w:right w:val="none" w:sz="0" w:space="0" w:color="auto"/>
              </w:divBdr>
            </w:div>
            <w:div w:id="297221078">
              <w:marLeft w:val="0"/>
              <w:marRight w:val="0"/>
              <w:marTop w:val="0"/>
              <w:marBottom w:val="0"/>
              <w:divBdr>
                <w:top w:val="none" w:sz="0" w:space="0" w:color="auto"/>
                <w:left w:val="none" w:sz="0" w:space="0" w:color="auto"/>
                <w:bottom w:val="none" w:sz="0" w:space="0" w:color="auto"/>
                <w:right w:val="none" w:sz="0" w:space="0" w:color="auto"/>
              </w:divBdr>
            </w:div>
            <w:div w:id="550657188">
              <w:marLeft w:val="0"/>
              <w:marRight w:val="0"/>
              <w:marTop w:val="0"/>
              <w:marBottom w:val="0"/>
              <w:divBdr>
                <w:top w:val="none" w:sz="0" w:space="0" w:color="auto"/>
                <w:left w:val="none" w:sz="0" w:space="0" w:color="auto"/>
                <w:bottom w:val="none" w:sz="0" w:space="0" w:color="auto"/>
                <w:right w:val="none" w:sz="0" w:space="0" w:color="auto"/>
              </w:divBdr>
            </w:div>
            <w:div w:id="630744059">
              <w:marLeft w:val="0"/>
              <w:marRight w:val="0"/>
              <w:marTop w:val="0"/>
              <w:marBottom w:val="0"/>
              <w:divBdr>
                <w:top w:val="none" w:sz="0" w:space="0" w:color="auto"/>
                <w:left w:val="none" w:sz="0" w:space="0" w:color="auto"/>
                <w:bottom w:val="none" w:sz="0" w:space="0" w:color="auto"/>
                <w:right w:val="none" w:sz="0" w:space="0" w:color="auto"/>
              </w:divBdr>
            </w:div>
            <w:div w:id="1010448524">
              <w:marLeft w:val="0"/>
              <w:marRight w:val="0"/>
              <w:marTop w:val="0"/>
              <w:marBottom w:val="0"/>
              <w:divBdr>
                <w:top w:val="none" w:sz="0" w:space="0" w:color="auto"/>
                <w:left w:val="none" w:sz="0" w:space="0" w:color="auto"/>
                <w:bottom w:val="none" w:sz="0" w:space="0" w:color="auto"/>
                <w:right w:val="none" w:sz="0" w:space="0" w:color="auto"/>
              </w:divBdr>
            </w:div>
            <w:div w:id="1199975080">
              <w:marLeft w:val="0"/>
              <w:marRight w:val="0"/>
              <w:marTop w:val="0"/>
              <w:marBottom w:val="0"/>
              <w:divBdr>
                <w:top w:val="none" w:sz="0" w:space="0" w:color="auto"/>
                <w:left w:val="none" w:sz="0" w:space="0" w:color="auto"/>
                <w:bottom w:val="none" w:sz="0" w:space="0" w:color="auto"/>
                <w:right w:val="none" w:sz="0" w:space="0" w:color="auto"/>
              </w:divBdr>
            </w:div>
            <w:div w:id="1329140071">
              <w:marLeft w:val="0"/>
              <w:marRight w:val="0"/>
              <w:marTop w:val="0"/>
              <w:marBottom w:val="0"/>
              <w:divBdr>
                <w:top w:val="none" w:sz="0" w:space="0" w:color="auto"/>
                <w:left w:val="none" w:sz="0" w:space="0" w:color="auto"/>
                <w:bottom w:val="none" w:sz="0" w:space="0" w:color="auto"/>
                <w:right w:val="none" w:sz="0" w:space="0" w:color="auto"/>
              </w:divBdr>
            </w:div>
            <w:div w:id="1513378868">
              <w:marLeft w:val="0"/>
              <w:marRight w:val="0"/>
              <w:marTop w:val="0"/>
              <w:marBottom w:val="0"/>
              <w:divBdr>
                <w:top w:val="none" w:sz="0" w:space="0" w:color="auto"/>
                <w:left w:val="none" w:sz="0" w:space="0" w:color="auto"/>
                <w:bottom w:val="none" w:sz="0" w:space="0" w:color="auto"/>
                <w:right w:val="none" w:sz="0" w:space="0" w:color="auto"/>
              </w:divBdr>
            </w:div>
            <w:div w:id="1902591594">
              <w:marLeft w:val="0"/>
              <w:marRight w:val="0"/>
              <w:marTop w:val="0"/>
              <w:marBottom w:val="0"/>
              <w:divBdr>
                <w:top w:val="none" w:sz="0" w:space="0" w:color="auto"/>
                <w:left w:val="none" w:sz="0" w:space="0" w:color="auto"/>
                <w:bottom w:val="none" w:sz="0" w:space="0" w:color="auto"/>
                <w:right w:val="none" w:sz="0" w:space="0" w:color="auto"/>
              </w:divBdr>
            </w:div>
            <w:div w:id="1934052932">
              <w:marLeft w:val="0"/>
              <w:marRight w:val="0"/>
              <w:marTop w:val="0"/>
              <w:marBottom w:val="0"/>
              <w:divBdr>
                <w:top w:val="none" w:sz="0" w:space="0" w:color="auto"/>
                <w:left w:val="none" w:sz="0" w:space="0" w:color="auto"/>
                <w:bottom w:val="none" w:sz="0" w:space="0" w:color="auto"/>
                <w:right w:val="none" w:sz="0" w:space="0" w:color="auto"/>
              </w:divBdr>
            </w:div>
            <w:div w:id="2000688832">
              <w:marLeft w:val="0"/>
              <w:marRight w:val="0"/>
              <w:marTop w:val="0"/>
              <w:marBottom w:val="0"/>
              <w:divBdr>
                <w:top w:val="none" w:sz="0" w:space="0" w:color="auto"/>
                <w:left w:val="none" w:sz="0" w:space="0" w:color="auto"/>
                <w:bottom w:val="none" w:sz="0" w:space="0" w:color="auto"/>
                <w:right w:val="none" w:sz="0" w:space="0" w:color="auto"/>
              </w:divBdr>
            </w:div>
            <w:div w:id="2099520991">
              <w:marLeft w:val="0"/>
              <w:marRight w:val="0"/>
              <w:marTop w:val="0"/>
              <w:marBottom w:val="0"/>
              <w:divBdr>
                <w:top w:val="none" w:sz="0" w:space="0" w:color="auto"/>
                <w:left w:val="none" w:sz="0" w:space="0" w:color="auto"/>
                <w:bottom w:val="none" w:sz="0" w:space="0" w:color="auto"/>
                <w:right w:val="none" w:sz="0" w:space="0" w:color="auto"/>
              </w:divBdr>
            </w:div>
          </w:divsChild>
        </w:div>
        <w:div w:id="1028993979">
          <w:marLeft w:val="0"/>
          <w:marRight w:val="0"/>
          <w:marTop w:val="0"/>
          <w:marBottom w:val="0"/>
          <w:divBdr>
            <w:top w:val="none" w:sz="0" w:space="0" w:color="auto"/>
            <w:left w:val="none" w:sz="0" w:space="0" w:color="auto"/>
            <w:bottom w:val="none" w:sz="0" w:space="0" w:color="auto"/>
            <w:right w:val="none" w:sz="0" w:space="0" w:color="auto"/>
          </w:divBdr>
          <w:divsChild>
            <w:div w:id="237714454">
              <w:marLeft w:val="0"/>
              <w:marRight w:val="0"/>
              <w:marTop w:val="0"/>
              <w:marBottom w:val="0"/>
              <w:divBdr>
                <w:top w:val="none" w:sz="0" w:space="0" w:color="auto"/>
                <w:left w:val="none" w:sz="0" w:space="0" w:color="auto"/>
                <w:bottom w:val="none" w:sz="0" w:space="0" w:color="auto"/>
                <w:right w:val="none" w:sz="0" w:space="0" w:color="auto"/>
              </w:divBdr>
            </w:div>
          </w:divsChild>
        </w:div>
        <w:div w:id="1328708072">
          <w:marLeft w:val="0"/>
          <w:marRight w:val="0"/>
          <w:marTop w:val="0"/>
          <w:marBottom w:val="0"/>
          <w:divBdr>
            <w:top w:val="none" w:sz="0" w:space="0" w:color="auto"/>
            <w:left w:val="none" w:sz="0" w:space="0" w:color="auto"/>
            <w:bottom w:val="none" w:sz="0" w:space="0" w:color="auto"/>
            <w:right w:val="none" w:sz="0" w:space="0" w:color="auto"/>
          </w:divBdr>
          <w:divsChild>
            <w:div w:id="25375223">
              <w:marLeft w:val="0"/>
              <w:marRight w:val="0"/>
              <w:marTop w:val="0"/>
              <w:marBottom w:val="0"/>
              <w:divBdr>
                <w:top w:val="none" w:sz="0" w:space="0" w:color="auto"/>
                <w:left w:val="none" w:sz="0" w:space="0" w:color="auto"/>
                <w:bottom w:val="none" w:sz="0" w:space="0" w:color="auto"/>
                <w:right w:val="none" w:sz="0" w:space="0" w:color="auto"/>
              </w:divBdr>
            </w:div>
            <w:div w:id="187372750">
              <w:marLeft w:val="0"/>
              <w:marRight w:val="0"/>
              <w:marTop w:val="0"/>
              <w:marBottom w:val="0"/>
              <w:divBdr>
                <w:top w:val="none" w:sz="0" w:space="0" w:color="auto"/>
                <w:left w:val="none" w:sz="0" w:space="0" w:color="auto"/>
                <w:bottom w:val="none" w:sz="0" w:space="0" w:color="auto"/>
                <w:right w:val="none" w:sz="0" w:space="0" w:color="auto"/>
              </w:divBdr>
            </w:div>
            <w:div w:id="467014172">
              <w:marLeft w:val="0"/>
              <w:marRight w:val="0"/>
              <w:marTop w:val="0"/>
              <w:marBottom w:val="0"/>
              <w:divBdr>
                <w:top w:val="none" w:sz="0" w:space="0" w:color="auto"/>
                <w:left w:val="none" w:sz="0" w:space="0" w:color="auto"/>
                <w:bottom w:val="none" w:sz="0" w:space="0" w:color="auto"/>
                <w:right w:val="none" w:sz="0" w:space="0" w:color="auto"/>
              </w:divBdr>
            </w:div>
            <w:div w:id="472219470">
              <w:marLeft w:val="0"/>
              <w:marRight w:val="0"/>
              <w:marTop w:val="0"/>
              <w:marBottom w:val="0"/>
              <w:divBdr>
                <w:top w:val="none" w:sz="0" w:space="0" w:color="auto"/>
                <w:left w:val="none" w:sz="0" w:space="0" w:color="auto"/>
                <w:bottom w:val="none" w:sz="0" w:space="0" w:color="auto"/>
                <w:right w:val="none" w:sz="0" w:space="0" w:color="auto"/>
              </w:divBdr>
            </w:div>
            <w:div w:id="759833149">
              <w:marLeft w:val="0"/>
              <w:marRight w:val="0"/>
              <w:marTop w:val="0"/>
              <w:marBottom w:val="0"/>
              <w:divBdr>
                <w:top w:val="none" w:sz="0" w:space="0" w:color="auto"/>
                <w:left w:val="none" w:sz="0" w:space="0" w:color="auto"/>
                <w:bottom w:val="none" w:sz="0" w:space="0" w:color="auto"/>
                <w:right w:val="none" w:sz="0" w:space="0" w:color="auto"/>
              </w:divBdr>
            </w:div>
            <w:div w:id="974221414">
              <w:marLeft w:val="0"/>
              <w:marRight w:val="0"/>
              <w:marTop w:val="0"/>
              <w:marBottom w:val="0"/>
              <w:divBdr>
                <w:top w:val="none" w:sz="0" w:space="0" w:color="auto"/>
                <w:left w:val="none" w:sz="0" w:space="0" w:color="auto"/>
                <w:bottom w:val="none" w:sz="0" w:space="0" w:color="auto"/>
                <w:right w:val="none" w:sz="0" w:space="0" w:color="auto"/>
              </w:divBdr>
            </w:div>
            <w:div w:id="1584215634">
              <w:marLeft w:val="0"/>
              <w:marRight w:val="0"/>
              <w:marTop w:val="0"/>
              <w:marBottom w:val="0"/>
              <w:divBdr>
                <w:top w:val="none" w:sz="0" w:space="0" w:color="auto"/>
                <w:left w:val="none" w:sz="0" w:space="0" w:color="auto"/>
                <w:bottom w:val="none" w:sz="0" w:space="0" w:color="auto"/>
                <w:right w:val="none" w:sz="0" w:space="0" w:color="auto"/>
              </w:divBdr>
            </w:div>
            <w:div w:id="1918247824">
              <w:marLeft w:val="0"/>
              <w:marRight w:val="0"/>
              <w:marTop w:val="0"/>
              <w:marBottom w:val="0"/>
              <w:divBdr>
                <w:top w:val="none" w:sz="0" w:space="0" w:color="auto"/>
                <w:left w:val="none" w:sz="0" w:space="0" w:color="auto"/>
                <w:bottom w:val="none" w:sz="0" w:space="0" w:color="auto"/>
                <w:right w:val="none" w:sz="0" w:space="0" w:color="auto"/>
              </w:divBdr>
            </w:div>
            <w:div w:id="2060199101">
              <w:marLeft w:val="0"/>
              <w:marRight w:val="0"/>
              <w:marTop w:val="0"/>
              <w:marBottom w:val="0"/>
              <w:divBdr>
                <w:top w:val="none" w:sz="0" w:space="0" w:color="auto"/>
                <w:left w:val="none" w:sz="0" w:space="0" w:color="auto"/>
                <w:bottom w:val="none" w:sz="0" w:space="0" w:color="auto"/>
                <w:right w:val="none" w:sz="0" w:space="0" w:color="auto"/>
              </w:divBdr>
            </w:div>
          </w:divsChild>
        </w:div>
        <w:div w:id="1529441366">
          <w:marLeft w:val="0"/>
          <w:marRight w:val="0"/>
          <w:marTop w:val="0"/>
          <w:marBottom w:val="0"/>
          <w:divBdr>
            <w:top w:val="none" w:sz="0" w:space="0" w:color="auto"/>
            <w:left w:val="none" w:sz="0" w:space="0" w:color="auto"/>
            <w:bottom w:val="none" w:sz="0" w:space="0" w:color="auto"/>
            <w:right w:val="none" w:sz="0" w:space="0" w:color="auto"/>
          </w:divBdr>
          <w:divsChild>
            <w:div w:id="988630470">
              <w:marLeft w:val="0"/>
              <w:marRight w:val="0"/>
              <w:marTop w:val="0"/>
              <w:marBottom w:val="0"/>
              <w:divBdr>
                <w:top w:val="none" w:sz="0" w:space="0" w:color="auto"/>
                <w:left w:val="none" w:sz="0" w:space="0" w:color="auto"/>
                <w:bottom w:val="none" w:sz="0" w:space="0" w:color="auto"/>
                <w:right w:val="none" w:sz="0" w:space="0" w:color="auto"/>
              </w:divBdr>
            </w:div>
            <w:div w:id="1177580451">
              <w:marLeft w:val="0"/>
              <w:marRight w:val="0"/>
              <w:marTop w:val="0"/>
              <w:marBottom w:val="0"/>
              <w:divBdr>
                <w:top w:val="none" w:sz="0" w:space="0" w:color="auto"/>
                <w:left w:val="none" w:sz="0" w:space="0" w:color="auto"/>
                <w:bottom w:val="none" w:sz="0" w:space="0" w:color="auto"/>
                <w:right w:val="none" w:sz="0" w:space="0" w:color="auto"/>
              </w:divBdr>
            </w:div>
          </w:divsChild>
        </w:div>
        <w:div w:id="1689719384">
          <w:marLeft w:val="0"/>
          <w:marRight w:val="0"/>
          <w:marTop w:val="0"/>
          <w:marBottom w:val="0"/>
          <w:divBdr>
            <w:top w:val="none" w:sz="0" w:space="0" w:color="auto"/>
            <w:left w:val="none" w:sz="0" w:space="0" w:color="auto"/>
            <w:bottom w:val="none" w:sz="0" w:space="0" w:color="auto"/>
            <w:right w:val="none" w:sz="0" w:space="0" w:color="auto"/>
          </w:divBdr>
          <w:divsChild>
            <w:div w:id="558712983">
              <w:marLeft w:val="0"/>
              <w:marRight w:val="0"/>
              <w:marTop w:val="0"/>
              <w:marBottom w:val="0"/>
              <w:divBdr>
                <w:top w:val="none" w:sz="0" w:space="0" w:color="auto"/>
                <w:left w:val="none" w:sz="0" w:space="0" w:color="auto"/>
                <w:bottom w:val="none" w:sz="0" w:space="0" w:color="auto"/>
                <w:right w:val="none" w:sz="0" w:space="0" w:color="auto"/>
              </w:divBdr>
            </w:div>
            <w:div w:id="1461993219">
              <w:marLeft w:val="0"/>
              <w:marRight w:val="0"/>
              <w:marTop w:val="0"/>
              <w:marBottom w:val="0"/>
              <w:divBdr>
                <w:top w:val="none" w:sz="0" w:space="0" w:color="auto"/>
                <w:left w:val="none" w:sz="0" w:space="0" w:color="auto"/>
                <w:bottom w:val="none" w:sz="0" w:space="0" w:color="auto"/>
                <w:right w:val="none" w:sz="0" w:space="0" w:color="auto"/>
              </w:divBdr>
            </w:div>
          </w:divsChild>
        </w:div>
        <w:div w:id="1736393701">
          <w:marLeft w:val="0"/>
          <w:marRight w:val="0"/>
          <w:marTop w:val="0"/>
          <w:marBottom w:val="0"/>
          <w:divBdr>
            <w:top w:val="none" w:sz="0" w:space="0" w:color="auto"/>
            <w:left w:val="none" w:sz="0" w:space="0" w:color="auto"/>
            <w:bottom w:val="none" w:sz="0" w:space="0" w:color="auto"/>
            <w:right w:val="none" w:sz="0" w:space="0" w:color="auto"/>
          </w:divBdr>
          <w:divsChild>
            <w:div w:id="35206102">
              <w:marLeft w:val="0"/>
              <w:marRight w:val="0"/>
              <w:marTop w:val="0"/>
              <w:marBottom w:val="0"/>
              <w:divBdr>
                <w:top w:val="none" w:sz="0" w:space="0" w:color="auto"/>
                <w:left w:val="none" w:sz="0" w:space="0" w:color="auto"/>
                <w:bottom w:val="none" w:sz="0" w:space="0" w:color="auto"/>
                <w:right w:val="none" w:sz="0" w:space="0" w:color="auto"/>
              </w:divBdr>
            </w:div>
            <w:div w:id="224030387">
              <w:marLeft w:val="0"/>
              <w:marRight w:val="0"/>
              <w:marTop w:val="0"/>
              <w:marBottom w:val="0"/>
              <w:divBdr>
                <w:top w:val="none" w:sz="0" w:space="0" w:color="auto"/>
                <w:left w:val="none" w:sz="0" w:space="0" w:color="auto"/>
                <w:bottom w:val="none" w:sz="0" w:space="0" w:color="auto"/>
                <w:right w:val="none" w:sz="0" w:space="0" w:color="auto"/>
              </w:divBdr>
            </w:div>
            <w:div w:id="464203938">
              <w:marLeft w:val="0"/>
              <w:marRight w:val="0"/>
              <w:marTop w:val="0"/>
              <w:marBottom w:val="0"/>
              <w:divBdr>
                <w:top w:val="none" w:sz="0" w:space="0" w:color="auto"/>
                <w:left w:val="none" w:sz="0" w:space="0" w:color="auto"/>
                <w:bottom w:val="none" w:sz="0" w:space="0" w:color="auto"/>
                <w:right w:val="none" w:sz="0" w:space="0" w:color="auto"/>
              </w:divBdr>
            </w:div>
            <w:div w:id="484010923">
              <w:marLeft w:val="0"/>
              <w:marRight w:val="0"/>
              <w:marTop w:val="0"/>
              <w:marBottom w:val="0"/>
              <w:divBdr>
                <w:top w:val="none" w:sz="0" w:space="0" w:color="auto"/>
                <w:left w:val="none" w:sz="0" w:space="0" w:color="auto"/>
                <w:bottom w:val="none" w:sz="0" w:space="0" w:color="auto"/>
                <w:right w:val="none" w:sz="0" w:space="0" w:color="auto"/>
              </w:divBdr>
            </w:div>
            <w:div w:id="562982227">
              <w:marLeft w:val="0"/>
              <w:marRight w:val="0"/>
              <w:marTop w:val="0"/>
              <w:marBottom w:val="0"/>
              <w:divBdr>
                <w:top w:val="none" w:sz="0" w:space="0" w:color="auto"/>
                <w:left w:val="none" w:sz="0" w:space="0" w:color="auto"/>
                <w:bottom w:val="none" w:sz="0" w:space="0" w:color="auto"/>
                <w:right w:val="none" w:sz="0" w:space="0" w:color="auto"/>
              </w:divBdr>
            </w:div>
            <w:div w:id="601915343">
              <w:marLeft w:val="0"/>
              <w:marRight w:val="0"/>
              <w:marTop w:val="0"/>
              <w:marBottom w:val="0"/>
              <w:divBdr>
                <w:top w:val="none" w:sz="0" w:space="0" w:color="auto"/>
                <w:left w:val="none" w:sz="0" w:space="0" w:color="auto"/>
                <w:bottom w:val="none" w:sz="0" w:space="0" w:color="auto"/>
                <w:right w:val="none" w:sz="0" w:space="0" w:color="auto"/>
              </w:divBdr>
            </w:div>
            <w:div w:id="962032625">
              <w:marLeft w:val="0"/>
              <w:marRight w:val="0"/>
              <w:marTop w:val="0"/>
              <w:marBottom w:val="0"/>
              <w:divBdr>
                <w:top w:val="none" w:sz="0" w:space="0" w:color="auto"/>
                <w:left w:val="none" w:sz="0" w:space="0" w:color="auto"/>
                <w:bottom w:val="none" w:sz="0" w:space="0" w:color="auto"/>
                <w:right w:val="none" w:sz="0" w:space="0" w:color="auto"/>
              </w:divBdr>
            </w:div>
            <w:div w:id="1048535344">
              <w:marLeft w:val="0"/>
              <w:marRight w:val="0"/>
              <w:marTop w:val="0"/>
              <w:marBottom w:val="0"/>
              <w:divBdr>
                <w:top w:val="none" w:sz="0" w:space="0" w:color="auto"/>
                <w:left w:val="none" w:sz="0" w:space="0" w:color="auto"/>
                <w:bottom w:val="none" w:sz="0" w:space="0" w:color="auto"/>
                <w:right w:val="none" w:sz="0" w:space="0" w:color="auto"/>
              </w:divBdr>
            </w:div>
            <w:div w:id="1120799878">
              <w:marLeft w:val="0"/>
              <w:marRight w:val="0"/>
              <w:marTop w:val="0"/>
              <w:marBottom w:val="0"/>
              <w:divBdr>
                <w:top w:val="none" w:sz="0" w:space="0" w:color="auto"/>
                <w:left w:val="none" w:sz="0" w:space="0" w:color="auto"/>
                <w:bottom w:val="none" w:sz="0" w:space="0" w:color="auto"/>
                <w:right w:val="none" w:sz="0" w:space="0" w:color="auto"/>
              </w:divBdr>
            </w:div>
            <w:div w:id="1613854839">
              <w:marLeft w:val="0"/>
              <w:marRight w:val="0"/>
              <w:marTop w:val="0"/>
              <w:marBottom w:val="0"/>
              <w:divBdr>
                <w:top w:val="none" w:sz="0" w:space="0" w:color="auto"/>
                <w:left w:val="none" w:sz="0" w:space="0" w:color="auto"/>
                <w:bottom w:val="none" w:sz="0" w:space="0" w:color="auto"/>
                <w:right w:val="none" w:sz="0" w:space="0" w:color="auto"/>
              </w:divBdr>
            </w:div>
            <w:div w:id="2087651976">
              <w:marLeft w:val="0"/>
              <w:marRight w:val="0"/>
              <w:marTop w:val="0"/>
              <w:marBottom w:val="0"/>
              <w:divBdr>
                <w:top w:val="none" w:sz="0" w:space="0" w:color="auto"/>
                <w:left w:val="none" w:sz="0" w:space="0" w:color="auto"/>
                <w:bottom w:val="none" w:sz="0" w:space="0" w:color="auto"/>
                <w:right w:val="none" w:sz="0" w:space="0" w:color="auto"/>
              </w:divBdr>
            </w:div>
          </w:divsChild>
        </w:div>
        <w:div w:id="1991976578">
          <w:marLeft w:val="0"/>
          <w:marRight w:val="0"/>
          <w:marTop w:val="0"/>
          <w:marBottom w:val="0"/>
          <w:divBdr>
            <w:top w:val="none" w:sz="0" w:space="0" w:color="auto"/>
            <w:left w:val="none" w:sz="0" w:space="0" w:color="auto"/>
            <w:bottom w:val="none" w:sz="0" w:space="0" w:color="auto"/>
            <w:right w:val="none" w:sz="0" w:space="0" w:color="auto"/>
          </w:divBdr>
          <w:divsChild>
            <w:div w:id="110634920">
              <w:marLeft w:val="0"/>
              <w:marRight w:val="0"/>
              <w:marTop w:val="0"/>
              <w:marBottom w:val="0"/>
              <w:divBdr>
                <w:top w:val="none" w:sz="0" w:space="0" w:color="auto"/>
                <w:left w:val="none" w:sz="0" w:space="0" w:color="auto"/>
                <w:bottom w:val="none" w:sz="0" w:space="0" w:color="auto"/>
                <w:right w:val="none" w:sz="0" w:space="0" w:color="auto"/>
              </w:divBdr>
            </w:div>
            <w:div w:id="476193136">
              <w:marLeft w:val="0"/>
              <w:marRight w:val="0"/>
              <w:marTop w:val="0"/>
              <w:marBottom w:val="0"/>
              <w:divBdr>
                <w:top w:val="none" w:sz="0" w:space="0" w:color="auto"/>
                <w:left w:val="none" w:sz="0" w:space="0" w:color="auto"/>
                <w:bottom w:val="none" w:sz="0" w:space="0" w:color="auto"/>
                <w:right w:val="none" w:sz="0" w:space="0" w:color="auto"/>
              </w:divBdr>
            </w:div>
            <w:div w:id="584538148">
              <w:marLeft w:val="0"/>
              <w:marRight w:val="0"/>
              <w:marTop w:val="0"/>
              <w:marBottom w:val="0"/>
              <w:divBdr>
                <w:top w:val="none" w:sz="0" w:space="0" w:color="auto"/>
                <w:left w:val="none" w:sz="0" w:space="0" w:color="auto"/>
                <w:bottom w:val="none" w:sz="0" w:space="0" w:color="auto"/>
                <w:right w:val="none" w:sz="0" w:space="0" w:color="auto"/>
              </w:divBdr>
            </w:div>
            <w:div w:id="652105389">
              <w:marLeft w:val="0"/>
              <w:marRight w:val="0"/>
              <w:marTop w:val="0"/>
              <w:marBottom w:val="0"/>
              <w:divBdr>
                <w:top w:val="none" w:sz="0" w:space="0" w:color="auto"/>
                <w:left w:val="none" w:sz="0" w:space="0" w:color="auto"/>
                <w:bottom w:val="none" w:sz="0" w:space="0" w:color="auto"/>
                <w:right w:val="none" w:sz="0" w:space="0" w:color="auto"/>
              </w:divBdr>
            </w:div>
            <w:div w:id="782309846">
              <w:marLeft w:val="0"/>
              <w:marRight w:val="0"/>
              <w:marTop w:val="0"/>
              <w:marBottom w:val="0"/>
              <w:divBdr>
                <w:top w:val="none" w:sz="0" w:space="0" w:color="auto"/>
                <w:left w:val="none" w:sz="0" w:space="0" w:color="auto"/>
                <w:bottom w:val="none" w:sz="0" w:space="0" w:color="auto"/>
                <w:right w:val="none" w:sz="0" w:space="0" w:color="auto"/>
              </w:divBdr>
            </w:div>
            <w:div w:id="987828629">
              <w:marLeft w:val="0"/>
              <w:marRight w:val="0"/>
              <w:marTop w:val="0"/>
              <w:marBottom w:val="0"/>
              <w:divBdr>
                <w:top w:val="none" w:sz="0" w:space="0" w:color="auto"/>
                <w:left w:val="none" w:sz="0" w:space="0" w:color="auto"/>
                <w:bottom w:val="none" w:sz="0" w:space="0" w:color="auto"/>
                <w:right w:val="none" w:sz="0" w:space="0" w:color="auto"/>
              </w:divBdr>
            </w:div>
            <w:div w:id="1043559822">
              <w:marLeft w:val="0"/>
              <w:marRight w:val="0"/>
              <w:marTop w:val="0"/>
              <w:marBottom w:val="0"/>
              <w:divBdr>
                <w:top w:val="none" w:sz="0" w:space="0" w:color="auto"/>
                <w:left w:val="none" w:sz="0" w:space="0" w:color="auto"/>
                <w:bottom w:val="none" w:sz="0" w:space="0" w:color="auto"/>
                <w:right w:val="none" w:sz="0" w:space="0" w:color="auto"/>
              </w:divBdr>
            </w:div>
            <w:div w:id="1136291753">
              <w:marLeft w:val="0"/>
              <w:marRight w:val="0"/>
              <w:marTop w:val="0"/>
              <w:marBottom w:val="0"/>
              <w:divBdr>
                <w:top w:val="none" w:sz="0" w:space="0" w:color="auto"/>
                <w:left w:val="none" w:sz="0" w:space="0" w:color="auto"/>
                <w:bottom w:val="none" w:sz="0" w:space="0" w:color="auto"/>
                <w:right w:val="none" w:sz="0" w:space="0" w:color="auto"/>
              </w:divBdr>
            </w:div>
            <w:div w:id="1145512895">
              <w:marLeft w:val="0"/>
              <w:marRight w:val="0"/>
              <w:marTop w:val="0"/>
              <w:marBottom w:val="0"/>
              <w:divBdr>
                <w:top w:val="none" w:sz="0" w:space="0" w:color="auto"/>
                <w:left w:val="none" w:sz="0" w:space="0" w:color="auto"/>
                <w:bottom w:val="none" w:sz="0" w:space="0" w:color="auto"/>
                <w:right w:val="none" w:sz="0" w:space="0" w:color="auto"/>
              </w:divBdr>
            </w:div>
            <w:div w:id="1216040619">
              <w:marLeft w:val="0"/>
              <w:marRight w:val="0"/>
              <w:marTop w:val="0"/>
              <w:marBottom w:val="0"/>
              <w:divBdr>
                <w:top w:val="none" w:sz="0" w:space="0" w:color="auto"/>
                <w:left w:val="none" w:sz="0" w:space="0" w:color="auto"/>
                <w:bottom w:val="none" w:sz="0" w:space="0" w:color="auto"/>
                <w:right w:val="none" w:sz="0" w:space="0" w:color="auto"/>
              </w:divBdr>
            </w:div>
            <w:div w:id="1373266635">
              <w:marLeft w:val="0"/>
              <w:marRight w:val="0"/>
              <w:marTop w:val="0"/>
              <w:marBottom w:val="0"/>
              <w:divBdr>
                <w:top w:val="none" w:sz="0" w:space="0" w:color="auto"/>
                <w:left w:val="none" w:sz="0" w:space="0" w:color="auto"/>
                <w:bottom w:val="none" w:sz="0" w:space="0" w:color="auto"/>
                <w:right w:val="none" w:sz="0" w:space="0" w:color="auto"/>
              </w:divBdr>
            </w:div>
            <w:div w:id="1496341194">
              <w:marLeft w:val="0"/>
              <w:marRight w:val="0"/>
              <w:marTop w:val="0"/>
              <w:marBottom w:val="0"/>
              <w:divBdr>
                <w:top w:val="none" w:sz="0" w:space="0" w:color="auto"/>
                <w:left w:val="none" w:sz="0" w:space="0" w:color="auto"/>
                <w:bottom w:val="none" w:sz="0" w:space="0" w:color="auto"/>
                <w:right w:val="none" w:sz="0" w:space="0" w:color="auto"/>
              </w:divBdr>
            </w:div>
            <w:div w:id="1512180412">
              <w:marLeft w:val="0"/>
              <w:marRight w:val="0"/>
              <w:marTop w:val="0"/>
              <w:marBottom w:val="0"/>
              <w:divBdr>
                <w:top w:val="none" w:sz="0" w:space="0" w:color="auto"/>
                <w:left w:val="none" w:sz="0" w:space="0" w:color="auto"/>
                <w:bottom w:val="none" w:sz="0" w:space="0" w:color="auto"/>
                <w:right w:val="none" w:sz="0" w:space="0" w:color="auto"/>
              </w:divBdr>
            </w:div>
            <w:div w:id="1662344033">
              <w:marLeft w:val="0"/>
              <w:marRight w:val="0"/>
              <w:marTop w:val="0"/>
              <w:marBottom w:val="0"/>
              <w:divBdr>
                <w:top w:val="none" w:sz="0" w:space="0" w:color="auto"/>
                <w:left w:val="none" w:sz="0" w:space="0" w:color="auto"/>
                <w:bottom w:val="none" w:sz="0" w:space="0" w:color="auto"/>
                <w:right w:val="none" w:sz="0" w:space="0" w:color="auto"/>
              </w:divBdr>
            </w:div>
            <w:div w:id="1835099635">
              <w:marLeft w:val="0"/>
              <w:marRight w:val="0"/>
              <w:marTop w:val="0"/>
              <w:marBottom w:val="0"/>
              <w:divBdr>
                <w:top w:val="none" w:sz="0" w:space="0" w:color="auto"/>
                <w:left w:val="none" w:sz="0" w:space="0" w:color="auto"/>
                <w:bottom w:val="none" w:sz="0" w:space="0" w:color="auto"/>
                <w:right w:val="none" w:sz="0" w:space="0" w:color="auto"/>
              </w:divBdr>
            </w:div>
            <w:div w:id="1912538796">
              <w:marLeft w:val="0"/>
              <w:marRight w:val="0"/>
              <w:marTop w:val="0"/>
              <w:marBottom w:val="0"/>
              <w:divBdr>
                <w:top w:val="none" w:sz="0" w:space="0" w:color="auto"/>
                <w:left w:val="none" w:sz="0" w:space="0" w:color="auto"/>
                <w:bottom w:val="none" w:sz="0" w:space="0" w:color="auto"/>
                <w:right w:val="none" w:sz="0" w:space="0" w:color="auto"/>
              </w:divBdr>
            </w:div>
            <w:div w:id="2041322474">
              <w:marLeft w:val="0"/>
              <w:marRight w:val="0"/>
              <w:marTop w:val="0"/>
              <w:marBottom w:val="0"/>
              <w:divBdr>
                <w:top w:val="none" w:sz="0" w:space="0" w:color="auto"/>
                <w:left w:val="none" w:sz="0" w:space="0" w:color="auto"/>
                <w:bottom w:val="none" w:sz="0" w:space="0" w:color="auto"/>
                <w:right w:val="none" w:sz="0" w:space="0" w:color="auto"/>
              </w:divBdr>
            </w:div>
          </w:divsChild>
        </w:div>
        <w:div w:id="2024743620">
          <w:marLeft w:val="0"/>
          <w:marRight w:val="0"/>
          <w:marTop w:val="0"/>
          <w:marBottom w:val="0"/>
          <w:divBdr>
            <w:top w:val="none" w:sz="0" w:space="0" w:color="auto"/>
            <w:left w:val="none" w:sz="0" w:space="0" w:color="auto"/>
            <w:bottom w:val="none" w:sz="0" w:space="0" w:color="auto"/>
            <w:right w:val="none" w:sz="0" w:space="0" w:color="auto"/>
          </w:divBdr>
          <w:divsChild>
            <w:div w:id="1442067379">
              <w:marLeft w:val="0"/>
              <w:marRight w:val="0"/>
              <w:marTop w:val="0"/>
              <w:marBottom w:val="0"/>
              <w:divBdr>
                <w:top w:val="none" w:sz="0" w:space="0" w:color="auto"/>
                <w:left w:val="none" w:sz="0" w:space="0" w:color="auto"/>
                <w:bottom w:val="none" w:sz="0" w:space="0" w:color="auto"/>
                <w:right w:val="none" w:sz="0" w:space="0" w:color="auto"/>
              </w:divBdr>
            </w:div>
            <w:div w:id="153407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467691">
      <w:bodyDiv w:val="1"/>
      <w:marLeft w:val="0"/>
      <w:marRight w:val="0"/>
      <w:marTop w:val="0"/>
      <w:marBottom w:val="0"/>
      <w:divBdr>
        <w:top w:val="none" w:sz="0" w:space="0" w:color="auto"/>
        <w:left w:val="none" w:sz="0" w:space="0" w:color="auto"/>
        <w:bottom w:val="none" w:sz="0" w:space="0" w:color="auto"/>
        <w:right w:val="none" w:sz="0" w:space="0" w:color="auto"/>
      </w:divBdr>
      <w:divsChild>
        <w:div w:id="409497982">
          <w:marLeft w:val="0"/>
          <w:marRight w:val="0"/>
          <w:marTop w:val="0"/>
          <w:marBottom w:val="0"/>
          <w:divBdr>
            <w:top w:val="none" w:sz="0" w:space="0" w:color="auto"/>
            <w:left w:val="none" w:sz="0" w:space="0" w:color="auto"/>
            <w:bottom w:val="none" w:sz="0" w:space="0" w:color="auto"/>
            <w:right w:val="none" w:sz="0" w:space="0" w:color="auto"/>
          </w:divBdr>
          <w:divsChild>
            <w:div w:id="1909727919">
              <w:marLeft w:val="0"/>
              <w:marRight w:val="0"/>
              <w:marTop w:val="0"/>
              <w:marBottom w:val="0"/>
              <w:divBdr>
                <w:top w:val="none" w:sz="0" w:space="0" w:color="auto"/>
                <w:left w:val="single" w:sz="36" w:space="0" w:color="FFFFFF"/>
                <w:bottom w:val="none" w:sz="0" w:space="0" w:color="auto"/>
                <w:right w:val="single" w:sz="36" w:space="0" w:color="FFFFFF"/>
              </w:divBdr>
              <w:divsChild>
                <w:div w:id="1961574010">
                  <w:marLeft w:val="0"/>
                  <w:marRight w:val="0"/>
                  <w:marTop w:val="0"/>
                  <w:marBottom w:val="0"/>
                  <w:divBdr>
                    <w:top w:val="none" w:sz="0" w:space="0" w:color="auto"/>
                    <w:left w:val="none" w:sz="0" w:space="0" w:color="auto"/>
                    <w:bottom w:val="none" w:sz="0" w:space="0" w:color="auto"/>
                    <w:right w:val="none" w:sz="0" w:space="0" w:color="auto"/>
                  </w:divBdr>
                  <w:divsChild>
                    <w:div w:id="1509830309">
                      <w:marLeft w:val="0"/>
                      <w:marRight w:val="0"/>
                      <w:marTop w:val="0"/>
                      <w:marBottom w:val="0"/>
                      <w:divBdr>
                        <w:top w:val="none" w:sz="0" w:space="0" w:color="auto"/>
                        <w:left w:val="none" w:sz="0" w:space="0" w:color="auto"/>
                        <w:bottom w:val="none" w:sz="0" w:space="0" w:color="auto"/>
                        <w:right w:val="none" w:sz="0" w:space="0" w:color="auto"/>
                      </w:divBdr>
                      <w:divsChild>
                        <w:div w:id="632711394">
                          <w:marLeft w:val="0"/>
                          <w:marRight w:val="0"/>
                          <w:marTop w:val="150"/>
                          <w:marBottom w:val="150"/>
                          <w:divBdr>
                            <w:top w:val="single" w:sz="6" w:space="8" w:color="4498E7"/>
                            <w:left w:val="single" w:sz="6" w:space="8" w:color="4498E7"/>
                            <w:bottom w:val="single" w:sz="6" w:space="8" w:color="2C78BE"/>
                            <w:right w:val="single" w:sz="6" w:space="8" w:color="2C78BE"/>
                          </w:divBdr>
                          <w:divsChild>
                            <w:div w:id="1948193280">
                              <w:marLeft w:val="0"/>
                              <w:marRight w:val="0"/>
                              <w:marTop w:val="0"/>
                              <w:marBottom w:val="0"/>
                              <w:divBdr>
                                <w:top w:val="none" w:sz="0" w:space="0" w:color="auto"/>
                                <w:left w:val="none" w:sz="0" w:space="0" w:color="auto"/>
                                <w:bottom w:val="none" w:sz="0" w:space="0" w:color="auto"/>
                                <w:right w:val="none" w:sz="0" w:space="0" w:color="auto"/>
                              </w:divBdr>
                              <w:divsChild>
                                <w:div w:id="1595433093">
                                  <w:marLeft w:val="0"/>
                                  <w:marRight w:val="0"/>
                                  <w:marTop w:val="0"/>
                                  <w:marBottom w:val="0"/>
                                  <w:divBdr>
                                    <w:top w:val="none" w:sz="0" w:space="0" w:color="auto"/>
                                    <w:left w:val="none" w:sz="0" w:space="0" w:color="auto"/>
                                    <w:bottom w:val="none" w:sz="0" w:space="0" w:color="auto"/>
                                    <w:right w:val="none" w:sz="0" w:space="0" w:color="auto"/>
                                  </w:divBdr>
                                  <w:divsChild>
                                    <w:div w:id="1695643288">
                                      <w:marLeft w:val="0"/>
                                      <w:marRight w:val="0"/>
                                      <w:marTop w:val="0"/>
                                      <w:marBottom w:val="0"/>
                                      <w:divBdr>
                                        <w:top w:val="none" w:sz="0" w:space="0" w:color="auto"/>
                                        <w:left w:val="none" w:sz="0" w:space="0" w:color="auto"/>
                                        <w:bottom w:val="single" w:sz="6" w:space="0" w:color="9AA7B9"/>
                                        <w:right w:val="none" w:sz="0" w:space="0" w:color="auto"/>
                                      </w:divBdr>
                                      <w:divsChild>
                                        <w:div w:id="1726636208">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0788123">
      <w:bodyDiv w:val="1"/>
      <w:marLeft w:val="0"/>
      <w:marRight w:val="0"/>
      <w:marTop w:val="0"/>
      <w:marBottom w:val="0"/>
      <w:divBdr>
        <w:top w:val="none" w:sz="0" w:space="0" w:color="auto"/>
        <w:left w:val="none" w:sz="0" w:space="0" w:color="auto"/>
        <w:bottom w:val="none" w:sz="0" w:space="0" w:color="auto"/>
        <w:right w:val="none" w:sz="0" w:space="0" w:color="auto"/>
      </w:divBdr>
      <w:divsChild>
        <w:div w:id="109593223">
          <w:marLeft w:val="0"/>
          <w:marRight w:val="0"/>
          <w:marTop w:val="0"/>
          <w:marBottom w:val="0"/>
          <w:divBdr>
            <w:top w:val="none" w:sz="0" w:space="0" w:color="auto"/>
            <w:left w:val="none" w:sz="0" w:space="0" w:color="auto"/>
            <w:bottom w:val="none" w:sz="0" w:space="0" w:color="auto"/>
            <w:right w:val="none" w:sz="0" w:space="0" w:color="auto"/>
          </w:divBdr>
          <w:divsChild>
            <w:div w:id="1410956377">
              <w:marLeft w:val="0"/>
              <w:marRight w:val="0"/>
              <w:marTop w:val="0"/>
              <w:marBottom w:val="0"/>
              <w:divBdr>
                <w:top w:val="none" w:sz="0" w:space="0" w:color="auto"/>
                <w:left w:val="none" w:sz="0" w:space="0" w:color="auto"/>
                <w:bottom w:val="none" w:sz="0" w:space="0" w:color="auto"/>
                <w:right w:val="none" w:sz="0" w:space="0" w:color="auto"/>
              </w:divBdr>
            </w:div>
          </w:divsChild>
        </w:div>
        <w:div w:id="376316768">
          <w:marLeft w:val="0"/>
          <w:marRight w:val="0"/>
          <w:marTop w:val="0"/>
          <w:marBottom w:val="0"/>
          <w:divBdr>
            <w:top w:val="none" w:sz="0" w:space="0" w:color="auto"/>
            <w:left w:val="none" w:sz="0" w:space="0" w:color="auto"/>
            <w:bottom w:val="none" w:sz="0" w:space="0" w:color="auto"/>
            <w:right w:val="none" w:sz="0" w:space="0" w:color="auto"/>
          </w:divBdr>
          <w:divsChild>
            <w:div w:id="993603257">
              <w:marLeft w:val="0"/>
              <w:marRight w:val="0"/>
              <w:marTop w:val="0"/>
              <w:marBottom w:val="0"/>
              <w:divBdr>
                <w:top w:val="none" w:sz="0" w:space="0" w:color="auto"/>
                <w:left w:val="none" w:sz="0" w:space="0" w:color="auto"/>
                <w:bottom w:val="none" w:sz="0" w:space="0" w:color="auto"/>
                <w:right w:val="none" w:sz="0" w:space="0" w:color="auto"/>
              </w:divBdr>
            </w:div>
          </w:divsChild>
        </w:div>
        <w:div w:id="515115602">
          <w:marLeft w:val="0"/>
          <w:marRight w:val="0"/>
          <w:marTop w:val="0"/>
          <w:marBottom w:val="0"/>
          <w:divBdr>
            <w:top w:val="none" w:sz="0" w:space="0" w:color="auto"/>
            <w:left w:val="none" w:sz="0" w:space="0" w:color="auto"/>
            <w:bottom w:val="none" w:sz="0" w:space="0" w:color="auto"/>
            <w:right w:val="none" w:sz="0" w:space="0" w:color="auto"/>
          </w:divBdr>
          <w:divsChild>
            <w:div w:id="274597699">
              <w:marLeft w:val="0"/>
              <w:marRight w:val="0"/>
              <w:marTop w:val="0"/>
              <w:marBottom w:val="0"/>
              <w:divBdr>
                <w:top w:val="none" w:sz="0" w:space="0" w:color="auto"/>
                <w:left w:val="none" w:sz="0" w:space="0" w:color="auto"/>
                <w:bottom w:val="none" w:sz="0" w:space="0" w:color="auto"/>
                <w:right w:val="none" w:sz="0" w:space="0" w:color="auto"/>
              </w:divBdr>
            </w:div>
          </w:divsChild>
        </w:div>
        <w:div w:id="679695681">
          <w:marLeft w:val="0"/>
          <w:marRight w:val="0"/>
          <w:marTop w:val="0"/>
          <w:marBottom w:val="0"/>
          <w:divBdr>
            <w:top w:val="none" w:sz="0" w:space="0" w:color="auto"/>
            <w:left w:val="none" w:sz="0" w:space="0" w:color="auto"/>
            <w:bottom w:val="none" w:sz="0" w:space="0" w:color="auto"/>
            <w:right w:val="none" w:sz="0" w:space="0" w:color="auto"/>
          </w:divBdr>
          <w:divsChild>
            <w:div w:id="1992058181">
              <w:marLeft w:val="0"/>
              <w:marRight w:val="0"/>
              <w:marTop w:val="0"/>
              <w:marBottom w:val="0"/>
              <w:divBdr>
                <w:top w:val="none" w:sz="0" w:space="0" w:color="auto"/>
                <w:left w:val="none" w:sz="0" w:space="0" w:color="auto"/>
                <w:bottom w:val="none" w:sz="0" w:space="0" w:color="auto"/>
                <w:right w:val="none" w:sz="0" w:space="0" w:color="auto"/>
              </w:divBdr>
            </w:div>
          </w:divsChild>
        </w:div>
        <w:div w:id="813568200">
          <w:marLeft w:val="0"/>
          <w:marRight w:val="0"/>
          <w:marTop w:val="0"/>
          <w:marBottom w:val="0"/>
          <w:divBdr>
            <w:top w:val="none" w:sz="0" w:space="0" w:color="auto"/>
            <w:left w:val="none" w:sz="0" w:space="0" w:color="auto"/>
            <w:bottom w:val="none" w:sz="0" w:space="0" w:color="auto"/>
            <w:right w:val="none" w:sz="0" w:space="0" w:color="auto"/>
          </w:divBdr>
          <w:divsChild>
            <w:div w:id="1512380179">
              <w:marLeft w:val="0"/>
              <w:marRight w:val="0"/>
              <w:marTop w:val="0"/>
              <w:marBottom w:val="0"/>
              <w:divBdr>
                <w:top w:val="none" w:sz="0" w:space="0" w:color="auto"/>
                <w:left w:val="none" w:sz="0" w:space="0" w:color="auto"/>
                <w:bottom w:val="none" w:sz="0" w:space="0" w:color="auto"/>
                <w:right w:val="none" w:sz="0" w:space="0" w:color="auto"/>
              </w:divBdr>
            </w:div>
          </w:divsChild>
        </w:div>
        <w:div w:id="951135139">
          <w:marLeft w:val="0"/>
          <w:marRight w:val="0"/>
          <w:marTop w:val="0"/>
          <w:marBottom w:val="0"/>
          <w:divBdr>
            <w:top w:val="none" w:sz="0" w:space="0" w:color="auto"/>
            <w:left w:val="none" w:sz="0" w:space="0" w:color="auto"/>
            <w:bottom w:val="none" w:sz="0" w:space="0" w:color="auto"/>
            <w:right w:val="none" w:sz="0" w:space="0" w:color="auto"/>
          </w:divBdr>
          <w:divsChild>
            <w:div w:id="125244389">
              <w:marLeft w:val="0"/>
              <w:marRight w:val="0"/>
              <w:marTop w:val="0"/>
              <w:marBottom w:val="0"/>
              <w:divBdr>
                <w:top w:val="none" w:sz="0" w:space="0" w:color="auto"/>
                <w:left w:val="none" w:sz="0" w:space="0" w:color="auto"/>
                <w:bottom w:val="none" w:sz="0" w:space="0" w:color="auto"/>
                <w:right w:val="none" w:sz="0" w:space="0" w:color="auto"/>
              </w:divBdr>
            </w:div>
          </w:divsChild>
        </w:div>
        <w:div w:id="1160922172">
          <w:marLeft w:val="0"/>
          <w:marRight w:val="0"/>
          <w:marTop w:val="0"/>
          <w:marBottom w:val="0"/>
          <w:divBdr>
            <w:top w:val="none" w:sz="0" w:space="0" w:color="auto"/>
            <w:left w:val="none" w:sz="0" w:space="0" w:color="auto"/>
            <w:bottom w:val="none" w:sz="0" w:space="0" w:color="auto"/>
            <w:right w:val="none" w:sz="0" w:space="0" w:color="auto"/>
          </w:divBdr>
          <w:divsChild>
            <w:div w:id="977614356">
              <w:marLeft w:val="0"/>
              <w:marRight w:val="0"/>
              <w:marTop w:val="0"/>
              <w:marBottom w:val="0"/>
              <w:divBdr>
                <w:top w:val="none" w:sz="0" w:space="0" w:color="auto"/>
                <w:left w:val="none" w:sz="0" w:space="0" w:color="auto"/>
                <w:bottom w:val="none" w:sz="0" w:space="0" w:color="auto"/>
                <w:right w:val="none" w:sz="0" w:space="0" w:color="auto"/>
              </w:divBdr>
            </w:div>
          </w:divsChild>
        </w:div>
        <w:div w:id="1176071848">
          <w:marLeft w:val="0"/>
          <w:marRight w:val="0"/>
          <w:marTop w:val="0"/>
          <w:marBottom w:val="0"/>
          <w:divBdr>
            <w:top w:val="none" w:sz="0" w:space="0" w:color="auto"/>
            <w:left w:val="none" w:sz="0" w:space="0" w:color="auto"/>
            <w:bottom w:val="none" w:sz="0" w:space="0" w:color="auto"/>
            <w:right w:val="none" w:sz="0" w:space="0" w:color="auto"/>
          </w:divBdr>
          <w:divsChild>
            <w:div w:id="1262951034">
              <w:marLeft w:val="0"/>
              <w:marRight w:val="0"/>
              <w:marTop w:val="0"/>
              <w:marBottom w:val="0"/>
              <w:divBdr>
                <w:top w:val="none" w:sz="0" w:space="0" w:color="auto"/>
                <w:left w:val="none" w:sz="0" w:space="0" w:color="auto"/>
                <w:bottom w:val="none" w:sz="0" w:space="0" w:color="auto"/>
                <w:right w:val="none" w:sz="0" w:space="0" w:color="auto"/>
              </w:divBdr>
            </w:div>
          </w:divsChild>
        </w:div>
        <w:div w:id="1315142542">
          <w:marLeft w:val="0"/>
          <w:marRight w:val="0"/>
          <w:marTop w:val="0"/>
          <w:marBottom w:val="0"/>
          <w:divBdr>
            <w:top w:val="none" w:sz="0" w:space="0" w:color="auto"/>
            <w:left w:val="none" w:sz="0" w:space="0" w:color="auto"/>
            <w:bottom w:val="none" w:sz="0" w:space="0" w:color="auto"/>
            <w:right w:val="none" w:sz="0" w:space="0" w:color="auto"/>
          </w:divBdr>
          <w:divsChild>
            <w:div w:id="1306544345">
              <w:marLeft w:val="0"/>
              <w:marRight w:val="0"/>
              <w:marTop w:val="0"/>
              <w:marBottom w:val="0"/>
              <w:divBdr>
                <w:top w:val="none" w:sz="0" w:space="0" w:color="auto"/>
                <w:left w:val="none" w:sz="0" w:space="0" w:color="auto"/>
                <w:bottom w:val="none" w:sz="0" w:space="0" w:color="auto"/>
                <w:right w:val="none" w:sz="0" w:space="0" w:color="auto"/>
              </w:divBdr>
            </w:div>
          </w:divsChild>
        </w:div>
        <w:div w:id="1373338952">
          <w:marLeft w:val="0"/>
          <w:marRight w:val="0"/>
          <w:marTop w:val="0"/>
          <w:marBottom w:val="0"/>
          <w:divBdr>
            <w:top w:val="none" w:sz="0" w:space="0" w:color="auto"/>
            <w:left w:val="none" w:sz="0" w:space="0" w:color="auto"/>
            <w:bottom w:val="none" w:sz="0" w:space="0" w:color="auto"/>
            <w:right w:val="none" w:sz="0" w:space="0" w:color="auto"/>
          </w:divBdr>
          <w:divsChild>
            <w:div w:id="465589239">
              <w:marLeft w:val="0"/>
              <w:marRight w:val="0"/>
              <w:marTop w:val="0"/>
              <w:marBottom w:val="0"/>
              <w:divBdr>
                <w:top w:val="none" w:sz="0" w:space="0" w:color="auto"/>
                <w:left w:val="none" w:sz="0" w:space="0" w:color="auto"/>
                <w:bottom w:val="none" w:sz="0" w:space="0" w:color="auto"/>
                <w:right w:val="none" w:sz="0" w:space="0" w:color="auto"/>
              </w:divBdr>
            </w:div>
          </w:divsChild>
        </w:div>
        <w:div w:id="1407146159">
          <w:marLeft w:val="0"/>
          <w:marRight w:val="0"/>
          <w:marTop w:val="0"/>
          <w:marBottom w:val="0"/>
          <w:divBdr>
            <w:top w:val="none" w:sz="0" w:space="0" w:color="auto"/>
            <w:left w:val="none" w:sz="0" w:space="0" w:color="auto"/>
            <w:bottom w:val="none" w:sz="0" w:space="0" w:color="auto"/>
            <w:right w:val="none" w:sz="0" w:space="0" w:color="auto"/>
          </w:divBdr>
          <w:divsChild>
            <w:div w:id="2050260372">
              <w:marLeft w:val="0"/>
              <w:marRight w:val="0"/>
              <w:marTop w:val="0"/>
              <w:marBottom w:val="0"/>
              <w:divBdr>
                <w:top w:val="none" w:sz="0" w:space="0" w:color="auto"/>
                <w:left w:val="none" w:sz="0" w:space="0" w:color="auto"/>
                <w:bottom w:val="none" w:sz="0" w:space="0" w:color="auto"/>
                <w:right w:val="none" w:sz="0" w:space="0" w:color="auto"/>
              </w:divBdr>
            </w:div>
          </w:divsChild>
        </w:div>
        <w:div w:id="1538081215">
          <w:marLeft w:val="0"/>
          <w:marRight w:val="0"/>
          <w:marTop w:val="0"/>
          <w:marBottom w:val="0"/>
          <w:divBdr>
            <w:top w:val="none" w:sz="0" w:space="0" w:color="auto"/>
            <w:left w:val="none" w:sz="0" w:space="0" w:color="auto"/>
            <w:bottom w:val="none" w:sz="0" w:space="0" w:color="auto"/>
            <w:right w:val="none" w:sz="0" w:space="0" w:color="auto"/>
          </w:divBdr>
          <w:divsChild>
            <w:div w:id="1236211019">
              <w:marLeft w:val="0"/>
              <w:marRight w:val="0"/>
              <w:marTop w:val="0"/>
              <w:marBottom w:val="0"/>
              <w:divBdr>
                <w:top w:val="none" w:sz="0" w:space="0" w:color="auto"/>
                <w:left w:val="none" w:sz="0" w:space="0" w:color="auto"/>
                <w:bottom w:val="none" w:sz="0" w:space="0" w:color="auto"/>
                <w:right w:val="none" w:sz="0" w:space="0" w:color="auto"/>
              </w:divBdr>
            </w:div>
          </w:divsChild>
        </w:div>
        <w:div w:id="1642614436">
          <w:marLeft w:val="0"/>
          <w:marRight w:val="0"/>
          <w:marTop w:val="0"/>
          <w:marBottom w:val="0"/>
          <w:divBdr>
            <w:top w:val="none" w:sz="0" w:space="0" w:color="auto"/>
            <w:left w:val="none" w:sz="0" w:space="0" w:color="auto"/>
            <w:bottom w:val="none" w:sz="0" w:space="0" w:color="auto"/>
            <w:right w:val="none" w:sz="0" w:space="0" w:color="auto"/>
          </w:divBdr>
          <w:divsChild>
            <w:div w:id="495538051">
              <w:marLeft w:val="0"/>
              <w:marRight w:val="0"/>
              <w:marTop w:val="0"/>
              <w:marBottom w:val="0"/>
              <w:divBdr>
                <w:top w:val="none" w:sz="0" w:space="0" w:color="auto"/>
                <w:left w:val="none" w:sz="0" w:space="0" w:color="auto"/>
                <w:bottom w:val="none" w:sz="0" w:space="0" w:color="auto"/>
                <w:right w:val="none" w:sz="0" w:space="0" w:color="auto"/>
              </w:divBdr>
            </w:div>
          </w:divsChild>
        </w:div>
        <w:div w:id="1785149422">
          <w:marLeft w:val="0"/>
          <w:marRight w:val="0"/>
          <w:marTop w:val="0"/>
          <w:marBottom w:val="0"/>
          <w:divBdr>
            <w:top w:val="none" w:sz="0" w:space="0" w:color="auto"/>
            <w:left w:val="none" w:sz="0" w:space="0" w:color="auto"/>
            <w:bottom w:val="none" w:sz="0" w:space="0" w:color="auto"/>
            <w:right w:val="none" w:sz="0" w:space="0" w:color="auto"/>
          </w:divBdr>
          <w:divsChild>
            <w:div w:id="1296566996">
              <w:marLeft w:val="0"/>
              <w:marRight w:val="0"/>
              <w:marTop w:val="0"/>
              <w:marBottom w:val="0"/>
              <w:divBdr>
                <w:top w:val="none" w:sz="0" w:space="0" w:color="auto"/>
                <w:left w:val="none" w:sz="0" w:space="0" w:color="auto"/>
                <w:bottom w:val="none" w:sz="0" w:space="0" w:color="auto"/>
                <w:right w:val="none" w:sz="0" w:space="0" w:color="auto"/>
              </w:divBdr>
            </w:div>
          </w:divsChild>
        </w:div>
        <w:div w:id="1970234462">
          <w:marLeft w:val="0"/>
          <w:marRight w:val="0"/>
          <w:marTop w:val="0"/>
          <w:marBottom w:val="0"/>
          <w:divBdr>
            <w:top w:val="none" w:sz="0" w:space="0" w:color="auto"/>
            <w:left w:val="none" w:sz="0" w:space="0" w:color="auto"/>
            <w:bottom w:val="none" w:sz="0" w:space="0" w:color="auto"/>
            <w:right w:val="none" w:sz="0" w:space="0" w:color="auto"/>
          </w:divBdr>
          <w:divsChild>
            <w:div w:id="1387416054">
              <w:marLeft w:val="0"/>
              <w:marRight w:val="0"/>
              <w:marTop w:val="0"/>
              <w:marBottom w:val="0"/>
              <w:divBdr>
                <w:top w:val="none" w:sz="0" w:space="0" w:color="auto"/>
                <w:left w:val="none" w:sz="0" w:space="0" w:color="auto"/>
                <w:bottom w:val="none" w:sz="0" w:space="0" w:color="auto"/>
                <w:right w:val="none" w:sz="0" w:space="0" w:color="auto"/>
              </w:divBdr>
            </w:div>
          </w:divsChild>
        </w:div>
        <w:div w:id="2034525476">
          <w:marLeft w:val="0"/>
          <w:marRight w:val="0"/>
          <w:marTop w:val="0"/>
          <w:marBottom w:val="0"/>
          <w:divBdr>
            <w:top w:val="none" w:sz="0" w:space="0" w:color="auto"/>
            <w:left w:val="none" w:sz="0" w:space="0" w:color="auto"/>
            <w:bottom w:val="none" w:sz="0" w:space="0" w:color="auto"/>
            <w:right w:val="none" w:sz="0" w:space="0" w:color="auto"/>
          </w:divBdr>
          <w:divsChild>
            <w:div w:id="379281851">
              <w:marLeft w:val="0"/>
              <w:marRight w:val="0"/>
              <w:marTop w:val="0"/>
              <w:marBottom w:val="0"/>
              <w:divBdr>
                <w:top w:val="none" w:sz="0" w:space="0" w:color="auto"/>
                <w:left w:val="none" w:sz="0" w:space="0" w:color="auto"/>
                <w:bottom w:val="none" w:sz="0" w:space="0" w:color="auto"/>
                <w:right w:val="none" w:sz="0" w:space="0" w:color="auto"/>
              </w:divBdr>
            </w:div>
          </w:divsChild>
        </w:div>
        <w:div w:id="2058313790">
          <w:marLeft w:val="0"/>
          <w:marRight w:val="0"/>
          <w:marTop w:val="0"/>
          <w:marBottom w:val="0"/>
          <w:divBdr>
            <w:top w:val="none" w:sz="0" w:space="0" w:color="auto"/>
            <w:left w:val="none" w:sz="0" w:space="0" w:color="auto"/>
            <w:bottom w:val="none" w:sz="0" w:space="0" w:color="auto"/>
            <w:right w:val="none" w:sz="0" w:space="0" w:color="auto"/>
          </w:divBdr>
          <w:divsChild>
            <w:div w:id="1344361988">
              <w:marLeft w:val="0"/>
              <w:marRight w:val="0"/>
              <w:marTop w:val="0"/>
              <w:marBottom w:val="0"/>
              <w:divBdr>
                <w:top w:val="none" w:sz="0" w:space="0" w:color="auto"/>
                <w:left w:val="none" w:sz="0" w:space="0" w:color="auto"/>
                <w:bottom w:val="none" w:sz="0" w:space="0" w:color="auto"/>
                <w:right w:val="none" w:sz="0" w:space="0" w:color="auto"/>
              </w:divBdr>
            </w:div>
          </w:divsChild>
        </w:div>
        <w:div w:id="2109425255">
          <w:marLeft w:val="0"/>
          <w:marRight w:val="0"/>
          <w:marTop w:val="0"/>
          <w:marBottom w:val="0"/>
          <w:divBdr>
            <w:top w:val="none" w:sz="0" w:space="0" w:color="auto"/>
            <w:left w:val="none" w:sz="0" w:space="0" w:color="auto"/>
            <w:bottom w:val="none" w:sz="0" w:space="0" w:color="auto"/>
            <w:right w:val="none" w:sz="0" w:space="0" w:color="auto"/>
          </w:divBdr>
          <w:divsChild>
            <w:div w:id="144488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417651">
      <w:bodyDiv w:val="1"/>
      <w:marLeft w:val="0"/>
      <w:marRight w:val="0"/>
      <w:marTop w:val="0"/>
      <w:marBottom w:val="0"/>
      <w:divBdr>
        <w:top w:val="none" w:sz="0" w:space="0" w:color="auto"/>
        <w:left w:val="none" w:sz="0" w:space="0" w:color="auto"/>
        <w:bottom w:val="none" w:sz="0" w:space="0" w:color="auto"/>
        <w:right w:val="none" w:sz="0" w:space="0" w:color="auto"/>
      </w:divBdr>
      <w:divsChild>
        <w:div w:id="34501554">
          <w:marLeft w:val="0"/>
          <w:marRight w:val="0"/>
          <w:marTop w:val="0"/>
          <w:marBottom w:val="0"/>
          <w:divBdr>
            <w:top w:val="none" w:sz="0" w:space="0" w:color="auto"/>
            <w:left w:val="none" w:sz="0" w:space="0" w:color="auto"/>
            <w:bottom w:val="none" w:sz="0" w:space="0" w:color="auto"/>
            <w:right w:val="none" w:sz="0" w:space="0" w:color="auto"/>
          </w:divBdr>
        </w:div>
      </w:divsChild>
    </w:div>
    <w:div w:id="482703282">
      <w:bodyDiv w:val="1"/>
      <w:marLeft w:val="0"/>
      <w:marRight w:val="0"/>
      <w:marTop w:val="0"/>
      <w:marBottom w:val="0"/>
      <w:divBdr>
        <w:top w:val="none" w:sz="0" w:space="0" w:color="auto"/>
        <w:left w:val="none" w:sz="0" w:space="0" w:color="auto"/>
        <w:bottom w:val="none" w:sz="0" w:space="0" w:color="auto"/>
        <w:right w:val="none" w:sz="0" w:space="0" w:color="auto"/>
      </w:divBdr>
    </w:div>
    <w:div w:id="524100866">
      <w:bodyDiv w:val="1"/>
      <w:marLeft w:val="0"/>
      <w:marRight w:val="0"/>
      <w:marTop w:val="0"/>
      <w:marBottom w:val="0"/>
      <w:divBdr>
        <w:top w:val="none" w:sz="0" w:space="0" w:color="auto"/>
        <w:left w:val="none" w:sz="0" w:space="0" w:color="auto"/>
        <w:bottom w:val="none" w:sz="0" w:space="0" w:color="auto"/>
        <w:right w:val="none" w:sz="0" w:space="0" w:color="auto"/>
      </w:divBdr>
    </w:div>
    <w:div w:id="539633011">
      <w:bodyDiv w:val="1"/>
      <w:marLeft w:val="0"/>
      <w:marRight w:val="0"/>
      <w:marTop w:val="0"/>
      <w:marBottom w:val="0"/>
      <w:divBdr>
        <w:top w:val="none" w:sz="0" w:space="0" w:color="auto"/>
        <w:left w:val="none" w:sz="0" w:space="0" w:color="auto"/>
        <w:bottom w:val="none" w:sz="0" w:space="0" w:color="auto"/>
        <w:right w:val="none" w:sz="0" w:space="0" w:color="auto"/>
      </w:divBdr>
      <w:divsChild>
        <w:div w:id="1052727063">
          <w:marLeft w:val="0"/>
          <w:marRight w:val="0"/>
          <w:marTop w:val="0"/>
          <w:marBottom w:val="0"/>
          <w:divBdr>
            <w:top w:val="none" w:sz="0" w:space="0" w:color="auto"/>
            <w:left w:val="none" w:sz="0" w:space="0" w:color="auto"/>
            <w:bottom w:val="none" w:sz="0" w:space="0" w:color="auto"/>
            <w:right w:val="none" w:sz="0" w:space="0" w:color="auto"/>
          </w:divBdr>
          <w:divsChild>
            <w:div w:id="1902135780">
              <w:marLeft w:val="0"/>
              <w:marRight w:val="0"/>
              <w:marTop w:val="0"/>
              <w:marBottom w:val="0"/>
              <w:divBdr>
                <w:top w:val="none" w:sz="0" w:space="0" w:color="auto"/>
                <w:left w:val="single" w:sz="36" w:space="0" w:color="FFFFFF"/>
                <w:bottom w:val="none" w:sz="0" w:space="0" w:color="auto"/>
                <w:right w:val="single" w:sz="36" w:space="0" w:color="FFFFFF"/>
              </w:divBdr>
              <w:divsChild>
                <w:div w:id="1651669887">
                  <w:marLeft w:val="0"/>
                  <w:marRight w:val="0"/>
                  <w:marTop w:val="0"/>
                  <w:marBottom w:val="0"/>
                  <w:divBdr>
                    <w:top w:val="none" w:sz="0" w:space="0" w:color="auto"/>
                    <w:left w:val="none" w:sz="0" w:space="0" w:color="auto"/>
                    <w:bottom w:val="none" w:sz="0" w:space="0" w:color="auto"/>
                    <w:right w:val="none" w:sz="0" w:space="0" w:color="auto"/>
                  </w:divBdr>
                  <w:divsChild>
                    <w:div w:id="1679116259">
                      <w:marLeft w:val="0"/>
                      <w:marRight w:val="0"/>
                      <w:marTop w:val="0"/>
                      <w:marBottom w:val="0"/>
                      <w:divBdr>
                        <w:top w:val="none" w:sz="0" w:space="0" w:color="auto"/>
                        <w:left w:val="none" w:sz="0" w:space="0" w:color="auto"/>
                        <w:bottom w:val="none" w:sz="0" w:space="0" w:color="auto"/>
                        <w:right w:val="none" w:sz="0" w:space="0" w:color="auto"/>
                      </w:divBdr>
                      <w:divsChild>
                        <w:div w:id="1106924059">
                          <w:marLeft w:val="0"/>
                          <w:marRight w:val="0"/>
                          <w:marTop w:val="150"/>
                          <w:marBottom w:val="150"/>
                          <w:divBdr>
                            <w:top w:val="single" w:sz="6" w:space="8" w:color="4498E7"/>
                            <w:left w:val="single" w:sz="6" w:space="8" w:color="4498E7"/>
                            <w:bottom w:val="single" w:sz="6" w:space="8" w:color="2C78BE"/>
                            <w:right w:val="single" w:sz="6" w:space="8" w:color="2C78BE"/>
                          </w:divBdr>
                          <w:divsChild>
                            <w:div w:id="172961964">
                              <w:marLeft w:val="0"/>
                              <w:marRight w:val="0"/>
                              <w:marTop w:val="0"/>
                              <w:marBottom w:val="0"/>
                              <w:divBdr>
                                <w:top w:val="none" w:sz="0" w:space="0" w:color="auto"/>
                                <w:left w:val="none" w:sz="0" w:space="0" w:color="auto"/>
                                <w:bottom w:val="none" w:sz="0" w:space="0" w:color="auto"/>
                                <w:right w:val="none" w:sz="0" w:space="0" w:color="auto"/>
                              </w:divBdr>
                              <w:divsChild>
                                <w:div w:id="2124885903">
                                  <w:marLeft w:val="0"/>
                                  <w:marRight w:val="0"/>
                                  <w:marTop w:val="0"/>
                                  <w:marBottom w:val="0"/>
                                  <w:divBdr>
                                    <w:top w:val="none" w:sz="0" w:space="0" w:color="auto"/>
                                    <w:left w:val="none" w:sz="0" w:space="0" w:color="auto"/>
                                    <w:bottom w:val="none" w:sz="0" w:space="0" w:color="auto"/>
                                    <w:right w:val="none" w:sz="0" w:space="0" w:color="auto"/>
                                  </w:divBdr>
                                  <w:divsChild>
                                    <w:div w:id="1944413625">
                                      <w:marLeft w:val="0"/>
                                      <w:marRight w:val="0"/>
                                      <w:marTop w:val="0"/>
                                      <w:marBottom w:val="0"/>
                                      <w:divBdr>
                                        <w:top w:val="none" w:sz="0" w:space="0" w:color="auto"/>
                                        <w:left w:val="none" w:sz="0" w:space="0" w:color="auto"/>
                                        <w:bottom w:val="single" w:sz="6" w:space="0" w:color="9AA7B9"/>
                                        <w:right w:val="none" w:sz="0" w:space="0" w:color="auto"/>
                                      </w:divBdr>
                                      <w:divsChild>
                                        <w:div w:id="52652876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8421773">
      <w:bodyDiv w:val="1"/>
      <w:marLeft w:val="0"/>
      <w:marRight w:val="0"/>
      <w:marTop w:val="0"/>
      <w:marBottom w:val="0"/>
      <w:divBdr>
        <w:top w:val="none" w:sz="0" w:space="0" w:color="auto"/>
        <w:left w:val="none" w:sz="0" w:space="0" w:color="auto"/>
        <w:bottom w:val="none" w:sz="0" w:space="0" w:color="auto"/>
        <w:right w:val="none" w:sz="0" w:space="0" w:color="auto"/>
      </w:divBdr>
      <w:divsChild>
        <w:div w:id="84036103">
          <w:marLeft w:val="0"/>
          <w:marRight w:val="0"/>
          <w:marTop w:val="0"/>
          <w:marBottom w:val="0"/>
          <w:divBdr>
            <w:top w:val="none" w:sz="0" w:space="0" w:color="auto"/>
            <w:left w:val="none" w:sz="0" w:space="0" w:color="auto"/>
            <w:bottom w:val="none" w:sz="0" w:space="0" w:color="auto"/>
            <w:right w:val="none" w:sz="0" w:space="0" w:color="auto"/>
          </w:divBdr>
          <w:divsChild>
            <w:div w:id="253980466">
              <w:marLeft w:val="0"/>
              <w:marRight w:val="0"/>
              <w:marTop w:val="0"/>
              <w:marBottom w:val="0"/>
              <w:divBdr>
                <w:top w:val="none" w:sz="0" w:space="0" w:color="auto"/>
                <w:left w:val="none" w:sz="0" w:space="0" w:color="auto"/>
                <w:bottom w:val="none" w:sz="0" w:space="0" w:color="auto"/>
                <w:right w:val="none" w:sz="0" w:space="0" w:color="auto"/>
              </w:divBdr>
            </w:div>
          </w:divsChild>
        </w:div>
        <w:div w:id="91318327">
          <w:marLeft w:val="0"/>
          <w:marRight w:val="0"/>
          <w:marTop w:val="0"/>
          <w:marBottom w:val="0"/>
          <w:divBdr>
            <w:top w:val="none" w:sz="0" w:space="0" w:color="auto"/>
            <w:left w:val="none" w:sz="0" w:space="0" w:color="auto"/>
            <w:bottom w:val="none" w:sz="0" w:space="0" w:color="auto"/>
            <w:right w:val="none" w:sz="0" w:space="0" w:color="auto"/>
          </w:divBdr>
          <w:divsChild>
            <w:div w:id="2078818762">
              <w:marLeft w:val="0"/>
              <w:marRight w:val="0"/>
              <w:marTop w:val="0"/>
              <w:marBottom w:val="0"/>
              <w:divBdr>
                <w:top w:val="none" w:sz="0" w:space="0" w:color="auto"/>
                <w:left w:val="none" w:sz="0" w:space="0" w:color="auto"/>
                <w:bottom w:val="none" w:sz="0" w:space="0" w:color="auto"/>
                <w:right w:val="none" w:sz="0" w:space="0" w:color="auto"/>
              </w:divBdr>
            </w:div>
          </w:divsChild>
        </w:div>
        <w:div w:id="304237609">
          <w:marLeft w:val="0"/>
          <w:marRight w:val="0"/>
          <w:marTop w:val="0"/>
          <w:marBottom w:val="0"/>
          <w:divBdr>
            <w:top w:val="none" w:sz="0" w:space="0" w:color="auto"/>
            <w:left w:val="none" w:sz="0" w:space="0" w:color="auto"/>
            <w:bottom w:val="none" w:sz="0" w:space="0" w:color="auto"/>
            <w:right w:val="none" w:sz="0" w:space="0" w:color="auto"/>
          </w:divBdr>
          <w:divsChild>
            <w:div w:id="1852718428">
              <w:marLeft w:val="0"/>
              <w:marRight w:val="0"/>
              <w:marTop w:val="0"/>
              <w:marBottom w:val="0"/>
              <w:divBdr>
                <w:top w:val="none" w:sz="0" w:space="0" w:color="auto"/>
                <w:left w:val="none" w:sz="0" w:space="0" w:color="auto"/>
                <w:bottom w:val="none" w:sz="0" w:space="0" w:color="auto"/>
                <w:right w:val="none" w:sz="0" w:space="0" w:color="auto"/>
              </w:divBdr>
            </w:div>
          </w:divsChild>
        </w:div>
        <w:div w:id="356351729">
          <w:marLeft w:val="0"/>
          <w:marRight w:val="0"/>
          <w:marTop w:val="0"/>
          <w:marBottom w:val="0"/>
          <w:divBdr>
            <w:top w:val="none" w:sz="0" w:space="0" w:color="auto"/>
            <w:left w:val="none" w:sz="0" w:space="0" w:color="auto"/>
            <w:bottom w:val="none" w:sz="0" w:space="0" w:color="auto"/>
            <w:right w:val="none" w:sz="0" w:space="0" w:color="auto"/>
          </w:divBdr>
          <w:divsChild>
            <w:div w:id="642974937">
              <w:marLeft w:val="0"/>
              <w:marRight w:val="0"/>
              <w:marTop w:val="0"/>
              <w:marBottom w:val="0"/>
              <w:divBdr>
                <w:top w:val="none" w:sz="0" w:space="0" w:color="auto"/>
                <w:left w:val="none" w:sz="0" w:space="0" w:color="auto"/>
                <w:bottom w:val="none" w:sz="0" w:space="0" w:color="auto"/>
                <w:right w:val="none" w:sz="0" w:space="0" w:color="auto"/>
              </w:divBdr>
            </w:div>
          </w:divsChild>
        </w:div>
        <w:div w:id="481123008">
          <w:marLeft w:val="0"/>
          <w:marRight w:val="0"/>
          <w:marTop w:val="0"/>
          <w:marBottom w:val="0"/>
          <w:divBdr>
            <w:top w:val="none" w:sz="0" w:space="0" w:color="auto"/>
            <w:left w:val="none" w:sz="0" w:space="0" w:color="auto"/>
            <w:bottom w:val="none" w:sz="0" w:space="0" w:color="auto"/>
            <w:right w:val="none" w:sz="0" w:space="0" w:color="auto"/>
          </w:divBdr>
          <w:divsChild>
            <w:div w:id="1017346170">
              <w:marLeft w:val="0"/>
              <w:marRight w:val="0"/>
              <w:marTop w:val="0"/>
              <w:marBottom w:val="0"/>
              <w:divBdr>
                <w:top w:val="none" w:sz="0" w:space="0" w:color="auto"/>
                <w:left w:val="none" w:sz="0" w:space="0" w:color="auto"/>
                <w:bottom w:val="none" w:sz="0" w:space="0" w:color="auto"/>
                <w:right w:val="none" w:sz="0" w:space="0" w:color="auto"/>
              </w:divBdr>
            </w:div>
          </w:divsChild>
        </w:div>
        <w:div w:id="559634443">
          <w:marLeft w:val="0"/>
          <w:marRight w:val="0"/>
          <w:marTop w:val="0"/>
          <w:marBottom w:val="0"/>
          <w:divBdr>
            <w:top w:val="none" w:sz="0" w:space="0" w:color="auto"/>
            <w:left w:val="none" w:sz="0" w:space="0" w:color="auto"/>
            <w:bottom w:val="none" w:sz="0" w:space="0" w:color="auto"/>
            <w:right w:val="none" w:sz="0" w:space="0" w:color="auto"/>
          </w:divBdr>
          <w:divsChild>
            <w:div w:id="1759058830">
              <w:marLeft w:val="0"/>
              <w:marRight w:val="0"/>
              <w:marTop w:val="0"/>
              <w:marBottom w:val="0"/>
              <w:divBdr>
                <w:top w:val="none" w:sz="0" w:space="0" w:color="auto"/>
                <w:left w:val="none" w:sz="0" w:space="0" w:color="auto"/>
                <w:bottom w:val="none" w:sz="0" w:space="0" w:color="auto"/>
                <w:right w:val="none" w:sz="0" w:space="0" w:color="auto"/>
              </w:divBdr>
            </w:div>
          </w:divsChild>
        </w:div>
        <w:div w:id="776215197">
          <w:marLeft w:val="0"/>
          <w:marRight w:val="0"/>
          <w:marTop w:val="0"/>
          <w:marBottom w:val="0"/>
          <w:divBdr>
            <w:top w:val="none" w:sz="0" w:space="0" w:color="auto"/>
            <w:left w:val="none" w:sz="0" w:space="0" w:color="auto"/>
            <w:bottom w:val="none" w:sz="0" w:space="0" w:color="auto"/>
            <w:right w:val="none" w:sz="0" w:space="0" w:color="auto"/>
          </w:divBdr>
          <w:divsChild>
            <w:div w:id="388190135">
              <w:marLeft w:val="0"/>
              <w:marRight w:val="0"/>
              <w:marTop w:val="0"/>
              <w:marBottom w:val="0"/>
              <w:divBdr>
                <w:top w:val="none" w:sz="0" w:space="0" w:color="auto"/>
                <w:left w:val="none" w:sz="0" w:space="0" w:color="auto"/>
                <w:bottom w:val="none" w:sz="0" w:space="0" w:color="auto"/>
                <w:right w:val="none" w:sz="0" w:space="0" w:color="auto"/>
              </w:divBdr>
            </w:div>
          </w:divsChild>
        </w:div>
        <w:div w:id="1113015766">
          <w:marLeft w:val="0"/>
          <w:marRight w:val="0"/>
          <w:marTop w:val="0"/>
          <w:marBottom w:val="0"/>
          <w:divBdr>
            <w:top w:val="none" w:sz="0" w:space="0" w:color="auto"/>
            <w:left w:val="none" w:sz="0" w:space="0" w:color="auto"/>
            <w:bottom w:val="none" w:sz="0" w:space="0" w:color="auto"/>
            <w:right w:val="none" w:sz="0" w:space="0" w:color="auto"/>
          </w:divBdr>
          <w:divsChild>
            <w:div w:id="1452283991">
              <w:marLeft w:val="0"/>
              <w:marRight w:val="0"/>
              <w:marTop w:val="0"/>
              <w:marBottom w:val="0"/>
              <w:divBdr>
                <w:top w:val="none" w:sz="0" w:space="0" w:color="auto"/>
                <w:left w:val="none" w:sz="0" w:space="0" w:color="auto"/>
                <w:bottom w:val="none" w:sz="0" w:space="0" w:color="auto"/>
                <w:right w:val="none" w:sz="0" w:space="0" w:color="auto"/>
              </w:divBdr>
            </w:div>
          </w:divsChild>
        </w:div>
        <w:div w:id="1230114359">
          <w:marLeft w:val="0"/>
          <w:marRight w:val="0"/>
          <w:marTop w:val="0"/>
          <w:marBottom w:val="0"/>
          <w:divBdr>
            <w:top w:val="none" w:sz="0" w:space="0" w:color="auto"/>
            <w:left w:val="none" w:sz="0" w:space="0" w:color="auto"/>
            <w:bottom w:val="none" w:sz="0" w:space="0" w:color="auto"/>
            <w:right w:val="none" w:sz="0" w:space="0" w:color="auto"/>
          </w:divBdr>
          <w:divsChild>
            <w:div w:id="1482045042">
              <w:marLeft w:val="0"/>
              <w:marRight w:val="0"/>
              <w:marTop w:val="0"/>
              <w:marBottom w:val="0"/>
              <w:divBdr>
                <w:top w:val="none" w:sz="0" w:space="0" w:color="auto"/>
                <w:left w:val="none" w:sz="0" w:space="0" w:color="auto"/>
                <w:bottom w:val="none" w:sz="0" w:space="0" w:color="auto"/>
                <w:right w:val="none" w:sz="0" w:space="0" w:color="auto"/>
              </w:divBdr>
            </w:div>
            <w:div w:id="1980575549">
              <w:marLeft w:val="0"/>
              <w:marRight w:val="0"/>
              <w:marTop w:val="0"/>
              <w:marBottom w:val="0"/>
              <w:divBdr>
                <w:top w:val="none" w:sz="0" w:space="0" w:color="auto"/>
                <w:left w:val="none" w:sz="0" w:space="0" w:color="auto"/>
                <w:bottom w:val="none" w:sz="0" w:space="0" w:color="auto"/>
                <w:right w:val="none" w:sz="0" w:space="0" w:color="auto"/>
              </w:divBdr>
            </w:div>
          </w:divsChild>
        </w:div>
        <w:div w:id="1317687926">
          <w:marLeft w:val="0"/>
          <w:marRight w:val="0"/>
          <w:marTop w:val="0"/>
          <w:marBottom w:val="0"/>
          <w:divBdr>
            <w:top w:val="none" w:sz="0" w:space="0" w:color="auto"/>
            <w:left w:val="none" w:sz="0" w:space="0" w:color="auto"/>
            <w:bottom w:val="none" w:sz="0" w:space="0" w:color="auto"/>
            <w:right w:val="none" w:sz="0" w:space="0" w:color="auto"/>
          </w:divBdr>
          <w:divsChild>
            <w:div w:id="2122263877">
              <w:marLeft w:val="0"/>
              <w:marRight w:val="0"/>
              <w:marTop w:val="0"/>
              <w:marBottom w:val="0"/>
              <w:divBdr>
                <w:top w:val="none" w:sz="0" w:space="0" w:color="auto"/>
                <w:left w:val="none" w:sz="0" w:space="0" w:color="auto"/>
                <w:bottom w:val="none" w:sz="0" w:space="0" w:color="auto"/>
                <w:right w:val="none" w:sz="0" w:space="0" w:color="auto"/>
              </w:divBdr>
            </w:div>
          </w:divsChild>
        </w:div>
        <w:div w:id="1346516846">
          <w:marLeft w:val="0"/>
          <w:marRight w:val="0"/>
          <w:marTop w:val="0"/>
          <w:marBottom w:val="0"/>
          <w:divBdr>
            <w:top w:val="none" w:sz="0" w:space="0" w:color="auto"/>
            <w:left w:val="none" w:sz="0" w:space="0" w:color="auto"/>
            <w:bottom w:val="none" w:sz="0" w:space="0" w:color="auto"/>
            <w:right w:val="none" w:sz="0" w:space="0" w:color="auto"/>
          </w:divBdr>
          <w:divsChild>
            <w:div w:id="2002081276">
              <w:marLeft w:val="0"/>
              <w:marRight w:val="0"/>
              <w:marTop w:val="0"/>
              <w:marBottom w:val="0"/>
              <w:divBdr>
                <w:top w:val="none" w:sz="0" w:space="0" w:color="auto"/>
                <w:left w:val="none" w:sz="0" w:space="0" w:color="auto"/>
                <w:bottom w:val="none" w:sz="0" w:space="0" w:color="auto"/>
                <w:right w:val="none" w:sz="0" w:space="0" w:color="auto"/>
              </w:divBdr>
            </w:div>
          </w:divsChild>
        </w:div>
        <w:div w:id="1415398988">
          <w:marLeft w:val="0"/>
          <w:marRight w:val="0"/>
          <w:marTop w:val="0"/>
          <w:marBottom w:val="0"/>
          <w:divBdr>
            <w:top w:val="none" w:sz="0" w:space="0" w:color="auto"/>
            <w:left w:val="none" w:sz="0" w:space="0" w:color="auto"/>
            <w:bottom w:val="none" w:sz="0" w:space="0" w:color="auto"/>
            <w:right w:val="none" w:sz="0" w:space="0" w:color="auto"/>
          </w:divBdr>
          <w:divsChild>
            <w:div w:id="482819212">
              <w:marLeft w:val="0"/>
              <w:marRight w:val="0"/>
              <w:marTop w:val="0"/>
              <w:marBottom w:val="0"/>
              <w:divBdr>
                <w:top w:val="none" w:sz="0" w:space="0" w:color="auto"/>
                <w:left w:val="none" w:sz="0" w:space="0" w:color="auto"/>
                <w:bottom w:val="none" w:sz="0" w:space="0" w:color="auto"/>
                <w:right w:val="none" w:sz="0" w:space="0" w:color="auto"/>
              </w:divBdr>
            </w:div>
            <w:div w:id="1340086563">
              <w:marLeft w:val="0"/>
              <w:marRight w:val="0"/>
              <w:marTop w:val="0"/>
              <w:marBottom w:val="0"/>
              <w:divBdr>
                <w:top w:val="none" w:sz="0" w:space="0" w:color="auto"/>
                <w:left w:val="none" w:sz="0" w:space="0" w:color="auto"/>
                <w:bottom w:val="none" w:sz="0" w:space="0" w:color="auto"/>
                <w:right w:val="none" w:sz="0" w:space="0" w:color="auto"/>
              </w:divBdr>
            </w:div>
          </w:divsChild>
        </w:div>
        <w:div w:id="1538008422">
          <w:marLeft w:val="0"/>
          <w:marRight w:val="0"/>
          <w:marTop w:val="0"/>
          <w:marBottom w:val="0"/>
          <w:divBdr>
            <w:top w:val="none" w:sz="0" w:space="0" w:color="auto"/>
            <w:left w:val="none" w:sz="0" w:space="0" w:color="auto"/>
            <w:bottom w:val="none" w:sz="0" w:space="0" w:color="auto"/>
            <w:right w:val="none" w:sz="0" w:space="0" w:color="auto"/>
          </w:divBdr>
          <w:divsChild>
            <w:div w:id="1124083086">
              <w:marLeft w:val="0"/>
              <w:marRight w:val="0"/>
              <w:marTop w:val="0"/>
              <w:marBottom w:val="0"/>
              <w:divBdr>
                <w:top w:val="none" w:sz="0" w:space="0" w:color="auto"/>
                <w:left w:val="none" w:sz="0" w:space="0" w:color="auto"/>
                <w:bottom w:val="none" w:sz="0" w:space="0" w:color="auto"/>
                <w:right w:val="none" w:sz="0" w:space="0" w:color="auto"/>
              </w:divBdr>
            </w:div>
          </w:divsChild>
        </w:div>
        <w:div w:id="1577474599">
          <w:marLeft w:val="0"/>
          <w:marRight w:val="0"/>
          <w:marTop w:val="0"/>
          <w:marBottom w:val="0"/>
          <w:divBdr>
            <w:top w:val="none" w:sz="0" w:space="0" w:color="auto"/>
            <w:left w:val="none" w:sz="0" w:space="0" w:color="auto"/>
            <w:bottom w:val="none" w:sz="0" w:space="0" w:color="auto"/>
            <w:right w:val="none" w:sz="0" w:space="0" w:color="auto"/>
          </w:divBdr>
          <w:divsChild>
            <w:div w:id="761536647">
              <w:marLeft w:val="0"/>
              <w:marRight w:val="0"/>
              <w:marTop w:val="0"/>
              <w:marBottom w:val="0"/>
              <w:divBdr>
                <w:top w:val="none" w:sz="0" w:space="0" w:color="auto"/>
                <w:left w:val="none" w:sz="0" w:space="0" w:color="auto"/>
                <w:bottom w:val="none" w:sz="0" w:space="0" w:color="auto"/>
                <w:right w:val="none" w:sz="0" w:space="0" w:color="auto"/>
              </w:divBdr>
            </w:div>
          </w:divsChild>
        </w:div>
        <w:div w:id="1677000938">
          <w:marLeft w:val="0"/>
          <w:marRight w:val="0"/>
          <w:marTop w:val="0"/>
          <w:marBottom w:val="0"/>
          <w:divBdr>
            <w:top w:val="none" w:sz="0" w:space="0" w:color="auto"/>
            <w:left w:val="none" w:sz="0" w:space="0" w:color="auto"/>
            <w:bottom w:val="none" w:sz="0" w:space="0" w:color="auto"/>
            <w:right w:val="none" w:sz="0" w:space="0" w:color="auto"/>
          </w:divBdr>
          <w:divsChild>
            <w:div w:id="334185840">
              <w:marLeft w:val="0"/>
              <w:marRight w:val="0"/>
              <w:marTop w:val="0"/>
              <w:marBottom w:val="0"/>
              <w:divBdr>
                <w:top w:val="none" w:sz="0" w:space="0" w:color="auto"/>
                <w:left w:val="none" w:sz="0" w:space="0" w:color="auto"/>
                <w:bottom w:val="none" w:sz="0" w:space="0" w:color="auto"/>
                <w:right w:val="none" w:sz="0" w:space="0" w:color="auto"/>
              </w:divBdr>
            </w:div>
          </w:divsChild>
        </w:div>
        <w:div w:id="1738162327">
          <w:marLeft w:val="0"/>
          <w:marRight w:val="0"/>
          <w:marTop w:val="0"/>
          <w:marBottom w:val="0"/>
          <w:divBdr>
            <w:top w:val="none" w:sz="0" w:space="0" w:color="auto"/>
            <w:left w:val="none" w:sz="0" w:space="0" w:color="auto"/>
            <w:bottom w:val="none" w:sz="0" w:space="0" w:color="auto"/>
            <w:right w:val="none" w:sz="0" w:space="0" w:color="auto"/>
          </w:divBdr>
          <w:divsChild>
            <w:div w:id="798958604">
              <w:marLeft w:val="0"/>
              <w:marRight w:val="0"/>
              <w:marTop w:val="0"/>
              <w:marBottom w:val="0"/>
              <w:divBdr>
                <w:top w:val="none" w:sz="0" w:space="0" w:color="auto"/>
                <w:left w:val="none" w:sz="0" w:space="0" w:color="auto"/>
                <w:bottom w:val="none" w:sz="0" w:space="0" w:color="auto"/>
                <w:right w:val="none" w:sz="0" w:space="0" w:color="auto"/>
              </w:divBdr>
            </w:div>
          </w:divsChild>
        </w:div>
        <w:div w:id="1845363989">
          <w:marLeft w:val="0"/>
          <w:marRight w:val="0"/>
          <w:marTop w:val="0"/>
          <w:marBottom w:val="0"/>
          <w:divBdr>
            <w:top w:val="none" w:sz="0" w:space="0" w:color="auto"/>
            <w:left w:val="none" w:sz="0" w:space="0" w:color="auto"/>
            <w:bottom w:val="none" w:sz="0" w:space="0" w:color="auto"/>
            <w:right w:val="none" w:sz="0" w:space="0" w:color="auto"/>
          </w:divBdr>
          <w:divsChild>
            <w:div w:id="703754461">
              <w:marLeft w:val="0"/>
              <w:marRight w:val="0"/>
              <w:marTop w:val="0"/>
              <w:marBottom w:val="0"/>
              <w:divBdr>
                <w:top w:val="none" w:sz="0" w:space="0" w:color="auto"/>
                <w:left w:val="none" w:sz="0" w:space="0" w:color="auto"/>
                <w:bottom w:val="none" w:sz="0" w:space="0" w:color="auto"/>
                <w:right w:val="none" w:sz="0" w:space="0" w:color="auto"/>
              </w:divBdr>
            </w:div>
          </w:divsChild>
        </w:div>
        <w:div w:id="2071077768">
          <w:marLeft w:val="0"/>
          <w:marRight w:val="0"/>
          <w:marTop w:val="0"/>
          <w:marBottom w:val="0"/>
          <w:divBdr>
            <w:top w:val="none" w:sz="0" w:space="0" w:color="auto"/>
            <w:left w:val="none" w:sz="0" w:space="0" w:color="auto"/>
            <w:bottom w:val="none" w:sz="0" w:space="0" w:color="auto"/>
            <w:right w:val="none" w:sz="0" w:space="0" w:color="auto"/>
          </w:divBdr>
          <w:divsChild>
            <w:div w:id="12546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155305">
      <w:bodyDiv w:val="1"/>
      <w:marLeft w:val="0"/>
      <w:marRight w:val="0"/>
      <w:marTop w:val="0"/>
      <w:marBottom w:val="0"/>
      <w:divBdr>
        <w:top w:val="none" w:sz="0" w:space="0" w:color="auto"/>
        <w:left w:val="none" w:sz="0" w:space="0" w:color="auto"/>
        <w:bottom w:val="none" w:sz="0" w:space="0" w:color="auto"/>
        <w:right w:val="none" w:sz="0" w:space="0" w:color="auto"/>
      </w:divBdr>
    </w:div>
    <w:div w:id="617680666">
      <w:bodyDiv w:val="1"/>
      <w:marLeft w:val="0"/>
      <w:marRight w:val="0"/>
      <w:marTop w:val="0"/>
      <w:marBottom w:val="0"/>
      <w:divBdr>
        <w:top w:val="none" w:sz="0" w:space="0" w:color="auto"/>
        <w:left w:val="none" w:sz="0" w:space="0" w:color="auto"/>
        <w:bottom w:val="none" w:sz="0" w:space="0" w:color="auto"/>
        <w:right w:val="none" w:sz="0" w:space="0" w:color="auto"/>
      </w:divBdr>
    </w:div>
    <w:div w:id="634677552">
      <w:bodyDiv w:val="1"/>
      <w:marLeft w:val="0"/>
      <w:marRight w:val="0"/>
      <w:marTop w:val="0"/>
      <w:marBottom w:val="0"/>
      <w:divBdr>
        <w:top w:val="none" w:sz="0" w:space="0" w:color="auto"/>
        <w:left w:val="none" w:sz="0" w:space="0" w:color="auto"/>
        <w:bottom w:val="none" w:sz="0" w:space="0" w:color="auto"/>
        <w:right w:val="none" w:sz="0" w:space="0" w:color="auto"/>
      </w:divBdr>
    </w:div>
    <w:div w:id="637614843">
      <w:bodyDiv w:val="1"/>
      <w:marLeft w:val="0"/>
      <w:marRight w:val="0"/>
      <w:marTop w:val="0"/>
      <w:marBottom w:val="0"/>
      <w:divBdr>
        <w:top w:val="none" w:sz="0" w:space="0" w:color="auto"/>
        <w:left w:val="none" w:sz="0" w:space="0" w:color="auto"/>
        <w:bottom w:val="none" w:sz="0" w:space="0" w:color="auto"/>
        <w:right w:val="none" w:sz="0" w:space="0" w:color="auto"/>
      </w:divBdr>
    </w:div>
    <w:div w:id="653216762">
      <w:bodyDiv w:val="1"/>
      <w:marLeft w:val="0"/>
      <w:marRight w:val="0"/>
      <w:marTop w:val="0"/>
      <w:marBottom w:val="0"/>
      <w:divBdr>
        <w:top w:val="none" w:sz="0" w:space="0" w:color="auto"/>
        <w:left w:val="none" w:sz="0" w:space="0" w:color="auto"/>
        <w:bottom w:val="none" w:sz="0" w:space="0" w:color="auto"/>
        <w:right w:val="none" w:sz="0" w:space="0" w:color="auto"/>
      </w:divBdr>
      <w:divsChild>
        <w:div w:id="61682649">
          <w:marLeft w:val="0"/>
          <w:marRight w:val="0"/>
          <w:marTop w:val="0"/>
          <w:marBottom w:val="0"/>
          <w:divBdr>
            <w:top w:val="none" w:sz="0" w:space="0" w:color="auto"/>
            <w:left w:val="none" w:sz="0" w:space="0" w:color="auto"/>
            <w:bottom w:val="none" w:sz="0" w:space="0" w:color="auto"/>
            <w:right w:val="none" w:sz="0" w:space="0" w:color="auto"/>
          </w:divBdr>
          <w:divsChild>
            <w:div w:id="381759775">
              <w:marLeft w:val="0"/>
              <w:marRight w:val="0"/>
              <w:marTop w:val="0"/>
              <w:marBottom w:val="0"/>
              <w:divBdr>
                <w:top w:val="none" w:sz="0" w:space="0" w:color="auto"/>
                <w:left w:val="none" w:sz="0" w:space="0" w:color="auto"/>
                <w:bottom w:val="none" w:sz="0" w:space="0" w:color="auto"/>
                <w:right w:val="none" w:sz="0" w:space="0" w:color="auto"/>
              </w:divBdr>
            </w:div>
          </w:divsChild>
        </w:div>
        <w:div w:id="155145373">
          <w:marLeft w:val="0"/>
          <w:marRight w:val="0"/>
          <w:marTop w:val="0"/>
          <w:marBottom w:val="0"/>
          <w:divBdr>
            <w:top w:val="none" w:sz="0" w:space="0" w:color="auto"/>
            <w:left w:val="none" w:sz="0" w:space="0" w:color="auto"/>
            <w:bottom w:val="none" w:sz="0" w:space="0" w:color="auto"/>
            <w:right w:val="none" w:sz="0" w:space="0" w:color="auto"/>
          </w:divBdr>
          <w:divsChild>
            <w:div w:id="1785807743">
              <w:marLeft w:val="0"/>
              <w:marRight w:val="0"/>
              <w:marTop w:val="0"/>
              <w:marBottom w:val="0"/>
              <w:divBdr>
                <w:top w:val="none" w:sz="0" w:space="0" w:color="auto"/>
                <w:left w:val="none" w:sz="0" w:space="0" w:color="auto"/>
                <w:bottom w:val="none" w:sz="0" w:space="0" w:color="auto"/>
                <w:right w:val="none" w:sz="0" w:space="0" w:color="auto"/>
              </w:divBdr>
            </w:div>
          </w:divsChild>
        </w:div>
        <w:div w:id="296184880">
          <w:marLeft w:val="0"/>
          <w:marRight w:val="0"/>
          <w:marTop w:val="0"/>
          <w:marBottom w:val="0"/>
          <w:divBdr>
            <w:top w:val="none" w:sz="0" w:space="0" w:color="auto"/>
            <w:left w:val="none" w:sz="0" w:space="0" w:color="auto"/>
            <w:bottom w:val="none" w:sz="0" w:space="0" w:color="auto"/>
            <w:right w:val="none" w:sz="0" w:space="0" w:color="auto"/>
          </w:divBdr>
          <w:divsChild>
            <w:div w:id="50660176">
              <w:marLeft w:val="0"/>
              <w:marRight w:val="0"/>
              <w:marTop w:val="0"/>
              <w:marBottom w:val="0"/>
              <w:divBdr>
                <w:top w:val="none" w:sz="0" w:space="0" w:color="auto"/>
                <w:left w:val="none" w:sz="0" w:space="0" w:color="auto"/>
                <w:bottom w:val="none" w:sz="0" w:space="0" w:color="auto"/>
                <w:right w:val="none" w:sz="0" w:space="0" w:color="auto"/>
              </w:divBdr>
            </w:div>
          </w:divsChild>
        </w:div>
        <w:div w:id="452746612">
          <w:marLeft w:val="0"/>
          <w:marRight w:val="0"/>
          <w:marTop w:val="0"/>
          <w:marBottom w:val="0"/>
          <w:divBdr>
            <w:top w:val="none" w:sz="0" w:space="0" w:color="auto"/>
            <w:left w:val="none" w:sz="0" w:space="0" w:color="auto"/>
            <w:bottom w:val="none" w:sz="0" w:space="0" w:color="auto"/>
            <w:right w:val="none" w:sz="0" w:space="0" w:color="auto"/>
          </w:divBdr>
          <w:divsChild>
            <w:div w:id="549194620">
              <w:marLeft w:val="0"/>
              <w:marRight w:val="0"/>
              <w:marTop w:val="0"/>
              <w:marBottom w:val="0"/>
              <w:divBdr>
                <w:top w:val="none" w:sz="0" w:space="0" w:color="auto"/>
                <w:left w:val="none" w:sz="0" w:space="0" w:color="auto"/>
                <w:bottom w:val="none" w:sz="0" w:space="0" w:color="auto"/>
                <w:right w:val="none" w:sz="0" w:space="0" w:color="auto"/>
              </w:divBdr>
            </w:div>
          </w:divsChild>
        </w:div>
        <w:div w:id="753431952">
          <w:marLeft w:val="0"/>
          <w:marRight w:val="0"/>
          <w:marTop w:val="0"/>
          <w:marBottom w:val="0"/>
          <w:divBdr>
            <w:top w:val="none" w:sz="0" w:space="0" w:color="auto"/>
            <w:left w:val="none" w:sz="0" w:space="0" w:color="auto"/>
            <w:bottom w:val="none" w:sz="0" w:space="0" w:color="auto"/>
            <w:right w:val="none" w:sz="0" w:space="0" w:color="auto"/>
          </w:divBdr>
          <w:divsChild>
            <w:div w:id="1347555754">
              <w:marLeft w:val="0"/>
              <w:marRight w:val="0"/>
              <w:marTop w:val="0"/>
              <w:marBottom w:val="0"/>
              <w:divBdr>
                <w:top w:val="none" w:sz="0" w:space="0" w:color="auto"/>
                <w:left w:val="none" w:sz="0" w:space="0" w:color="auto"/>
                <w:bottom w:val="none" w:sz="0" w:space="0" w:color="auto"/>
                <w:right w:val="none" w:sz="0" w:space="0" w:color="auto"/>
              </w:divBdr>
            </w:div>
          </w:divsChild>
        </w:div>
        <w:div w:id="1217275679">
          <w:marLeft w:val="0"/>
          <w:marRight w:val="0"/>
          <w:marTop w:val="0"/>
          <w:marBottom w:val="0"/>
          <w:divBdr>
            <w:top w:val="none" w:sz="0" w:space="0" w:color="auto"/>
            <w:left w:val="none" w:sz="0" w:space="0" w:color="auto"/>
            <w:bottom w:val="none" w:sz="0" w:space="0" w:color="auto"/>
            <w:right w:val="none" w:sz="0" w:space="0" w:color="auto"/>
          </w:divBdr>
          <w:divsChild>
            <w:div w:id="196166175">
              <w:marLeft w:val="0"/>
              <w:marRight w:val="0"/>
              <w:marTop w:val="0"/>
              <w:marBottom w:val="0"/>
              <w:divBdr>
                <w:top w:val="none" w:sz="0" w:space="0" w:color="auto"/>
                <w:left w:val="none" w:sz="0" w:space="0" w:color="auto"/>
                <w:bottom w:val="none" w:sz="0" w:space="0" w:color="auto"/>
                <w:right w:val="none" w:sz="0" w:space="0" w:color="auto"/>
              </w:divBdr>
            </w:div>
          </w:divsChild>
        </w:div>
        <w:div w:id="1256284217">
          <w:marLeft w:val="0"/>
          <w:marRight w:val="0"/>
          <w:marTop w:val="0"/>
          <w:marBottom w:val="0"/>
          <w:divBdr>
            <w:top w:val="none" w:sz="0" w:space="0" w:color="auto"/>
            <w:left w:val="none" w:sz="0" w:space="0" w:color="auto"/>
            <w:bottom w:val="none" w:sz="0" w:space="0" w:color="auto"/>
            <w:right w:val="none" w:sz="0" w:space="0" w:color="auto"/>
          </w:divBdr>
          <w:divsChild>
            <w:div w:id="881290887">
              <w:marLeft w:val="0"/>
              <w:marRight w:val="0"/>
              <w:marTop w:val="0"/>
              <w:marBottom w:val="0"/>
              <w:divBdr>
                <w:top w:val="none" w:sz="0" w:space="0" w:color="auto"/>
                <w:left w:val="none" w:sz="0" w:space="0" w:color="auto"/>
                <w:bottom w:val="none" w:sz="0" w:space="0" w:color="auto"/>
                <w:right w:val="none" w:sz="0" w:space="0" w:color="auto"/>
              </w:divBdr>
            </w:div>
          </w:divsChild>
        </w:div>
        <w:div w:id="1341081555">
          <w:marLeft w:val="0"/>
          <w:marRight w:val="0"/>
          <w:marTop w:val="0"/>
          <w:marBottom w:val="0"/>
          <w:divBdr>
            <w:top w:val="none" w:sz="0" w:space="0" w:color="auto"/>
            <w:left w:val="none" w:sz="0" w:space="0" w:color="auto"/>
            <w:bottom w:val="none" w:sz="0" w:space="0" w:color="auto"/>
            <w:right w:val="none" w:sz="0" w:space="0" w:color="auto"/>
          </w:divBdr>
          <w:divsChild>
            <w:div w:id="620652540">
              <w:marLeft w:val="0"/>
              <w:marRight w:val="0"/>
              <w:marTop w:val="0"/>
              <w:marBottom w:val="0"/>
              <w:divBdr>
                <w:top w:val="none" w:sz="0" w:space="0" w:color="auto"/>
                <w:left w:val="none" w:sz="0" w:space="0" w:color="auto"/>
                <w:bottom w:val="none" w:sz="0" w:space="0" w:color="auto"/>
                <w:right w:val="none" w:sz="0" w:space="0" w:color="auto"/>
              </w:divBdr>
            </w:div>
          </w:divsChild>
        </w:div>
        <w:div w:id="1581912790">
          <w:marLeft w:val="0"/>
          <w:marRight w:val="0"/>
          <w:marTop w:val="0"/>
          <w:marBottom w:val="0"/>
          <w:divBdr>
            <w:top w:val="none" w:sz="0" w:space="0" w:color="auto"/>
            <w:left w:val="none" w:sz="0" w:space="0" w:color="auto"/>
            <w:bottom w:val="none" w:sz="0" w:space="0" w:color="auto"/>
            <w:right w:val="none" w:sz="0" w:space="0" w:color="auto"/>
          </w:divBdr>
          <w:divsChild>
            <w:div w:id="743114404">
              <w:marLeft w:val="0"/>
              <w:marRight w:val="0"/>
              <w:marTop w:val="0"/>
              <w:marBottom w:val="0"/>
              <w:divBdr>
                <w:top w:val="none" w:sz="0" w:space="0" w:color="auto"/>
                <w:left w:val="none" w:sz="0" w:space="0" w:color="auto"/>
                <w:bottom w:val="none" w:sz="0" w:space="0" w:color="auto"/>
                <w:right w:val="none" w:sz="0" w:space="0" w:color="auto"/>
              </w:divBdr>
            </w:div>
          </w:divsChild>
        </w:div>
        <w:div w:id="1817137896">
          <w:marLeft w:val="0"/>
          <w:marRight w:val="0"/>
          <w:marTop w:val="0"/>
          <w:marBottom w:val="0"/>
          <w:divBdr>
            <w:top w:val="none" w:sz="0" w:space="0" w:color="auto"/>
            <w:left w:val="none" w:sz="0" w:space="0" w:color="auto"/>
            <w:bottom w:val="none" w:sz="0" w:space="0" w:color="auto"/>
            <w:right w:val="none" w:sz="0" w:space="0" w:color="auto"/>
          </w:divBdr>
          <w:divsChild>
            <w:div w:id="46269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29820">
      <w:bodyDiv w:val="1"/>
      <w:marLeft w:val="0"/>
      <w:marRight w:val="0"/>
      <w:marTop w:val="0"/>
      <w:marBottom w:val="0"/>
      <w:divBdr>
        <w:top w:val="none" w:sz="0" w:space="0" w:color="auto"/>
        <w:left w:val="none" w:sz="0" w:space="0" w:color="auto"/>
        <w:bottom w:val="none" w:sz="0" w:space="0" w:color="auto"/>
        <w:right w:val="none" w:sz="0" w:space="0" w:color="auto"/>
      </w:divBdr>
      <w:divsChild>
        <w:div w:id="140007211">
          <w:marLeft w:val="0"/>
          <w:marRight w:val="0"/>
          <w:marTop w:val="0"/>
          <w:marBottom w:val="0"/>
          <w:divBdr>
            <w:top w:val="none" w:sz="0" w:space="0" w:color="auto"/>
            <w:left w:val="none" w:sz="0" w:space="0" w:color="auto"/>
            <w:bottom w:val="none" w:sz="0" w:space="0" w:color="auto"/>
            <w:right w:val="none" w:sz="0" w:space="0" w:color="auto"/>
          </w:divBdr>
          <w:divsChild>
            <w:div w:id="421998689">
              <w:marLeft w:val="0"/>
              <w:marRight w:val="0"/>
              <w:marTop w:val="0"/>
              <w:marBottom w:val="0"/>
              <w:divBdr>
                <w:top w:val="none" w:sz="0" w:space="0" w:color="auto"/>
                <w:left w:val="none" w:sz="0" w:space="0" w:color="auto"/>
                <w:bottom w:val="none" w:sz="0" w:space="0" w:color="auto"/>
                <w:right w:val="none" w:sz="0" w:space="0" w:color="auto"/>
              </w:divBdr>
            </w:div>
          </w:divsChild>
        </w:div>
        <w:div w:id="295835823">
          <w:marLeft w:val="0"/>
          <w:marRight w:val="0"/>
          <w:marTop w:val="0"/>
          <w:marBottom w:val="0"/>
          <w:divBdr>
            <w:top w:val="none" w:sz="0" w:space="0" w:color="auto"/>
            <w:left w:val="none" w:sz="0" w:space="0" w:color="auto"/>
            <w:bottom w:val="none" w:sz="0" w:space="0" w:color="auto"/>
            <w:right w:val="none" w:sz="0" w:space="0" w:color="auto"/>
          </w:divBdr>
          <w:divsChild>
            <w:div w:id="351539642">
              <w:marLeft w:val="0"/>
              <w:marRight w:val="0"/>
              <w:marTop w:val="0"/>
              <w:marBottom w:val="0"/>
              <w:divBdr>
                <w:top w:val="none" w:sz="0" w:space="0" w:color="auto"/>
                <w:left w:val="none" w:sz="0" w:space="0" w:color="auto"/>
                <w:bottom w:val="none" w:sz="0" w:space="0" w:color="auto"/>
                <w:right w:val="none" w:sz="0" w:space="0" w:color="auto"/>
              </w:divBdr>
            </w:div>
          </w:divsChild>
        </w:div>
        <w:div w:id="338968134">
          <w:marLeft w:val="0"/>
          <w:marRight w:val="0"/>
          <w:marTop w:val="0"/>
          <w:marBottom w:val="0"/>
          <w:divBdr>
            <w:top w:val="none" w:sz="0" w:space="0" w:color="auto"/>
            <w:left w:val="none" w:sz="0" w:space="0" w:color="auto"/>
            <w:bottom w:val="none" w:sz="0" w:space="0" w:color="auto"/>
            <w:right w:val="none" w:sz="0" w:space="0" w:color="auto"/>
          </w:divBdr>
          <w:divsChild>
            <w:div w:id="776371306">
              <w:marLeft w:val="0"/>
              <w:marRight w:val="0"/>
              <w:marTop w:val="0"/>
              <w:marBottom w:val="0"/>
              <w:divBdr>
                <w:top w:val="none" w:sz="0" w:space="0" w:color="auto"/>
                <w:left w:val="none" w:sz="0" w:space="0" w:color="auto"/>
                <w:bottom w:val="none" w:sz="0" w:space="0" w:color="auto"/>
                <w:right w:val="none" w:sz="0" w:space="0" w:color="auto"/>
              </w:divBdr>
            </w:div>
          </w:divsChild>
        </w:div>
        <w:div w:id="374618972">
          <w:marLeft w:val="0"/>
          <w:marRight w:val="0"/>
          <w:marTop w:val="0"/>
          <w:marBottom w:val="0"/>
          <w:divBdr>
            <w:top w:val="none" w:sz="0" w:space="0" w:color="auto"/>
            <w:left w:val="none" w:sz="0" w:space="0" w:color="auto"/>
            <w:bottom w:val="none" w:sz="0" w:space="0" w:color="auto"/>
            <w:right w:val="none" w:sz="0" w:space="0" w:color="auto"/>
          </w:divBdr>
          <w:divsChild>
            <w:div w:id="785588460">
              <w:marLeft w:val="0"/>
              <w:marRight w:val="0"/>
              <w:marTop w:val="0"/>
              <w:marBottom w:val="0"/>
              <w:divBdr>
                <w:top w:val="none" w:sz="0" w:space="0" w:color="auto"/>
                <w:left w:val="none" w:sz="0" w:space="0" w:color="auto"/>
                <w:bottom w:val="none" w:sz="0" w:space="0" w:color="auto"/>
                <w:right w:val="none" w:sz="0" w:space="0" w:color="auto"/>
              </w:divBdr>
            </w:div>
          </w:divsChild>
        </w:div>
        <w:div w:id="772897911">
          <w:marLeft w:val="0"/>
          <w:marRight w:val="0"/>
          <w:marTop w:val="0"/>
          <w:marBottom w:val="0"/>
          <w:divBdr>
            <w:top w:val="none" w:sz="0" w:space="0" w:color="auto"/>
            <w:left w:val="none" w:sz="0" w:space="0" w:color="auto"/>
            <w:bottom w:val="none" w:sz="0" w:space="0" w:color="auto"/>
            <w:right w:val="none" w:sz="0" w:space="0" w:color="auto"/>
          </w:divBdr>
          <w:divsChild>
            <w:div w:id="739058361">
              <w:marLeft w:val="0"/>
              <w:marRight w:val="0"/>
              <w:marTop w:val="0"/>
              <w:marBottom w:val="0"/>
              <w:divBdr>
                <w:top w:val="none" w:sz="0" w:space="0" w:color="auto"/>
                <w:left w:val="none" w:sz="0" w:space="0" w:color="auto"/>
                <w:bottom w:val="none" w:sz="0" w:space="0" w:color="auto"/>
                <w:right w:val="none" w:sz="0" w:space="0" w:color="auto"/>
              </w:divBdr>
            </w:div>
          </w:divsChild>
        </w:div>
        <w:div w:id="824198646">
          <w:marLeft w:val="0"/>
          <w:marRight w:val="0"/>
          <w:marTop w:val="0"/>
          <w:marBottom w:val="0"/>
          <w:divBdr>
            <w:top w:val="none" w:sz="0" w:space="0" w:color="auto"/>
            <w:left w:val="none" w:sz="0" w:space="0" w:color="auto"/>
            <w:bottom w:val="none" w:sz="0" w:space="0" w:color="auto"/>
            <w:right w:val="none" w:sz="0" w:space="0" w:color="auto"/>
          </w:divBdr>
          <w:divsChild>
            <w:div w:id="1452892431">
              <w:marLeft w:val="0"/>
              <w:marRight w:val="0"/>
              <w:marTop w:val="0"/>
              <w:marBottom w:val="0"/>
              <w:divBdr>
                <w:top w:val="none" w:sz="0" w:space="0" w:color="auto"/>
                <w:left w:val="none" w:sz="0" w:space="0" w:color="auto"/>
                <w:bottom w:val="none" w:sz="0" w:space="0" w:color="auto"/>
                <w:right w:val="none" w:sz="0" w:space="0" w:color="auto"/>
              </w:divBdr>
            </w:div>
          </w:divsChild>
        </w:div>
        <w:div w:id="1110469457">
          <w:marLeft w:val="0"/>
          <w:marRight w:val="0"/>
          <w:marTop w:val="0"/>
          <w:marBottom w:val="0"/>
          <w:divBdr>
            <w:top w:val="none" w:sz="0" w:space="0" w:color="auto"/>
            <w:left w:val="none" w:sz="0" w:space="0" w:color="auto"/>
            <w:bottom w:val="none" w:sz="0" w:space="0" w:color="auto"/>
            <w:right w:val="none" w:sz="0" w:space="0" w:color="auto"/>
          </w:divBdr>
          <w:divsChild>
            <w:div w:id="958490399">
              <w:marLeft w:val="0"/>
              <w:marRight w:val="0"/>
              <w:marTop w:val="0"/>
              <w:marBottom w:val="0"/>
              <w:divBdr>
                <w:top w:val="none" w:sz="0" w:space="0" w:color="auto"/>
                <w:left w:val="none" w:sz="0" w:space="0" w:color="auto"/>
                <w:bottom w:val="none" w:sz="0" w:space="0" w:color="auto"/>
                <w:right w:val="none" w:sz="0" w:space="0" w:color="auto"/>
              </w:divBdr>
            </w:div>
          </w:divsChild>
        </w:div>
        <w:div w:id="1233467854">
          <w:marLeft w:val="0"/>
          <w:marRight w:val="0"/>
          <w:marTop w:val="0"/>
          <w:marBottom w:val="0"/>
          <w:divBdr>
            <w:top w:val="none" w:sz="0" w:space="0" w:color="auto"/>
            <w:left w:val="none" w:sz="0" w:space="0" w:color="auto"/>
            <w:bottom w:val="none" w:sz="0" w:space="0" w:color="auto"/>
            <w:right w:val="none" w:sz="0" w:space="0" w:color="auto"/>
          </w:divBdr>
          <w:divsChild>
            <w:div w:id="2105107785">
              <w:marLeft w:val="0"/>
              <w:marRight w:val="0"/>
              <w:marTop w:val="0"/>
              <w:marBottom w:val="0"/>
              <w:divBdr>
                <w:top w:val="none" w:sz="0" w:space="0" w:color="auto"/>
                <w:left w:val="none" w:sz="0" w:space="0" w:color="auto"/>
                <w:bottom w:val="none" w:sz="0" w:space="0" w:color="auto"/>
                <w:right w:val="none" w:sz="0" w:space="0" w:color="auto"/>
              </w:divBdr>
            </w:div>
          </w:divsChild>
        </w:div>
        <w:div w:id="1621569272">
          <w:marLeft w:val="0"/>
          <w:marRight w:val="0"/>
          <w:marTop w:val="0"/>
          <w:marBottom w:val="0"/>
          <w:divBdr>
            <w:top w:val="none" w:sz="0" w:space="0" w:color="auto"/>
            <w:left w:val="none" w:sz="0" w:space="0" w:color="auto"/>
            <w:bottom w:val="none" w:sz="0" w:space="0" w:color="auto"/>
            <w:right w:val="none" w:sz="0" w:space="0" w:color="auto"/>
          </w:divBdr>
          <w:divsChild>
            <w:div w:id="387537969">
              <w:marLeft w:val="0"/>
              <w:marRight w:val="0"/>
              <w:marTop w:val="0"/>
              <w:marBottom w:val="0"/>
              <w:divBdr>
                <w:top w:val="none" w:sz="0" w:space="0" w:color="auto"/>
                <w:left w:val="none" w:sz="0" w:space="0" w:color="auto"/>
                <w:bottom w:val="none" w:sz="0" w:space="0" w:color="auto"/>
                <w:right w:val="none" w:sz="0" w:space="0" w:color="auto"/>
              </w:divBdr>
            </w:div>
          </w:divsChild>
        </w:div>
        <w:div w:id="1672563918">
          <w:marLeft w:val="0"/>
          <w:marRight w:val="0"/>
          <w:marTop w:val="0"/>
          <w:marBottom w:val="0"/>
          <w:divBdr>
            <w:top w:val="none" w:sz="0" w:space="0" w:color="auto"/>
            <w:left w:val="none" w:sz="0" w:space="0" w:color="auto"/>
            <w:bottom w:val="none" w:sz="0" w:space="0" w:color="auto"/>
            <w:right w:val="none" w:sz="0" w:space="0" w:color="auto"/>
          </w:divBdr>
          <w:divsChild>
            <w:div w:id="1874414650">
              <w:marLeft w:val="0"/>
              <w:marRight w:val="0"/>
              <w:marTop w:val="0"/>
              <w:marBottom w:val="0"/>
              <w:divBdr>
                <w:top w:val="none" w:sz="0" w:space="0" w:color="auto"/>
                <w:left w:val="none" w:sz="0" w:space="0" w:color="auto"/>
                <w:bottom w:val="none" w:sz="0" w:space="0" w:color="auto"/>
                <w:right w:val="none" w:sz="0" w:space="0" w:color="auto"/>
              </w:divBdr>
            </w:div>
          </w:divsChild>
        </w:div>
        <w:div w:id="1764447606">
          <w:marLeft w:val="0"/>
          <w:marRight w:val="0"/>
          <w:marTop w:val="0"/>
          <w:marBottom w:val="0"/>
          <w:divBdr>
            <w:top w:val="none" w:sz="0" w:space="0" w:color="auto"/>
            <w:left w:val="none" w:sz="0" w:space="0" w:color="auto"/>
            <w:bottom w:val="none" w:sz="0" w:space="0" w:color="auto"/>
            <w:right w:val="none" w:sz="0" w:space="0" w:color="auto"/>
          </w:divBdr>
          <w:divsChild>
            <w:div w:id="1997223245">
              <w:marLeft w:val="0"/>
              <w:marRight w:val="0"/>
              <w:marTop w:val="0"/>
              <w:marBottom w:val="0"/>
              <w:divBdr>
                <w:top w:val="none" w:sz="0" w:space="0" w:color="auto"/>
                <w:left w:val="none" w:sz="0" w:space="0" w:color="auto"/>
                <w:bottom w:val="none" w:sz="0" w:space="0" w:color="auto"/>
                <w:right w:val="none" w:sz="0" w:space="0" w:color="auto"/>
              </w:divBdr>
            </w:div>
          </w:divsChild>
        </w:div>
        <w:div w:id="1779833984">
          <w:marLeft w:val="0"/>
          <w:marRight w:val="0"/>
          <w:marTop w:val="0"/>
          <w:marBottom w:val="0"/>
          <w:divBdr>
            <w:top w:val="none" w:sz="0" w:space="0" w:color="auto"/>
            <w:left w:val="none" w:sz="0" w:space="0" w:color="auto"/>
            <w:bottom w:val="none" w:sz="0" w:space="0" w:color="auto"/>
            <w:right w:val="none" w:sz="0" w:space="0" w:color="auto"/>
          </w:divBdr>
          <w:divsChild>
            <w:div w:id="4139350">
              <w:marLeft w:val="0"/>
              <w:marRight w:val="0"/>
              <w:marTop w:val="0"/>
              <w:marBottom w:val="0"/>
              <w:divBdr>
                <w:top w:val="none" w:sz="0" w:space="0" w:color="auto"/>
                <w:left w:val="none" w:sz="0" w:space="0" w:color="auto"/>
                <w:bottom w:val="none" w:sz="0" w:space="0" w:color="auto"/>
                <w:right w:val="none" w:sz="0" w:space="0" w:color="auto"/>
              </w:divBdr>
            </w:div>
          </w:divsChild>
        </w:div>
        <w:div w:id="1825704733">
          <w:marLeft w:val="0"/>
          <w:marRight w:val="0"/>
          <w:marTop w:val="0"/>
          <w:marBottom w:val="0"/>
          <w:divBdr>
            <w:top w:val="none" w:sz="0" w:space="0" w:color="auto"/>
            <w:left w:val="none" w:sz="0" w:space="0" w:color="auto"/>
            <w:bottom w:val="none" w:sz="0" w:space="0" w:color="auto"/>
            <w:right w:val="none" w:sz="0" w:space="0" w:color="auto"/>
          </w:divBdr>
          <w:divsChild>
            <w:div w:id="1391269769">
              <w:marLeft w:val="0"/>
              <w:marRight w:val="0"/>
              <w:marTop w:val="0"/>
              <w:marBottom w:val="0"/>
              <w:divBdr>
                <w:top w:val="none" w:sz="0" w:space="0" w:color="auto"/>
                <w:left w:val="none" w:sz="0" w:space="0" w:color="auto"/>
                <w:bottom w:val="none" w:sz="0" w:space="0" w:color="auto"/>
                <w:right w:val="none" w:sz="0" w:space="0" w:color="auto"/>
              </w:divBdr>
            </w:div>
          </w:divsChild>
        </w:div>
        <w:div w:id="1826504874">
          <w:marLeft w:val="0"/>
          <w:marRight w:val="0"/>
          <w:marTop w:val="0"/>
          <w:marBottom w:val="0"/>
          <w:divBdr>
            <w:top w:val="none" w:sz="0" w:space="0" w:color="auto"/>
            <w:left w:val="none" w:sz="0" w:space="0" w:color="auto"/>
            <w:bottom w:val="none" w:sz="0" w:space="0" w:color="auto"/>
            <w:right w:val="none" w:sz="0" w:space="0" w:color="auto"/>
          </w:divBdr>
          <w:divsChild>
            <w:div w:id="1389718705">
              <w:marLeft w:val="0"/>
              <w:marRight w:val="0"/>
              <w:marTop w:val="0"/>
              <w:marBottom w:val="0"/>
              <w:divBdr>
                <w:top w:val="none" w:sz="0" w:space="0" w:color="auto"/>
                <w:left w:val="none" w:sz="0" w:space="0" w:color="auto"/>
                <w:bottom w:val="none" w:sz="0" w:space="0" w:color="auto"/>
                <w:right w:val="none" w:sz="0" w:space="0" w:color="auto"/>
              </w:divBdr>
            </w:div>
          </w:divsChild>
        </w:div>
        <w:div w:id="1943175141">
          <w:marLeft w:val="0"/>
          <w:marRight w:val="0"/>
          <w:marTop w:val="0"/>
          <w:marBottom w:val="0"/>
          <w:divBdr>
            <w:top w:val="none" w:sz="0" w:space="0" w:color="auto"/>
            <w:left w:val="none" w:sz="0" w:space="0" w:color="auto"/>
            <w:bottom w:val="none" w:sz="0" w:space="0" w:color="auto"/>
            <w:right w:val="none" w:sz="0" w:space="0" w:color="auto"/>
          </w:divBdr>
          <w:divsChild>
            <w:div w:id="1556618992">
              <w:marLeft w:val="0"/>
              <w:marRight w:val="0"/>
              <w:marTop w:val="0"/>
              <w:marBottom w:val="0"/>
              <w:divBdr>
                <w:top w:val="none" w:sz="0" w:space="0" w:color="auto"/>
                <w:left w:val="none" w:sz="0" w:space="0" w:color="auto"/>
                <w:bottom w:val="none" w:sz="0" w:space="0" w:color="auto"/>
                <w:right w:val="none" w:sz="0" w:space="0" w:color="auto"/>
              </w:divBdr>
            </w:div>
          </w:divsChild>
        </w:div>
        <w:div w:id="2047680613">
          <w:marLeft w:val="0"/>
          <w:marRight w:val="0"/>
          <w:marTop w:val="0"/>
          <w:marBottom w:val="0"/>
          <w:divBdr>
            <w:top w:val="none" w:sz="0" w:space="0" w:color="auto"/>
            <w:left w:val="none" w:sz="0" w:space="0" w:color="auto"/>
            <w:bottom w:val="none" w:sz="0" w:space="0" w:color="auto"/>
            <w:right w:val="none" w:sz="0" w:space="0" w:color="auto"/>
          </w:divBdr>
          <w:divsChild>
            <w:div w:id="753404595">
              <w:marLeft w:val="0"/>
              <w:marRight w:val="0"/>
              <w:marTop w:val="0"/>
              <w:marBottom w:val="0"/>
              <w:divBdr>
                <w:top w:val="none" w:sz="0" w:space="0" w:color="auto"/>
                <w:left w:val="none" w:sz="0" w:space="0" w:color="auto"/>
                <w:bottom w:val="none" w:sz="0" w:space="0" w:color="auto"/>
                <w:right w:val="none" w:sz="0" w:space="0" w:color="auto"/>
              </w:divBdr>
            </w:div>
          </w:divsChild>
        </w:div>
        <w:div w:id="2050060111">
          <w:marLeft w:val="0"/>
          <w:marRight w:val="0"/>
          <w:marTop w:val="0"/>
          <w:marBottom w:val="0"/>
          <w:divBdr>
            <w:top w:val="none" w:sz="0" w:space="0" w:color="auto"/>
            <w:left w:val="none" w:sz="0" w:space="0" w:color="auto"/>
            <w:bottom w:val="none" w:sz="0" w:space="0" w:color="auto"/>
            <w:right w:val="none" w:sz="0" w:space="0" w:color="auto"/>
          </w:divBdr>
          <w:divsChild>
            <w:div w:id="1893541907">
              <w:marLeft w:val="0"/>
              <w:marRight w:val="0"/>
              <w:marTop w:val="0"/>
              <w:marBottom w:val="0"/>
              <w:divBdr>
                <w:top w:val="none" w:sz="0" w:space="0" w:color="auto"/>
                <w:left w:val="none" w:sz="0" w:space="0" w:color="auto"/>
                <w:bottom w:val="none" w:sz="0" w:space="0" w:color="auto"/>
                <w:right w:val="none" w:sz="0" w:space="0" w:color="auto"/>
              </w:divBdr>
            </w:div>
          </w:divsChild>
        </w:div>
        <w:div w:id="2117404754">
          <w:marLeft w:val="0"/>
          <w:marRight w:val="0"/>
          <w:marTop w:val="0"/>
          <w:marBottom w:val="0"/>
          <w:divBdr>
            <w:top w:val="none" w:sz="0" w:space="0" w:color="auto"/>
            <w:left w:val="none" w:sz="0" w:space="0" w:color="auto"/>
            <w:bottom w:val="none" w:sz="0" w:space="0" w:color="auto"/>
            <w:right w:val="none" w:sz="0" w:space="0" w:color="auto"/>
          </w:divBdr>
          <w:divsChild>
            <w:div w:id="76920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534140">
      <w:bodyDiv w:val="1"/>
      <w:marLeft w:val="0"/>
      <w:marRight w:val="0"/>
      <w:marTop w:val="0"/>
      <w:marBottom w:val="0"/>
      <w:divBdr>
        <w:top w:val="none" w:sz="0" w:space="0" w:color="auto"/>
        <w:left w:val="none" w:sz="0" w:space="0" w:color="auto"/>
        <w:bottom w:val="none" w:sz="0" w:space="0" w:color="auto"/>
        <w:right w:val="none" w:sz="0" w:space="0" w:color="auto"/>
      </w:divBdr>
      <w:divsChild>
        <w:div w:id="367335550">
          <w:marLeft w:val="0"/>
          <w:marRight w:val="0"/>
          <w:marTop w:val="0"/>
          <w:marBottom w:val="0"/>
          <w:divBdr>
            <w:top w:val="none" w:sz="0" w:space="0" w:color="auto"/>
            <w:left w:val="none" w:sz="0" w:space="0" w:color="auto"/>
            <w:bottom w:val="none" w:sz="0" w:space="0" w:color="auto"/>
            <w:right w:val="none" w:sz="0" w:space="0" w:color="auto"/>
          </w:divBdr>
        </w:div>
      </w:divsChild>
    </w:div>
    <w:div w:id="727924963">
      <w:bodyDiv w:val="1"/>
      <w:marLeft w:val="0"/>
      <w:marRight w:val="0"/>
      <w:marTop w:val="0"/>
      <w:marBottom w:val="0"/>
      <w:divBdr>
        <w:top w:val="none" w:sz="0" w:space="0" w:color="auto"/>
        <w:left w:val="none" w:sz="0" w:space="0" w:color="auto"/>
        <w:bottom w:val="none" w:sz="0" w:space="0" w:color="auto"/>
        <w:right w:val="none" w:sz="0" w:space="0" w:color="auto"/>
      </w:divBdr>
      <w:divsChild>
        <w:div w:id="62141701">
          <w:marLeft w:val="0"/>
          <w:marRight w:val="0"/>
          <w:marTop w:val="0"/>
          <w:marBottom w:val="0"/>
          <w:divBdr>
            <w:top w:val="none" w:sz="0" w:space="0" w:color="auto"/>
            <w:left w:val="none" w:sz="0" w:space="0" w:color="auto"/>
            <w:bottom w:val="none" w:sz="0" w:space="0" w:color="auto"/>
            <w:right w:val="none" w:sz="0" w:space="0" w:color="auto"/>
          </w:divBdr>
          <w:divsChild>
            <w:div w:id="520970257">
              <w:marLeft w:val="0"/>
              <w:marRight w:val="0"/>
              <w:marTop w:val="0"/>
              <w:marBottom w:val="0"/>
              <w:divBdr>
                <w:top w:val="none" w:sz="0" w:space="0" w:color="auto"/>
                <w:left w:val="single" w:sz="36" w:space="0" w:color="FFFFFF"/>
                <w:bottom w:val="none" w:sz="0" w:space="0" w:color="auto"/>
                <w:right w:val="single" w:sz="36" w:space="0" w:color="FFFFFF"/>
              </w:divBdr>
              <w:divsChild>
                <w:div w:id="172036188">
                  <w:marLeft w:val="0"/>
                  <w:marRight w:val="0"/>
                  <w:marTop w:val="0"/>
                  <w:marBottom w:val="0"/>
                  <w:divBdr>
                    <w:top w:val="none" w:sz="0" w:space="0" w:color="auto"/>
                    <w:left w:val="none" w:sz="0" w:space="0" w:color="auto"/>
                    <w:bottom w:val="none" w:sz="0" w:space="0" w:color="auto"/>
                    <w:right w:val="none" w:sz="0" w:space="0" w:color="auto"/>
                  </w:divBdr>
                  <w:divsChild>
                    <w:div w:id="397897199">
                      <w:marLeft w:val="0"/>
                      <w:marRight w:val="0"/>
                      <w:marTop w:val="0"/>
                      <w:marBottom w:val="0"/>
                      <w:divBdr>
                        <w:top w:val="none" w:sz="0" w:space="0" w:color="auto"/>
                        <w:left w:val="none" w:sz="0" w:space="0" w:color="auto"/>
                        <w:bottom w:val="none" w:sz="0" w:space="0" w:color="auto"/>
                        <w:right w:val="none" w:sz="0" w:space="0" w:color="auto"/>
                      </w:divBdr>
                      <w:divsChild>
                        <w:div w:id="188682352">
                          <w:marLeft w:val="0"/>
                          <w:marRight w:val="0"/>
                          <w:marTop w:val="150"/>
                          <w:marBottom w:val="150"/>
                          <w:divBdr>
                            <w:top w:val="single" w:sz="6" w:space="8" w:color="4498E7"/>
                            <w:left w:val="single" w:sz="6" w:space="8" w:color="4498E7"/>
                            <w:bottom w:val="single" w:sz="6" w:space="8" w:color="2C78BE"/>
                            <w:right w:val="single" w:sz="6" w:space="8" w:color="2C78BE"/>
                          </w:divBdr>
                          <w:divsChild>
                            <w:div w:id="1027364136">
                              <w:marLeft w:val="0"/>
                              <w:marRight w:val="0"/>
                              <w:marTop w:val="0"/>
                              <w:marBottom w:val="0"/>
                              <w:divBdr>
                                <w:top w:val="none" w:sz="0" w:space="0" w:color="auto"/>
                                <w:left w:val="none" w:sz="0" w:space="0" w:color="auto"/>
                                <w:bottom w:val="none" w:sz="0" w:space="0" w:color="auto"/>
                                <w:right w:val="none" w:sz="0" w:space="0" w:color="auto"/>
                              </w:divBdr>
                              <w:divsChild>
                                <w:div w:id="1922447726">
                                  <w:marLeft w:val="0"/>
                                  <w:marRight w:val="0"/>
                                  <w:marTop w:val="0"/>
                                  <w:marBottom w:val="0"/>
                                  <w:divBdr>
                                    <w:top w:val="none" w:sz="0" w:space="0" w:color="auto"/>
                                    <w:left w:val="none" w:sz="0" w:space="0" w:color="auto"/>
                                    <w:bottom w:val="none" w:sz="0" w:space="0" w:color="auto"/>
                                    <w:right w:val="none" w:sz="0" w:space="0" w:color="auto"/>
                                  </w:divBdr>
                                  <w:divsChild>
                                    <w:div w:id="1006713616">
                                      <w:marLeft w:val="0"/>
                                      <w:marRight w:val="0"/>
                                      <w:marTop w:val="0"/>
                                      <w:marBottom w:val="0"/>
                                      <w:divBdr>
                                        <w:top w:val="none" w:sz="0" w:space="0" w:color="auto"/>
                                        <w:left w:val="none" w:sz="0" w:space="0" w:color="auto"/>
                                        <w:bottom w:val="single" w:sz="6" w:space="0" w:color="9AA7B9"/>
                                        <w:right w:val="none" w:sz="0" w:space="0" w:color="auto"/>
                                      </w:divBdr>
                                      <w:divsChild>
                                        <w:div w:id="45375783">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6871422">
      <w:bodyDiv w:val="1"/>
      <w:marLeft w:val="0"/>
      <w:marRight w:val="0"/>
      <w:marTop w:val="0"/>
      <w:marBottom w:val="0"/>
      <w:divBdr>
        <w:top w:val="none" w:sz="0" w:space="0" w:color="auto"/>
        <w:left w:val="none" w:sz="0" w:space="0" w:color="auto"/>
        <w:bottom w:val="none" w:sz="0" w:space="0" w:color="auto"/>
        <w:right w:val="none" w:sz="0" w:space="0" w:color="auto"/>
      </w:divBdr>
      <w:divsChild>
        <w:div w:id="45183248">
          <w:marLeft w:val="0"/>
          <w:marRight w:val="0"/>
          <w:marTop w:val="0"/>
          <w:marBottom w:val="0"/>
          <w:divBdr>
            <w:top w:val="none" w:sz="0" w:space="0" w:color="auto"/>
            <w:left w:val="none" w:sz="0" w:space="0" w:color="auto"/>
            <w:bottom w:val="none" w:sz="0" w:space="0" w:color="auto"/>
            <w:right w:val="none" w:sz="0" w:space="0" w:color="auto"/>
          </w:divBdr>
          <w:divsChild>
            <w:div w:id="28922055">
              <w:marLeft w:val="0"/>
              <w:marRight w:val="0"/>
              <w:marTop w:val="0"/>
              <w:marBottom w:val="0"/>
              <w:divBdr>
                <w:top w:val="none" w:sz="0" w:space="0" w:color="auto"/>
                <w:left w:val="none" w:sz="0" w:space="0" w:color="auto"/>
                <w:bottom w:val="none" w:sz="0" w:space="0" w:color="auto"/>
                <w:right w:val="none" w:sz="0" w:space="0" w:color="auto"/>
              </w:divBdr>
            </w:div>
          </w:divsChild>
        </w:div>
        <w:div w:id="64031933">
          <w:marLeft w:val="0"/>
          <w:marRight w:val="0"/>
          <w:marTop w:val="0"/>
          <w:marBottom w:val="0"/>
          <w:divBdr>
            <w:top w:val="none" w:sz="0" w:space="0" w:color="auto"/>
            <w:left w:val="none" w:sz="0" w:space="0" w:color="auto"/>
            <w:bottom w:val="none" w:sz="0" w:space="0" w:color="auto"/>
            <w:right w:val="none" w:sz="0" w:space="0" w:color="auto"/>
          </w:divBdr>
          <w:divsChild>
            <w:div w:id="1078668601">
              <w:marLeft w:val="0"/>
              <w:marRight w:val="0"/>
              <w:marTop w:val="0"/>
              <w:marBottom w:val="0"/>
              <w:divBdr>
                <w:top w:val="none" w:sz="0" w:space="0" w:color="auto"/>
                <w:left w:val="none" w:sz="0" w:space="0" w:color="auto"/>
                <w:bottom w:val="none" w:sz="0" w:space="0" w:color="auto"/>
                <w:right w:val="none" w:sz="0" w:space="0" w:color="auto"/>
              </w:divBdr>
            </w:div>
          </w:divsChild>
        </w:div>
        <w:div w:id="169948689">
          <w:marLeft w:val="0"/>
          <w:marRight w:val="0"/>
          <w:marTop w:val="0"/>
          <w:marBottom w:val="0"/>
          <w:divBdr>
            <w:top w:val="none" w:sz="0" w:space="0" w:color="auto"/>
            <w:left w:val="none" w:sz="0" w:space="0" w:color="auto"/>
            <w:bottom w:val="none" w:sz="0" w:space="0" w:color="auto"/>
            <w:right w:val="none" w:sz="0" w:space="0" w:color="auto"/>
          </w:divBdr>
          <w:divsChild>
            <w:div w:id="312879037">
              <w:marLeft w:val="0"/>
              <w:marRight w:val="0"/>
              <w:marTop w:val="0"/>
              <w:marBottom w:val="0"/>
              <w:divBdr>
                <w:top w:val="none" w:sz="0" w:space="0" w:color="auto"/>
                <w:left w:val="none" w:sz="0" w:space="0" w:color="auto"/>
                <w:bottom w:val="none" w:sz="0" w:space="0" w:color="auto"/>
                <w:right w:val="none" w:sz="0" w:space="0" w:color="auto"/>
              </w:divBdr>
            </w:div>
          </w:divsChild>
        </w:div>
        <w:div w:id="376591549">
          <w:marLeft w:val="0"/>
          <w:marRight w:val="0"/>
          <w:marTop w:val="0"/>
          <w:marBottom w:val="0"/>
          <w:divBdr>
            <w:top w:val="none" w:sz="0" w:space="0" w:color="auto"/>
            <w:left w:val="none" w:sz="0" w:space="0" w:color="auto"/>
            <w:bottom w:val="none" w:sz="0" w:space="0" w:color="auto"/>
            <w:right w:val="none" w:sz="0" w:space="0" w:color="auto"/>
          </w:divBdr>
          <w:divsChild>
            <w:div w:id="1017728740">
              <w:marLeft w:val="0"/>
              <w:marRight w:val="0"/>
              <w:marTop w:val="0"/>
              <w:marBottom w:val="0"/>
              <w:divBdr>
                <w:top w:val="none" w:sz="0" w:space="0" w:color="auto"/>
                <w:left w:val="none" w:sz="0" w:space="0" w:color="auto"/>
                <w:bottom w:val="none" w:sz="0" w:space="0" w:color="auto"/>
                <w:right w:val="none" w:sz="0" w:space="0" w:color="auto"/>
              </w:divBdr>
            </w:div>
          </w:divsChild>
        </w:div>
        <w:div w:id="416442155">
          <w:marLeft w:val="0"/>
          <w:marRight w:val="0"/>
          <w:marTop w:val="0"/>
          <w:marBottom w:val="0"/>
          <w:divBdr>
            <w:top w:val="none" w:sz="0" w:space="0" w:color="auto"/>
            <w:left w:val="none" w:sz="0" w:space="0" w:color="auto"/>
            <w:bottom w:val="none" w:sz="0" w:space="0" w:color="auto"/>
            <w:right w:val="none" w:sz="0" w:space="0" w:color="auto"/>
          </w:divBdr>
          <w:divsChild>
            <w:div w:id="1571698696">
              <w:marLeft w:val="0"/>
              <w:marRight w:val="0"/>
              <w:marTop w:val="0"/>
              <w:marBottom w:val="0"/>
              <w:divBdr>
                <w:top w:val="none" w:sz="0" w:space="0" w:color="auto"/>
                <w:left w:val="none" w:sz="0" w:space="0" w:color="auto"/>
                <w:bottom w:val="none" w:sz="0" w:space="0" w:color="auto"/>
                <w:right w:val="none" w:sz="0" w:space="0" w:color="auto"/>
              </w:divBdr>
            </w:div>
          </w:divsChild>
        </w:div>
        <w:div w:id="597522524">
          <w:marLeft w:val="0"/>
          <w:marRight w:val="0"/>
          <w:marTop w:val="0"/>
          <w:marBottom w:val="0"/>
          <w:divBdr>
            <w:top w:val="none" w:sz="0" w:space="0" w:color="auto"/>
            <w:left w:val="none" w:sz="0" w:space="0" w:color="auto"/>
            <w:bottom w:val="none" w:sz="0" w:space="0" w:color="auto"/>
            <w:right w:val="none" w:sz="0" w:space="0" w:color="auto"/>
          </w:divBdr>
          <w:divsChild>
            <w:div w:id="1771004465">
              <w:marLeft w:val="0"/>
              <w:marRight w:val="0"/>
              <w:marTop w:val="0"/>
              <w:marBottom w:val="0"/>
              <w:divBdr>
                <w:top w:val="none" w:sz="0" w:space="0" w:color="auto"/>
                <w:left w:val="none" w:sz="0" w:space="0" w:color="auto"/>
                <w:bottom w:val="none" w:sz="0" w:space="0" w:color="auto"/>
                <w:right w:val="none" w:sz="0" w:space="0" w:color="auto"/>
              </w:divBdr>
            </w:div>
          </w:divsChild>
        </w:div>
        <w:div w:id="716049829">
          <w:marLeft w:val="0"/>
          <w:marRight w:val="0"/>
          <w:marTop w:val="0"/>
          <w:marBottom w:val="0"/>
          <w:divBdr>
            <w:top w:val="none" w:sz="0" w:space="0" w:color="auto"/>
            <w:left w:val="none" w:sz="0" w:space="0" w:color="auto"/>
            <w:bottom w:val="none" w:sz="0" w:space="0" w:color="auto"/>
            <w:right w:val="none" w:sz="0" w:space="0" w:color="auto"/>
          </w:divBdr>
          <w:divsChild>
            <w:div w:id="1437746328">
              <w:marLeft w:val="0"/>
              <w:marRight w:val="0"/>
              <w:marTop w:val="0"/>
              <w:marBottom w:val="0"/>
              <w:divBdr>
                <w:top w:val="none" w:sz="0" w:space="0" w:color="auto"/>
                <w:left w:val="none" w:sz="0" w:space="0" w:color="auto"/>
                <w:bottom w:val="none" w:sz="0" w:space="0" w:color="auto"/>
                <w:right w:val="none" w:sz="0" w:space="0" w:color="auto"/>
              </w:divBdr>
            </w:div>
          </w:divsChild>
        </w:div>
        <w:div w:id="985209567">
          <w:marLeft w:val="0"/>
          <w:marRight w:val="0"/>
          <w:marTop w:val="0"/>
          <w:marBottom w:val="0"/>
          <w:divBdr>
            <w:top w:val="none" w:sz="0" w:space="0" w:color="auto"/>
            <w:left w:val="none" w:sz="0" w:space="0" w:color="auto"/>
            <w:bottom w:val="none" w:sz="0" w:space="0" w:color="auto"/>
            <w:right w:val="none" w:sz="0" w:space="0" w:color="auto"/>
          </w:divBdr>
          <w:divsChild>
            <w:div w:id="220099173">
              <w:marLeft w:val="0"/>
              <w:marRight w:val="0"/>
              <w:marTop w:val="0"/>
              <w:marBottom w:val="0"/>
              <w:divBdr>
                <w:top w:val="none" w:sz="0" w:space="0" w:color="auto"/>
                <w:left w:val="none" w:sz="0" w:space="0" w:color="auto"/>
                <w:bottom w:val="none" w:sz="0" w:space="0" w:color="auto"/>
                <w:right w:val="none" w:sz="0" w:space="0" w:color="auto"/>
              </w:divBdr>
            </w:div>
          </w:divsChild>
        </w:div>
        <w:div w:id="1034647781">
          <w:marLeft w:val="0"/>
          <w:marRight w:val="0"/>
          <w:marTop w:val="0"/>
          <w:marBottom w:val="0"/>
          <w:divBdr>
            <w:top w:val="none" w:sz="0" w:space="0" w:color="auto"/>
            <w:left w:val="none" w:sz="0" w:space="0" w:color="auto"/>
            <w:bottom w:val="none" w:sz="0" w:space="0" w:color="auto"/>
            <w:right w:val="none" w:sz="0" w:space="0" w:color="auto"/>
          </w:divBdr>
          <w:divsChild>
            <w:div w:id="235407712">
              <w:marLeft w:val="0"/>
              <w:marRight w:val="0"/>
              <w:marTop w:val="0"/>
              <w:marBottom w:val="0"/>
              <w:divBdr>
                <w:top w:val="none" w:sz="0" w:space="0" w:color="auto"/>
                <w:left w:val="none" w:sz="0" w:space="0" w:color="auto"/>
                <w:bottom w:val="none" w:sz="0" w:space="0" w:color="auto"/>
                <w:right w:val="none" w:sz="0" w:space="0" w:color="auto"/>
              </w:divBdr>
            </w:div>
          </w:divsChild>
        </w:div>
        <w:div w:id="1050879956">
          <w:marLeft w:val="0"/>
          <w:marRight w:val="0"/>
          <w:marTop w:val="0"/>
          <w:marBottom w:val="0"/>
          <w:divBdr>
            <w:top w:val="none" w:sz="0" w:space="0" w:color="auto"/>
            <w:left w:val="none" w:sz="0" w:space="0" w:color="auto"/>
            <w:bottom w:val="none" w:sz="0" w:space="0" w:color="auto"/>
            <w:right w:val="none" w:sz="0" w:space="0" w:color="auto"/>
          </w:divBdr>
          <w:divsChild>
            <w:div w:id="1811896678">
              <w:marLeft w:val="0"/>
              <w:marRight w:val="0"/>
              <w:marTop w:val="0"/>
              <w:marBottom w:val="0"/>
              <w:divBdr>
                <w:top w:val="none" w:sz="0" w:space="0" w:color="auto"/>
                <w:left w:val="none" w:sz="0" w:space="0" w:color="auto"/>
                <w:bottom w:val="none" w:sz="0" w:space="0" w:color="auto"/>
                <w:right w:val="none" w:sz="0" w:space="0" w:color="auto"/>
              </w:divBdr>
            </w:div>
          </w:divsChild>
        </w:div>
        <w:div w:id="1087389638">
          <w:marLeft w:val="0"/>
          <w:marRight w:val="0"/>
          <w:marTop w:val="0"/>
          <w:marBottom w:val="0"/>
          <w:divBdr>
            <w:top w:val="none" w:sz="0" w:space="0" w:color="auto"/>
            <w:left w:val="none" w:sz="0" w:space="0" w:color="auto"/>
            <w:bottom w:val="none" w:sz="0" w:space="0" w:color="auto"/>
            <w:right w:val="none" w:sz="0" w:space="0" w:color="auto"/>
          </w:divBdr>
          <w:divsChild>
            <w:div w:id="1030565156">
              <w:marLeft w:val="0"/>
              <w:marRight w:val="0"/>
              <w:marTop w:val="0"/>
              <w:marBottom w:val="0"/>
              <w:divBdr>
                <w:top w:val="none" w:sz="0" w:space="0" w:color="auto"/>
                <w:left w:val="none" w:sz="0" w:space="0" w:color="auto"/>
                <w:bottom w:val="none" w:sz="0" w:space="0" w:color="auto"/>
                <w:right w:val="none" w:sz="0" w:space="0" w:color="auto"/>
              </w:divBdr>
            </w:div>
          </w:divsChild>
        </w:div>
        <w:div w:id="1095590527">
          <w:marLeft w:val="0"/>
          <w:marRight w:val="0"/>
          <w:marTop w:val="0"/>
          <w:marBottom w:val="0"/>
          <w:divBdr>
            <w:top w:val="none" w:sz="0" w:space="0" w:color="auto"/>
            <w:left w:val="none" w:sz="0" w:space="0" w:color="auto"/>
            <w:bottom w:val="none" w:sz="0" w:space="0" w:color="auto"/>
            <w:right w:val="none" w:sz="0" w:space="0" w:color="auto"/>
          </w:divBdr>
          <w:divsChild>
            <w:div w:id="99617384">
              <w:marLeft w:val="0"/>
              <w:marRight w:val="0"/>
              <w:marTop w:val="0"/>
              <w:marBottom w:val="0"/>
              <w:divBdr>
                <w:top w:val="none" w:sz="0" w:space="0" w:color="auto"/>
                <w:left w:val="none" w:sz="0" w:space="0" w:color="auto"/>
                <w:bottom w:val="none" w:sz="0" w:space="0" w:color="auto"/>
                <w:right w:val="none" w:sz="0" w:space="0" w:color="auto"/>
              </w:divBdr>
            </w:div>
          </w:divsChild>
        </w:div>
        <w:div w:id="1314143400">
          <w:marLeft w:val="0"/>
          <w:marRight w:val="0"/>
          <w:marTop w:val="0"/>
          <w:marBottom w:val="0"/>
          <w:divBdr>
            <w:top w:val="none" w:sz="0" w:space="0" w:color="auto"/>
            <w:left w:val="none" w:sz="0" w:space="0" w:color="auto"/>
            <w:bottom w:val="none" w:sz="0" w:space="0" w:color="auto"/>
            <w:right w:val="none" w:sz="0" w:space="0" w:color="auto"/>
          </w:divBdr>
          <w:divsChild>
            <w:div w:id="1242641557">
              <w:marLeft w:val="0"/>
              <w:marRight w:val="0"/>
              <w:marTop w:val="0"/>
              <w:marBottom w:val="0"/>
              <w:divBdr>
                <w:top w:val="none" w:sz="0" w:space="0" w:color="auto"/>
                <w:left w:val="none" w:sz="0" w:space="0" w:color="auto"/>
                <w:bottom w:val="none" w:sz="0" w:space="0" w:color="auto"/>
                <w:right w:val="none" w:sz="0" w:space="0" w:color="auto"/>
              </w:divBdr>
            </w:div>
          </w:divsChild>
        </w:div>
        <w:div w:id="1326666107">
          <w:marLeft w:val="0"/>
          <w:marRight w:val="0"/>
          <w:marTop w:val="0"/>
          <w:marBottom w:val="0"/>
          <w:divBdr>
            <w:top w:val="none" w:sz="0" w:space="0" w:color="auto"/>
            <w:left w:val="none" w:sz="0" w:space="0" w:color="auto"/>
            <w:bottom w:val="none" w:sz="0" w:space="0" w:color="auto"/>
            <w:right w:val="none" w:sz="0" w:space="0" w:color="auto"/>
          </w:divBdr>
          <w:divsChild>
            <w:div w:id="543832530">
              <w:marLeft w:val="0"/>
              <w:marRight w:val="0"/>
              <w:marTop w:val="0"/>
              <w:marBottom w:val="0"/>
              <w:divBdr>
                <w:top w:val="none" w:sz="0" w:space="0" w:color="auto"/>
                <w:left w:val="none" w:sz="0" w:space="0" w:color="auto"/>
                <w:bottom w:val="none" w:sz="0" w:space="0" w:color="auto"/>
                <w:right w:val="none" w:sz="0" w:space="0" w:color="auto"/>
              </w:divBdr>
            </w:div>
          </w:divsChild>
        </w:div>
        <w:div w:id="1335300471">
          <w:marLeft w:val="0"/>
          <w:marRight w:val="0"/>
          <w:marTop w:val="0"/>
          <w:marBottom w:val="0"/>
          <w:divBdr>
            <w:top w:val="none" w:sz="0" w:space="0" w:color="auto"/>
            <w:left w:val="none" w:sz="0" w:space="0" w:color="auto"/>
            <w:bottom w:val="none" w:sz="0" w:space="0" w:color="auto"/>
            <w:right w:val="none" w:sz="0" w:space="0" w:color="auto"/>
          </w:divBdr>
          <w:divsChild>
            <w:div w:id="155657871">
              <w:marLeft w:val="0"/>
              <w:marRight w:val="0"/>
              <w:marTop w:val="0"/>
              <w:marBottom w:val="0"/>
              <w:divBdr>
                <w:top w:val="none" w:sz="0" w:space="0" w:color="auto"/>
                <w:left w:val="none" w:sz="0" w:space="0" w:color="auto"/>
                <w:bottom w:val="none" w:sz="0" w:space="0" w:color="auto"/>
                <w:right w:val="none" w:sz="0" w:space="0" w:color="auto"/>
              </w:divBdr>
            </w:div>
          </w:divsChild>
        </w:div>
        <w:div w:id="1404252725">
          <w:marLeft w:val="0"/>
          <w:marRight w:val="0"/>
          <w:marTop w:val="0"/>
          <w:marBottom w:val="0"/>
          <w:divBdr>
            <w:top w:val="none" w:sz="0" w:space="0" w:color="auto"/>
            <w:left w:val="none" w:sz="0" w:space="0" w:color="auto"/>
            <w:bottom w:val="none" w:sz="0" w:space="0" w:color="auto"/>
            <w:right w:val="none" w:sz="0" w:space="0" w:color="auto"/>
          </w:divBdr>
          <w:divsChild>
            <w:div w:id="1858832">
              <w:marLeft w:val="0"/>
              <w:marRight w:val="0"/>
              <w:marTop w:val="0"/>
              <w:marBottom w:val="0"/>
              <w:divBdr>
                <w:top w:val="none" w:sz="0" w:space="0" w:color="auto"/>
                <w:left w:val="none" w:sz="0" w:space="0" w:color="auto"/>
                <w:bottom w:val="none" w:sz="0" w:space="0" w:color="auto"/>
                <w:right w:val="none" w:sz="0" w:space="0" w:color="auto"/>
              </w:divBdr>
            </w:div>
          </w:divsChild>
        </w:div>
        <w:div w:id="1469931390">
          <w:marLeft w:val="0"/>
          <w:marRight w:val="0"/>
          <w:marTop w:val="0"/>
          <w:marBottom w:val="0"/>
          <w:divBdr>
            <w:top w:val="none" w:sz="0" w:space="0" w:color="auto"/>
            <w:left w:val="none" w:sz="0" w:space="0" w:color="auto"/>
            <w:bottom w:val="none" w:sz="0" w:space="0" w:color="auto"/>
            <w:right w:val="none" w:sz="0" w:space="0" w:color="auto"/>
          </w:divBdr>
          <w:divsChild>
            <w:div w:id="389815851">
              <w:marLeft w:val="0"/>
              <w:marRight w:val="0"/>
              <w:marTop w:val="0"/>
              <w:marBottom w:val="0"/>
              <w:divBdr>
                <w:top w:val="none" w:sz="0" w:space="0" w:color="auto"/>
                <w:left w:val="none" w:sz="0" w:space="0" w:color="auto"/>
                <w:bottom w:val="none" w:sz="0" w:space="0" w:color="auto"/>
                <w:right w:val="none" w:sz="0" w:space="0" w:color="auto"/>
              </w:divBdr>
            </w:div>
          </w:divsChild>
        </w:div>
        <w:div w:id="1473600874">
          <w:marLeft w:val="0"/>
          <w:marRight w:val="0"/>
          <w:marTop w:val="0"/>
          <w:marBottom w:val="0"/>
          <w:divBdr>
            <w:top w:val="none" w:sz="0" w:space="0" w:color="auto"/>
            <w:left w:val="none" w:sz="0" w:space="0" w:color="auto"/>
            <w:bottom w:val="none" w:sz="0" w:space="0" w:color="auto"/>
            <w:right w:val="none" w:sz="0" w:space="0" w:color="auto"/>
          </w:divBdr>
          <w:divsChild>
            <w:div w:id="292908569">
              <w:marLeft w:val="0"/>
              <w:marRight w:val="0"/>
              <w:marTop w:val="0"/>
              <w:marBottom w:val="0"/>
              <w:divBdr>
                <w:top w:val="none" w:sz="0" w:space="0" w:color="auto"/>
                <w:left w:val="none" w:sz="0" w:space="0" w:color="auto"/>
                <w:bottom w:val="none" w:sz="0" w:space="0" w:color="auto"/>
                <w:right w:val="none" w:sz="0" w:space="0" w:color="auto"/>
              </w:divBdr>
            </w:div>
          </w:divsChild>
        </w:div>
        <w:div w:id="1505590779">
          <w:marLeft w:val="0"/>
          <w:marRight w:val="0"/>
          <w:marTop w:val="0"/>
          <w:marBottom w:val="0"/>
          <w:divBdr>
            <w:top w:val="none" w:sz="0" w:space="0" w:color="auto"/>
            <w:left w:val="none" w:sz="0" w:space="0" w:color="auto"/>
            <w:bottom w:val="none" w:sz="0" w:space="0" w:color="auto"/>
            <w:right w:val="none" w:sz="0" w:space="0" w:color="auto"/>
          </w:divBdr>
          <w:divsChild>
            <w:div w:id="22249420">
              <w:marLeft w:val="0"/>
              <w:marRight w:val="0"/>
              <w:marTop w:val="0"/>
              <w:marBottom w:val="0"/>
              <w:divBdr>
                <w:top w:val="none" w:sz="0" w:space="0" w:color="auto"/>
                <w:left w:val="none" w:sz="0" w:space="0" w:color="auto"/>
                <w:bottom w:val="none" w:sz="0" w:space="0" w:color="auto"/>
                <w:right w:val="none" w:sz="0" w:space="0" w:color="auto"/>
              </w:divBdr>
            </w:div>
          </w:divsChild>
        </w:div>
        <w:div w:id="1512719917">
          <w:marLeft w:val="0"/>
          <w:marRight w:val="0"/>
          <w:marTop w:val="0"/>
          <w:marBottom w:val="0"/>
          <w:divBdr>
            <w:top w:val="none" w:sz="0" w:space="0" w:color="auto"/>
            <w:left w:val="none" w:sz="0" w:space="0" w:color="auto"/>
            <w:bottom w:val="none" w:sz="0" w:space="0" w:color="auto"/>
            <w:right w:val="none" w:sz="0" w:space="0" w:color="auto"/>
          </w:divBdr>
          <w:divsChild>
            <w:div w:id="783504195">
              <w:marLeft w:val="0"/>
              <w:marRight w:val="0"/>
              <w:marTop w:val="0"/>
              <w:marBottom w:val="0"/>
              <w:divBdr>
                <w:top w:val="none" w:sz="0" w:space="0" w:color="auto"/>
                <w:left w:val="none" w:sz="0" w:space="0" w:color="auto"/>
                <w:bottom w:val="none" w:sz="0" w:space="0" w:color="auto"/>
                <w:right w:val="none" w:sz="0" w:space="0" w:color="auto"/>
              </w:divBdr>
            </w:div>
          </w:divsChild>
        </w:div>
        <w:div w:id="1557623979">
          <w:marLeft w:val="0"/>
          <w:marRight w:val="0"/>
          <w:marTop w:val="0"/>
          <w:marBottom w:val="0"/>
          <w:divBdr>
            <w:top w:val="none" w:sz="0" w:space="0" w:color="auto"/>
            <w:left w:val="none" w:sz="0" w:space="0" w:color="auto"/>
            <w:bottom w:val="none" w:sz="0" w:space="0" w:color="auto"/>
            <w:right w:val="none" w:sz="0" w:space="0" w:color="auto"/>
          </w:divBdr>
          <w:divsChild>
            <w:div w:id="360518116">
              <w:marLeft w:val="0"/>
              <w:marRight w:val="0"/>
              <w:marTop w:val="0"/>
              <w:marBottom w:val="0"/>
              <w:divBdr>
                <w:top w:val="none" w:sz="0" w:space="0" w:color="auto"/>
                <w:left w:val="none" w:sz="0" w:space="0" w:color="auto"/>
                <w:bottom w:val="none" w:sz="0" w:space="0" w:color="auto"/>
                <w:right w:val="none" w:sz="0" w:space="0" w:color="auto"/>
              </w:divBdr>
            </w:div>
          </w:divsChild>
        </w:div>
        <w:div w:id="1592817251">
          <w:marLeft w:val="0"/>
          <w:marRight w:val="0"/>
          <w:marTop w:val="0"/>
          <w:marBottom w:val="0"/>
          <w:divBdr>
            <w:top w:val="none" w:sz="0" w:space="0" w:color="auto"/>
            <w:left w:val="none" w:sz="0" w:space="0" w:color="auto"/>
            <w:bottom w:val="none" w:sz="0" w:space="0" w:color="auto"/>
            <w:right w:val="none" w:sz="0" w:space="0" w:color="auto"/>
          </w:divBdr>
          <w:divsChild>
            <w:div w:id="1779253789">
              <w:marLeft w:val="0"/>
              <w:marRight w:val="0"/>
              <w:marTop w:val="0"/>
              <w:marBottom w:val="0"/>
              <w:divBdr>
                <w:top w:val="none" w:sz="0" w:space="0" w:color="auto"/>
                <w:left w:val="none" w:sz="0" w:space="0" w:color="auto"/>
                <w:bottom w:val="none" w:sz="0" w:space="0" w:color="auto"/>
                <w:right w:val="none" w:sz="0" w:space="0" w:color="auto"/>
              </w:divBdr>
            </w:div>
          </w:divsChild>
        </w:div>
        <w:div w:id="1803116868">
          <w:marLeft w:val="0"/>
          <w:marRight w:val="0"/>
          <w:marTop w:val="0"/>
          <w:marBottom w:val="0"/>
          <w:divBdr>
            <w:top w:val="none" w:sz="0" w:space="0" w:color="auto"/>
            <w:left w:val="none" w:sz="0" w:space="0" w:color="auto"/>
            <w:bottom w:val="none" w:sz="0" w:space="0" w:color="auto"/>
            <w:right w:val="none" w:sz="0" w:space="0" w:color="auto"/>
          </w:divBdr>
          <w:divsChild>
            <w:div w:id="601036828">
              <w:marLeft w:val="0"/>
              <w:marRight w:val="0"/>
              <w:marTop w:val="0"/>
              <w:marBottom w:val="0"/>
              <w:divBdr>
                <w:top w:val="none" w:sz="0" w:space="0" w:color="auto"/>
                <w:left w:val="none" w:sz="0" w:space="0" w:color="auto"/>
                <w:bottom w:val="none" w:sz="0" w:space="0" w:color="auto"/>
                <w:right w:val="none" w:sz="0" w:space="0" w:color="auto"/>
              </w:divBdr>
            </w:div>
          </w:divsChild>
        </w:div>
        <w:div w:id="1870406830">
          <w:marLeft w:val="0"/>
          <w:marRight w:val="0"/>
          <w:marTop w:val="0"/>
          <w:marBottom w:val="0"/>
          <w:divBdr>
            <w:top w:val="none" w:sz="0" w:space="0" w:color="auto"/>
            <w:left w:val="none" w:sz="0" w:space="0" w:color="auto"/>
            <w:bottom w:val="none" w:sz="0" w:space="0" w:color="auto"/>
            <w:right w:val="none" w:sz="0" w:space="0" w:color="auto"/>
          </w:divBdr>
          <w:divsChild>
            <w:div w:id="395208424">
              <w:marLeft w:val="0"/>
              <w:marRight w:val="0"/>
              <w:marTop w:val="0"/>
              <w:marBottom w:val="0"/>
              <w:divBdr>
                <w:top w:val="none" w:sz="0" w:space="0" w:color="auto"/>
                <w:left w:val="none" w:sz="0" w:space="0" w:color="auto"/>
                <w:bottom w:val="none" w:sz="0" w:space="0" w:color="auto"/>
                <w:right w:val="none" w:sz="0" w:space="0" w:color="auto"/>
              </w:divBdr>
            </w:div>
          </w:divsChild>
        </w:div>
        <w:div w:id="1956907319">
          <w:marLeft w:val="0"/>
          <w:marRight w:val="0"/>
          <w:marTop w:val="0"/>
          <w:marBottom w:val="0"/>
          <w:divBdr>
            <w:top w:val="none" w:sz="0" w:space="0" w:color="auto"/>
            <w:left w:val="none" w:sz="0" w:space="0" w:color="auto"/>
            <w:bottom w:val="none" w:sz="0" w:space="0" w:color="auto"/>
            <w:right w:val="none" w:sz="0" w:space="0" w:color="auto"/>
          </w:divBdr>
          <w:divsChild>
            <w:div w:id="691613245">
              <w:marLeft w:val="0"/>
              <w:marRight w:val="0"/>
              <w:marTop w:val="0"/>
              <w:marBottom w:val="0"/>
              <w:divBdr>
                <w:top w:val="none" w:sz="0" w:space="0" w:color="auto"/>
                <w:left w:val="none" w:sz="0" w:space="0" w:color="auto"/>
                <w:bottom w:val="none" w:sz="0" w:space="0" w:color="auto"/>
                <w:right w:val="none" w:sz="0" w:space="0" w:color="auto"/>
              </w:divBdr>
            </w:div>
          </w:divsChild>
        </w:div>
        <w:div w:id="2019233229">
          <w:marLeft w:val="0"/>
          <w:marRight w:val="0"/>
          <w:marTop w:val="0"/>
          <w:marBottom w:val="0"/>
          <w:divBdr>
            <w:top w:val="none" w:sz="0" w:space="0" w:color="auto"/>
            <w:left w:val="none" w:sz="0" w:space="0" w:color="auto"/>
            <w:bottom w:val="none" w:sz="0" w:space="0" w:color="auto"/>
            <w:right w:val="none" w:sz="0" w:space="0" w:color="auto"/>
          </w:divBdr>
          <w:divsChild>
            <w:div w:id="348139737">
              <w:marLeft w:val="0"/>
              <w:marRight w:val="0"/>
              <w:marTop w:val="0"/>
              <w:marBottom w:val="0"/>
              <w:divBdr>
                <w:top w:val="none" w:sz="0" w:space="0" w:color="auto"/>
                <w:left w:val="none" w:sz="0" w:space="0" w:color="auto"/>
                <w:bottom w:val="none" w:sz="0" w:space="0" w:color="auto"/>
                <w:right w:val="none" w:sz="0" w:space="0" w:color="auto"/>
              </w:divBdr>
            </w:div>
          </w:divsChild>
        </w:div>
        <w:div w:id="2054959575">
          <w:marLeft w:val="0"/>
          <w:marRight w:val="0"/>
          <w:marTop w:val="0"/>
          <w:marBottom w:val="0"/>
          <w:divBdr>
            <w:top w:val="none" w:sz="0" w:space="0" w:color="auto"/>
            <w:left w:val="none" w:sz="0" w:space="0" w:color="auto"/>
            <w:bottom w:val="none" w:sz="0" w:space="0" w:color="auto"/>
            <w:right w:val="none" w:sz="0" w:space="0" w:color="auto"/>
          </w:divBdr>
          <w:divsChild>
            <w:div w:id="1054740337">
              <w:marLeft w:val="0"/>
              <w:marRight w:val="0"/>
              <w:marTop w:val="0"/>
              <w:marBottom w:val="0"/>
              <w:divBdr>
                <w:top w:val="none" w:sz="0" w:space="0" w:color="auto"/>
                <w:left w:val="none" w:sz="0" w:space="0" w:color="auto"/>
                <w:bottom w:val="none" w:sz="0" w:space="0" w:color="auto"/>
                <w:right w:val="none" w:sz="0" w:space="0" w:color="auto"/>
              </w:divBdr>
            </w:div>
          </w:divsChild>
        </w:div>
        <w:div w:id="2107997727">
          <w:marLeft w:val="0"/>
          <w:marRight w:val="0"/>
          <w:marTop w:val="0"/>
          <w:marBottom w:val="0"/>
          <w:divBdr>
            <w:top w:val="none" w:sz="0" w:space="0" w:color="auto"/>
            <w:left w:val="none" w:sz="0" w:space="0" w:color="auto"/>
            <w:bottom w:val="none" w:sz="0" w:space="0" w:color="auto"/>
            <w:right w:val="none" w:sz="0" w:space="0" w:color="auto"/>
          </w:divBdr>
          <w:divsChild>
            <w:div w:id="96011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294726">
      <w:bodyDiv w:val="1"/>
      <w:marLeft w:val="0"/>
      <w:marRight w:val="0"/>
      <w:marTop w:val="0"/>
      <w:marBottom w:val="0"/>
      <w:divBdr>
        <w:top w:val="none" w:sz="0" w:space="0" w:color="auto"/>
        <w:left w:val="none" w:sz="0" w:space="0" w:color="auto"/>
        <w:bottom w:val="none" w:sz="0" w:space="0" w:color="auto"/>
        <w:right w:val="none" w:sz="0" w:space="0" w:color="auto"/>
      </w:divBdr>
    </w:div>
    <w:div w:id="823932812">
      <w:bodyDiv w:val="1"/>
      <w:marLeft w:val="0"/>
      <w:marRight w:val="0"/>
      <w:marTop w:val="0"/>
      <w:marBottom w:val="0"/>
      <w:divBdr>
        <w:top w:val="none" w:sz="0" w:space="0" w:color="auto"/>
        <w:left w:val="none" w:sz="0" w:space="0" w:color="auto"/>
        <w:bottom w:val="none" w:sz="0" w:space="0" w:color="auto"/>
        <w:right w:val="none" w:sz="0" w:space="0" w:color="auto"/>
      </w:divBdr>
    </w:div>
    <w:div w:id="831415153">
      <w:bodyDiv w:val="1"/>
      <w:marLeft w:val="0"/>
      <w:marRight w:val="0"/>
      <w:marTop w:val="0"/>
      <w:marBottom w:val="0"/>
      <w:divBdr>
        <w:top w:val="none" w:sz="0" w:space="0" w:color="auto"/>
        <w:left w:val="none" w:sz="0" w:space="0" w:color="auto"/>
        <w:bottom w:val="none" w:sz="0" w:space="0" w:color="auto"/>
        <w:right w:val="none" w:sz="0" w:space="0" w:color="auto"/>
      </w:divBdr>
    </w:div>
    <w:div w:id="842545887">
      <w:bodyDiv w:val="1"/>
      <w:marLeft w:val="0"/>
      <w:marRight w:val="0"/>
      <w:marTop w:val="0"/>
      <w:marBottom w:val="0"/>
      <w:divBdr>
        <w:top w:val="none" w:sz="0" w:space="0" w:color="auto"/>
        <w:left w:val="none" w:sz="0" w:space="0" w:color="auto"/>
        <w:bottom w:val="none" w:sz="0" w:space="0" w:color="auto"/>
        <w:right w:val="none" w:sz="0" w:space="0" w:color="auto"/>
      </w:divBdr>
    </w:div>
    <w:div w:id="872113084">
      <w:bodyDiv w:val="1"/>
      <w:marLeft w:val="0"/>
      <w:marRight w:val="0"/>
      <w:marTop w:val="0"/>
      <w:marBottom w:val="0"/>
      <w:divBdr>
        <w:top w:val="none" w:sz="0" w:space="0" w:color="auto"/>
        <w:left w:val="none" w:sz="0" w:space="0" w:color="auto"/>
        <w:bottom w:val="none" w:sz="0" w:space="0" w:color="auto"/>
        <w:right w:val="none" w:sz="0" w:space="0" w:color="auto"/>
      </w:divBdr>
      <w:divsChild>
        <w:div w:id="1310090131">
          <w:marLeft w:val="0"/>
          <w:marRight w:val="0"/>
          <w:marTop w:val="0"/>
          <w:marBottom w:val="0"/>
          <w:divBdr>
            <w:top w:val="none" w:sz="0" w:space="0" w:color="auto"/>
            <w:left w:val="none" w:sz="0" w:space="0" w:color="auto"/>
            <w:bottom w:val="none" w:sz="0" w:space="0" w:color="auto"/>
            <w:right w:val="none" w:sz="0" w:space="0" w:color="auto"/>
          </w:divBdr>
          <w:divsChild>
            <w:div w:id="1735349089">
              <w:marLeft w:val="0"/>
              <w:marRight w:val="0"/>
              <w:marTop w:val="0"/>
              <w:marBottom w:val="0"/>
              <w:divBdr>
                <w:top w:val="none" w:sz="0" w:space="0" w:color="auto"/>
                <w:left w:val="single" w:sz="36" w:space="0" w:color="FFFFFF"/>
                <w:bottom w:val="none" w:sz="0" w:space="0" w:color="auto"/>
                <w:right w:val="single" w:sz="36" w:space="0" w:color="FFFFFF"/>
              </w:divBdr>
              <w:divsChild>
                <w:div w:id="1400403115">
                  <w:marLeft w:val="0"/>
                  <w:marRight w:val="0"/>
                  <w:marTop w:val="0"/>
                  <w:marBottom w:val="0"/>
                  <w:divBdr>
                    <w:top w:val="none" w:sz="0" w:space="0" w:color="auto"/>
                    <w:left w:val="none" w:sz="0" w:space="0" w:color="auto"/>
                    <w:bottom w:val="none" w:sz="0" w:space="0" w:color="auto"/>
                    <w:right w:val="none" w:sz="0" w:space="0" w:color="auto"/>
                  </w:divBdr>
                  <w:divsChild>
                    <w:div w:id="418914408">
                      <w:marLeft w:val="0"/>
                      <w:marRight w:val="0"/>
                      <w:marTop w:val="0"/>
                      <w:marBottom w:val="0"/>
                      <w:divBdr>
                        <w:top w:val="none" w:sz="0" w:space="0" w:color="auto"/>
                        <w:left w:val="none" w:sz="0" w:space="0" w:color="auto"/>
                        <w:bottom w:val="none" w:sz="0" w:space="0" w:color="auto"/>
                        <w:right w:val="none" w:sz="0" w:space="0" w:color="auto"/>
                      </w:divBdr>
                      <w:divsChild>
                        <w:div w:id="313418219">
                          <w:marLeft w:val="0"/>
                          <w:marRight w:val="0"/>
                          <w:marTop w:val="0"/>
                          <w:marBottom w:val="0"/>
                          <w:divBdr>
                            <w:top w:val="none" w:sz="0" w:space="0" w:color="auto"/>
                            <w:left w:val="none" w:sz="0" w:space="0" w:color="auto"/>
                            <w:bottom w:val="none" w:sz="0" w:space="0" w:color="auto"/>
                            <w:right w:val="none" w:sz="0" w:space="0" w:color="auto"/>
                          </w:divBdr>
                          <w:divsChild>
                            <w:div w:id="66537454">
                              <w:marLeft w:val="0"/>
                              <w:marRight w:val="0"/>
                              <w:marTop w:val="0"/>
                              <w:marBottom w:val="0"/>
                              <w:divBdr>
                                <w:top w:val="single" w:sz="6" w:space="2" w:color="1060AC"/>
                                <w:left w:val="single" w:sz="6" w:space="2" w:color="1060AC"/>
                                <w:bottom w:val="single" w:sz="6" w:space="2" w:color="1060AC"/>
                                <w:right w:val="single" w:sz="6" w:space="2" w:color="1060AC"/>
                              </w:divBdr>
                              <w:divsChild>
                                <w:div w:id="212205831">
                                  <w:marLeft w:val="72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2668876">
      <w:bodyDiv w:val="1"/>
      <w:marLeft w:val="0"/>
      <w:marRight w:val="0"/>
      <w:marTop w:val="0"/>
      <w:marBottom w:val="0"/>
      <w:divBdr>
        <w:top w:val="none" w:sz="0" w:space="0" w:color="auto"/>
        <w:left w:val="none" w:sz="0" w:space="0" w:color="auto"/>
        <w:bottom w:val="none" w:sz="0" w:space="0" w:color="auto"/>
        <w:right w:val="none" w:sz="0" w:space="0" w:color="auto"/>
      </w:divBdr>
    </w:div>
    <w:div w:id="938610494">
      <w:bodyDiv w:val="1"/>
      <w:marLeft w:val="0"/>
      <w:marRight w:val="0"/>
      <w:marTop w:val="0"/>
      <w:marBottom w:val="0"/>
      <w:divBdr>
        <w:top w:val="none" w:sz="0" w:space="0" w:color="auto"/>
        <w:left w:val="none" w:sz="0" w:space="0" w:color="auto"/>
        <w:bottom w:val="none" w:sz="0" w:space="0" w:color="auto"/>
        <w:right w:val="none" w:sz="0" w:space="0" w:color="auto"/>
      </w:divBdr>
      <w:divsChild>
        <w:div w:id="34544204">
          <w:marLeft w:val="0"/>
          <w:marRight w:val="0"/>
          <w:marTop w:val="0"/>
          <w:marBottom w:val="0"/>
          <w:divBdr>
            <w:top w:val="none" w:sz="0" w:space="0" w:color="auto"/>
            <w:left w:val="none" w:sz="0" w:space="0" w:color="auto"/>
            <w:bottom w:val="none" w:sz="0" w:space="0" w:color="auto"/>
            <w:right w:val="none" w:sz="0" w:space="0" w:color="auto"/>
          </w:divBdr>
          <w:divsChild>
            <w:div w:id="848370426">
              <w:marLeft w:val="0"/>
              <w:marRight w:val="0"/>
              <w:marTop w:val="0"/>
              <w:marBottom w:val="0"/>
              <w:divBdr>
                <w:top w:val="none" w:sz="0" w:space="0" w:color="auto"/>
                <w:left w:val="none" w:sz="0" w:space="0" w:color="auto"/>
                <w:bottom w:val="none" w:sz="0" w:space="0" w:color="auto"/>
                <w:right w:val="none" w:sz="0" w:space="0" w:color="auto"/>
              </w:divBdr>
            </w:div>
          </w:divsChild>
        </w:div>
        <w:div w:id="125124056">
          <w:marLeft w:val="0"/>
          <w:marRight w:val="0"/>
          <w:marTop w:val="0"/>
          <w:marBottom w:val="0"/>
          <w:divBdr>
            <w:top w:val="none" w:sz="0" w:space="0" w:color="auto"/>
            <w:left w:val="none" w:sz="0" w:space="0" w:color="auto"/>
            <w:bottom w:val="none" w:sz="0" w:space="0" w:color="auto"/>
            <w:right w:val="none" w:sz="0" w:space="0" w:color="auto"/>
          </w:divBdr>
          <w:divsChild>
            <w:div w:id="747314488">
              <w:marLeft w:val="0"/>
              <w:marRight w:val="0"/>
              <w:marTop w:val="0"/>
              <w:marBottom w:val="0"/>
              <w:divBdr>
                <w:top w:val="none" w:sz="0" w:space="0" w:color="auto"/>
                <w:left w:val="none" w:sz="0" w:space="0" w:color="auto"/>
                <w:bottom w:val="none" w:sz="0" w:space="0" w:color="auto"/>
                <w:right w:val="none" w:sz="0" w:space="0" w:color="auto"/>
              </w:divBdr>
            </w:div>
          </w:divsChild>
        </w:div>
        <w:div w:id="279148804">
          <w:marLeft w:val="0"/>
          <w:marRight w:val="0"/>
          <w:marTop w:val="0"/>
          <w:marBottom w:val="0"/>
          <w:divBdr>
            <w:top w:val="none" w:sz="0" w:space="0" w:color="auto"/>
            <w:left w:val="none" w:sz="0" w:space="0" w:color="auto"/>
            <w:bottom w:val="none" w:sz="0" w:space="0" w:color="auto"/>
            <w:right w:val="none" w:sz="0" w:space="0" w:color="auto"/>
          </w:divBdr>
          <w:divsChild>
            <w:div w:id="713771954">
              <w:marLeft w:val="0"/>
              <w:marRight w:val="0"/>
              <w:marTop w:val="0"/>
              <w:marBottom w:val="0"/>
              <w:divBdr>
                <w:top w:val="none" w:sz="0" w:space="0" w:color="auto"/>
                <w:left w:val="none" w:sz="0" w:space="0" w:color="auto"/>
                <w:bottom w:val="none" w:sz="0" w:space="0" w:color="auto"/>
                <w:right w:val="none" w:sz="0" w:space="0" w:color="auto"/>
              </w:divBdr>
            </w:div>
          </w:divsChild>
        </w:div>
        <w:div w:id="322896755">
          <w:marLeft w:val="0"/>
          <w:marRight w:val="0"/>
          <w:marTop w:val="0"/>
          <w:marBottom w:val="0"/>
          <w:divBdr>
            <w:top w:val="none" w:sz="0" w:space="0" w:color="auto"/>
            <w:left w:val="none" w:sz="0" w:space="0" w:color="auto"/>
            <w:bottom w:val="none" w:sz="0" w:space="0" w:color="auto"/>
            <w:right w:val="none" w:sz="0" w:space="0" w:color="auto"/>
          </w:divBdr>
          <w:divsChild>
            <w:div w:id="1786385883">
              <w:marLeft w:val="0"/>
              <w:marRight w:val="0"/>
              <w:marTop w:val="0"/>
              <w:marBottom w:val="0"/>
              <w:divBdr>
                <w:top w:val="none" w:sz="0" w:space="0" w:color="auto"/>
                <w:left w:val="none" w:sz="0" w:space="0" w:color="auto"/>
                <w:bottom w:val="none" w:sz="0" w:space="0" w:color="auto"/>
                <w:right w:val="none" w:sz="0" w:space="0" w:color="auto"/>
              </w:divBdr>
            </w:div>
          </w:divsChild>
        </w:div>
        <w:div w:id="477653637">
          <w:marLeft w:val="0"/>
          <w:marRight w:val="0"/>
          <w:marTop w:val="0"/>
          <w:marBottom w:val="0"/>
          <w:divBdr>
            <w:top w:val="none" w:sz="0" w:space="0" w:color="auto"/>
            <w:left w:val="none" w:sz="0" w:space="0" w:color="auto"/>
            <w:bottom w:val="none" w:sz="0" w:space="0" w:color="auto"/>
            <w:right w:val="none" w:sz="0" w:space="0" w:color="auto"/>
          </w:divBdr>
          <w:divsChild>
            <w:div w:id="1386563653">
              <w:marLeft w:val="0"/>
              <w:marRight w:val="0"/>
              <w:marTop w:val="0"/>
              <w:marBottom w:val="0"/>
              <w:divBdr>
                <w:top w:val="none" w:sz="0" w:space="0" w:color="auto"/>
                <w:left w:val="none" w:sz="0" w:space="0" w:color="auto"/>
                <w:bottom w:val="none" w:sz="0" w:space="0" w:color="auto"/>
                <w:right w:val="none" w:sz="0" w:space="0" w:color="auto"/>
              </w:divBdr>
            </w:div>
          </w:divsChild>
        </w:div>
        <w:div w:id="571932812">
          <w:marLeft w:val="0"/>
          <w:marRight w:val="0"/>
          <w:marTop w:val="0"/>
          <w:marBottom w:val="0"/>
          <w:divBdr>
            <w:top w:val="none" w:sz="0" w:space="0" w:color="auto"/>
            <w:left w:val="none" w:sz="0" w:space="0" w:color="auto"/>
            <w:bottom w:val="none" w:sz="0" w:space="0" w:color="auto"/>
            <w:right w:val="none" w:sz="0" w:space="0" w:color="auto"/>
          </w:divBdr>
          <w:divsChild>
            <w:div w:id="22367722">
              <w:marLeft w:val="0"/>
              <w:marRight w:val="0"/>
              <w:marTop w:val="0"/>
              <w:marBottom w:val="0"/>
              <w:divBdr>
                <w:top w:val="none" w:sz="0" w:space="0" w:color="auto"/>
                <w:left w:val="none" w:sz="0" w:space="0" w:color="auto"/>
                <w:bottom w:val="none" w:sz="0" w:space="0" w:color="auto"/>
                <w:right w:val="none" w:sz="0" w:space="0" w:color="auto"/>
              </w:divBdr>
            </w:div>
          </w:divsChild>
        </w:div>
        <w:div w:id="621115572">
          <w:marLeft w:val="0"/>
          <w:marRight w:val="0"/>
          <w:marTop w:val="0"/>
          <w:marBottom w:val="0"/>
          <w:divBdr>
            <w:top w:val="none" w:sz="0" w:space="0" w:color="auto"/>
            <w:left w:val="none" w:sz="0" w:space="0" w:color="auto"/>
            <w:bottom w:val="none" w:sz="0" w:space="0" w:color="auto"/>
            <w:right w:val="none" w:sz="0" w:space="0" w:color="auto"/>
          </w:divBdr>
          <w:divsChild>
            <w:div w:id="1932152842">
              <w:marLeft w:val="0"/>
              <w:marRight w:val="0"/>
              <w:marTop w:val="0"/>
              <w:marBottom w:val="0"/>
              <w:divBdr>
                <w:top w:val="none" w:sz="0" w:space="0" w:color="auto"/>
                <w:left w:val="none" w:sz="0" w:space="0" w:color="auto"/>
                <w:bottom w:val="none" w:sz="0" w:space="0" w:color="auto"/>
                <w:right w:val="none" w:sz="0" w:space="0" w:color="auto"/>
              </w:divBdr>
            </w:div>
          </w:divsChild>
        </w:div>
        <w:div w:id="628710924">
          <w:marLeft w:val="0"/>
          <w:marRight w:val="0"/>
          <w:marTop w:val="0"/>
          <w:marBottom w:val="0"/>
          <w:divBdr>
            <w:top w:val="none" w:sz="0" w:space="0" w:color="auto"/>
            <w:left w:val="none" w:sz="0" w:space="0" w:color="auto"/>
            <w:bottom w:val="none" w:sz="0" w:space="0" w:color="auto"/>
            <w:right w:val="none" w:sz="0" w:space="0" w:color="auto"/>
          </w:divBdr>
          <w:divsChild>
            <w:div w:id="200360599">
              <w:marLeft w:val="0"/>
              <w:marRight w:val="0"/>
              <w:marTop w:val="0"/>
              <w:marBottom w:val="0"/>
              <w:divBdr>
                <w:top w:val="none" w:sz="0" w:space="0" w:color="auto"/>
                <w:left w:val="none" w:sz="0" w:space="0" w:color="auto"/>
                <w:bottom w:val="none" w:sz="0" w:space="0" w:color="auto"/>
                <w:right w:val="none" w:sz="0" w:space="0" w:color="auto"/>
              </w:divBdr>
            </w:div>
          </w:divsChild>
        </w:div>
        <w:div w:id="645280286">
          <w:marLeft w:val="0"/>
          <w:marRight w:val="0"/>
          <w:marTop w:val="0"/>
          <w:marBottom w:val="0"/>
          <w:divBdr>
            <w:top w:val="none" w:sz="0" w:space="0" w:color="auto"/>
            <w:left w:val="none" w:sz="0" w:space="0" w:color="auto"/>
            <w:bottom w:val="none" w:sz="0" w:space="0" w:color="auto"/>
            <w:right w:val="none" w:sz="0" w:space="0" w:color="auto"/>
          </w:divBdr>
          <w:divsChild>
            <w:div w:id="201746227">
              <w:marLeft w:val="0"/>
              <w:marRight w:val="0"/>
              <w:marTop w:val="0"/>
              <w:marBottom w:val="0"/>
              <w:divBdr>
                <w:top w:val="none" w:sz="0" w:space="0" w:color="auto"/>
                <w:left w:val="none" w:sz="0" w:space="0" w:color="auto"/>
                <w:bottom w:val="none" w:sz="0" w:space="0" w:color="auto"/>
                <w:right w:val="none" w:sz="0" w:space="0" w:color="auto"/>
              </w:divBdr>
            </w:div>
          </w:divsChild>
        </w:div>
        <w:div w:id="713771960">
          <w:marLeft w:val="0"/>
          <w:marRight w:val="0"/>
          <w:marTop w:val="0"/>
          <w:marBottom w:val="0"/>
          <w:divBdr>
            <w:top w:val="none" w:sz="0" w:space="0" w:color="auto"/>
            <w:left w:val="none" w:sz="0" w:space="0" w:color="auto"/>
            <w:bottom w:val="none" w:sz="0" w:space="0" w:color="auto"/>
            <w:right w:val="none" w:sz="0" w:space="0" w:color="auto"/>
          </w:divBdr>
          <w:divsChild>
            <w:div w:id="1896232391">
              <w:marLeft w:val="0"/>
              <w:marRight w:val="0"/>
              <w:marTop w:val="0"/>
              <w:marBottom w:val="0"/>
              <w:divBdr>
                <w:top w:val="none" w:sz="0" w:space="0" w:color="auto"/>
                <w:left w:val="none" w:sz="0" w:space="0" w:color="auto"/>
                <w:bottom w:val="none" w:sz="0" w:space="0" w:color="auto"/>
                <w:right w:val="none" w:sz="0" w:space="0" w:color="auto"/>
              </w:divBdr>
            </w:div>
          </w:divsChild>
        </w:div>
        <w:div w:id="796795916">
          <w:marLeft w:val="0"/>
          <w:marRight w:val="0"/>
          <w:marTop w:val="0"/>
          <w:marBottom w:val="0"/>
          <w:divBdr>
            <w:top w:val="none" w:sz="0" w:space="0" w:color="auto"/>
            <w:left w:val="none" w:sz="0" w:space="0" w:color="auto"/>
            <w:bottom w:val="none" w:sz="0" w:space="0" w:color="auto"/>
            <w:right w:val="none" w:sz="0" w:space="0" w:color="auto"/>
          </w:divBdr>
          <w:divsChild>
            <w:div w:id="931471800">
              <w:marLeft w:val="0"/>
              <w:marRight w:val="0"/>
              <w:marTop w:val="0"/>
              <w:marBottom w:val="0"/>
              <w:divBdr>
                <w:top w:val="none" w:sz="0" w:space="0" w:color="auto"/>
                <w:left w:val="none" w:sz="0" w:space="0" w:color="auto"/>
                <w:bottom w:val="none" w:sz="0" w:space="0" w:color="auto"/>
                <w:right w:val="none" w:sz="0" w:space="0" w:color="auto"/>
              </w:divBdr>
            </w:div>
          </w:divsChild>
        </w:div>
        <w:div w:id="978075072">
          <w:marLeft w:val="0"/>
          <w:marRight w:val="0"/>
          <w:marTop w:val="0"/>
          <w:marBottom w:val="0"/>
          <w:divBdr>
            <w:top w:val="none" w:sz="0" w:space="0" w:color="auto"/>
            <w:left w:val="none" w:sz="0" w:space="0" w:color="auto"/>
            <w:bottom w:val="none" w:sz="0" w:space="0" w:color="auto"/>
            <w:right w:val="none" w:sz="0" w:space="0" w:color="auto"/>
          </w:divBdr>
          <w:divsChild>
            <w:div w:id="749431096">
              <w:marLeft w:val="0"/>
              <w:marRight w:val="0"/>
              <w:marTop w:val="0"/>
              <w:marBottom w:val="0"/>
              <w:divBdr>
                <w:top w:val="none" w:sz="0" w:space="0" w:color="auto"/>
                <w:left w:val="none" w:sz="0" w:space="0" w:color="auto"/>
                <w:bottom w:val="none" w:sz="0" w:space="0" w:color="auto"/>
                <w:right w:val="none" w:sz="0" w:space="0" w:color="auto"/>
              </w:divBdr>
            </w:div>
          </w:divsChild>
        </w:div>
        <w:div w:id="1037199385">
          <w:marLeft w:val="0"/>
          <w:marRight w:val="0"/>
          <w:marTop w:val="0"/>
          <w:marBottom w:val="0"/>
          <w:divBdr>
            <w:top w:val="none" w:sz="0" w:space="0" w:color="auto"/>
            <w:left w:val="none" w:sz="0" w:space="0" w:color="auto"/>
            <w:bottom w:val="none" w:sz="0" w:space="0" w:color="auto"/>
            <w:right w:val="none" w:sz="0" w:space="0" w:color="auto"/>
          </w:divBdr>
          <w:divsChild>
            <w:div w:id="918977076">
              <w:marLeft w:val="0"/>
              <w:marRight w:val="0"/>
              <w:marTop w:val="0"/>
              <w:marBottom w:val="0"/>
              <w:divBdr>
                <w:top w:val="none" w:sz="0" w:space="0" w:color="auto"/>
                <w:left w:val="none" w:sz="0" w:space="0" w:color="auto"/>
                <w:bottom w:val="none" w:sz="0" w:space="0" w:color="auto"/>
                <w:right w:val="none" w:sz="0" w:space="0" w:color="auto"/>
              </w:divBdr>
            </w:div>
          </w:divsChild>
        </w:div>
        <w:div w:id="1096245266">
          <w:marLeft w:val="0"/>
          <w:marRight w:val="0"/>
          <w:marTop w:val="0"/>
          <w:marBottom w:val="0"/>
          <w:divBdr>
            <w:top w:val="none" w:sz="0" w:space="0" w:color="auto"/>
            <w:left w:val="none" w:sz="0" w:space="0" w:color="auto"/>
            <w:bottom w:val="none" w:sz="0" w:space="0" w:color="auto"/>
            <w:right w:val="none" w:sz="0" w:space="0" w:color="auto"/>
          </w:divBdr>
          <w:divsChild>
            <w:div w:id="674848639">
              <w:marLeft w:val="0"/>
              <w:marRight w:val="0"/>
              <w:marTop w:val="0"/>
              <w:marBottom w:val="0"/>
              <w:divBdr>
                <w:top w:val="none" w:sz="0" w:space="0" w:color="auto"/>
                <w:left w:val="none" w:sz="0" w:space="0" w:color="auto"/>
                <w:bottom w:val="none" w:sz="0" w:space="0" w:color="auto"/>
                <w:right w:val="none" w:sz="0" w:space="0" w:color="auto"/>
              </w:divBdr>
            </w:div>
          </w:divsChild>
        </w:div>
        <w:div w:id="1269385258">
          <w:marLeft w:val="0"/>
          <w:marRight w:val="0"/>
          <w:marTop w:val="0"/>
          <w:marBottom w:val="0"/>
          <w:divBdr>
            <w:top w:val="none" w:sz="0" w:space="0" w:color="auto"/>
            <w:left w:val="none" w:sz="0" w:space="0" w:color="auto"/>
            <w:bottom w:val="none" w:sz="0" w:space="0" w:color="auto"/>
            <w:right w:val="none" w:sz="0" w:space="0" w:color="auto"/>
          </w:divBdr>
          <w:divsChild>
            <w:div w:id="1526408660">
              <w:marLeft w:val="0"/>
              <w:marRight w:val="0"/>
              <w:marTop w:val="0"/>
              <w:marBottom w:val="0"/>
              <w:divBdr>
                <w:top w:val="none" w:sz="0" w:space="0" w:color="auto"/>
                <w:left w:val="none" w:sz="0" w:space="0" w:color="auto"/>
                <w:bottom w:val="none" w:sz="0" w:space="0" w:color="auto"/>
                <w:right w:val="none" w:sz="0" w:space="0" w:color="auto"/>
              </w:divBdr>
            </w:div>
          </w:divsChild>
        </w:div>
        <w:div w:id="1352336073">
          <w:marLeft w:val="0"/>
          <w:marRight w:val="0"/>
          <w:marTop w:val="0"/>
          <w:marBottom w:val="0"/>
          <w:divBdr>
            <w:top w:val="none" w:sz="0" w:space="0" w:color="auto"/>
            <w:left w:val="none" w:sz="0" w:space="0" w:color="auto"/>
            <w:bottom w:val="none" w:sz="0" w:space="0" w:color="auto"/>
            <w:right w:val="none" w:sz="0" w:space="0" w:color="auto"/>
          </w:divBdr>
          <w:divsChild>
            <w:div w:id="2122911480">
              <w:marLeft w:val="0"/>
              <w:marRight w:val="0"/>
              <w:marTop w:val="0"/>
              <w:marBottom w:val="0"/>
              <w:divBdr>
                <w:top w:val="none" w:sz="0" w:space="0" w:color="auto"/>
                <w:left w:val="none" w:sz="0" w:space="0" w:color="auto"/>
                <w:bottom w:val="none" w:sz="0" w:space="0" w:color="auto"/>
                <w:right w:val="none" w:sz="0" w:space="0" w:color="auto"/>
              </w:divBdr>
            </w:div>
          </w:divsChild>
        </w:div>
        <w:div w:id="1494877554">
          <w:marLeft w:val="0"/>
          <w:marRight w:val="0"/>
          <w:marTop w:val="0"/>
          <w:marBottom w:val="0"/>
          <w:divBdr>
            <w:top w:val="none" w:sz="0" w:space="0" w:color="auto"/>
            <w:left w:val="none" w:sz="0" w:space="0" w:color="auto"/>
            <w:bottom w:val="none" w:sz="0" w:space="0" w:color="auto"/>
            <w:right w:val="none" w:sz="0" w:space="0" w:color="auto"/>
          </w:divBdr>
          <w:divsChild>
            <w:div w:id="2024545978">
              <w:marLeft w:val="0"/>
              <w:marRight w:val="0"/>
              <w:marTop w:val="0"/>
              <w:marBottom w:val="0"/>
              <w:divBdr>
                <w:top w:val="none" w:sz="0" w:space="0" w:color="auto"/>
                <w:left w:val="none" w:sz="0" w:space="0" w:color="auto"/>
                <w:bottom w:val="none" w:sz="0" w:space="0" w:color="auto"/>
                <w:right w:val="none" w:sz="0" w:space="0" w:color="auto"/>
              </w:divBdr>
            </w:div>
          </w:divsChild>
        </w:div>
        <w:div w:id="1576863634">
          <w:marLeft w:val="0"/>
          <w:marRight w:val="0"/>
          <w:marTop w:val="0"/>
          <w:marBottom w:val="0"/>
          <w:divBdr>
            <w:top w:val="none" w:sz="0" w:space="0" w:color="auto"/>
            <w:left w:val="none" w:sz="0" w:space="0" w:color="auto"/>
            <w:bottom w:val="none" w:sz="0" w:space="0" w:color="auto"/>
            <w:right w:val="none" w:sz="0" w:space="0" w:color="auto"/>
          </w:divBdr>
          <w:divsChild>
            <w:div w:id="203370305">
              <w:marLeft w:val="0"/>
              <w:marRight w:val="0"/>
              <w:marTop w:val="0"/>
              <w:marBottom w:val="0"/>
              <w:divBdr>
                <w:top w:val="none" w:sz="0" w:space="0" w:color="auto"/>
                <w:left w:val="none" w:sz="0" w:space="0" w:color="auto"/>
                <w:bottom w:val="none" w:sz="0" w:space="0" w:color="auto"/>
                <w:right w:val="none" w:sz="0" w:space="0" w:color="auto"/>
              </w:divBdr>
            </w:div>
          </w:divsChild>
        </w:div>
        <w:div w:id="1584293037">
          <w:marLeft w:val="0"/>
          <w:marRight w:val="0"/>
          <w:marTop w:val="0"/>
          <w:marBottom w:val="0"/>
          <w:divBdr>
            <w:top w:val="none" w:sz="0" w:space="0" w:color="auto"/>
            <w:left w:val="none" w:sz="0" w:space="0" w:color="auto"/>
            <w:bottom w:val="none" w:sz="0" w:space="0" w:color="auto"/>
            <w:right w:val="none" w:sz="0" w:space="0" w:color="auto"/>
          </w:divBdr>
          <w:divsChild>
            <w:div w:id="227959043">
              <w:marLeft w:val="0"/>
              <w:marRight w:val="0"/>
              <w:marTop w:val="0"/>
              <w:marBottom w:val="0"/>
              <w:divBdr>
                <w:top w:val="none" w:sz="0" w:space="0" w:color="auto"/>
                <w:left w:val="none" w:sz="0" w:space="0" w:color="auto"/>
                <w:bottom w:val="none" w:sz="0" w:space="0" w:color="auto"/>
                <w:right w:val="none" w:sz="0" w:space="0" w:color="auto"/>
              </w:divBdr>
            </w:div>
          </w:divsChild>
        </w:div>
        <w:div w:id="1622104548">
          <w:marLeft w:val="0"/>
          <w:marRight w:val="0"/>
          <w:marTop w:val="0"/>
          <w:marBottom w:val="0"/>
          <w:divBdr>
            <w:top w:val="none" w:sz="0" w:space="0" w:color="auto"/>
            <w:left w:val="none" w:sz="0" w:space="0" w:color="auto"/>
            <w:bottom w:val="none" w:sz="0" w:space="0" w:color="auto"/>
            <w:right w:val="none" w:sz="0" w:space="0" w:color="auto"/>
          </w:divBdr>
          <w:divsChild>
            <w:div w:id="1716735374">
              <w:marLeft w:val="0"/>
              <w:marRight w:val="0"/>
              <w:marTop w:val="0"/>
              <w:marBottom w:val="0"/>
              <w:divBdr>
                <w:top w:val="none" w:sz="0" w:space="0" w:color="auto"/>
                <w:left w:val="none" w:sz="0" w:space="0" w:color="auto"/>
                <w:bottom w:val="none" w:sz="0" w:space="0" w:color="auto"/>
                <w:right w:val="none" w:sz="0" w:space="0" w:color="auto"/>
              </w:divBdr>
            </w:div>
          </w:divsChild>
        </w:div>
        <w:div w:id="1856729214">
          <w:marLeft w:val="0"/>
          <w:marRight w:val="0"/>
          <w:marTop w:val="0"/>
          <w:marBottom w:val="0"/>
          <w:divBdr>
            <w:top w:val="none" w:sz="0" w:space="0" w:color="auto"/>
            <w:left w:val="none" w:sz="0" w:space="0" w:color="auto"/>
            <w:bottom w:val="none" w:sz="0" w:space="0" w:color="auto"/>
            <w:right w:val="none" w:sz="0" w:space="0" w:color="auto"/>
          </w:divBdr>
          <w:divsChild>
            <w:div w:id="1480339509">
              <w:marLeft w:val="0"/>
              <w:marRight w:val="0"/>
              <w:marTop w:val="0"/>
              <w:marBottom w:val="0"/>
              <w:divBdr>
                <w:top w:val="none" w:sz="0" w:space="0" w:color="auto"/>
                <w:left w:val="none" w:sz="0" w:space="0" w:color="auto"/>
                <w:bottom w:val="none" w:sz="0" w:space="0" w:color="auto"/>
                <w:right w:val="none" w:sz="0" w:space="0" w:color="auto"/>
              </w:divBdr>
            </w:div>
          </w:divsChild>
        </w:div>
        <w:div w:id="1896232270">
          <w:marLeft w:val="0"/>
          <w:marRight w:val="0"/>
          <w:marTop w:val="0"/>
          <w:marBottom w:val="0"/>
          <w:divBdr>
            <w:top w:val="none" w:sz="0" w:space="0" w:color="auto"/>
            <w:left w:val="none" w:sz="0" w:space="0" w:color="auto"/>
            <w:bottom w:val="none" w:sz="0" w:space="0" w:color="auto"/>
            <w:right w:val="none" w:sz="0" w:space="0" w:color="auto"/>
          </w:divBdr>
          <w:divsChild>
            <w:div w:id="1130855636">
              <w:marLeft w:val="0"/>
              <w:marRight w:val="0"/>
              <w:marTop w:val="0"/>
              <w:marBottom w:val="0"/>
              <w:divBdr>
                <w:top w:val="none" w:sz="0" w:space="0" w:color="auto"/>
                <w:left w:val="none" w:sz="0" w:space="0" w:color="auto"/>
                <w:bottom w:val="none" w:sz="0" w:space="0" w:color="auto"/>
                <w:right w:val="none" w:sz="0" w:space="0" w:color="auto"/>
              </w:divBdr>
            </w:div>
          </w:divsChild>
        </w:div>
        <w:div w:id="1935161076">
          <w:marLeft w:val="0"/>
          <w:marRight w:val="0"/>
          <w:marTop w:val="0"/>
          <w:marBottom w:val="0"/>
          <w:divBdr>
            <w:top w:val="none" w:sz="0" w:space="0" w:color="auto"/>
            <w:left w:val="none" w:sz="0" w:space="0" w:color="auto"/>
            <w:bottom w:val="none" w:sz="0" w:space="0" w:color="auto"/>
            <w:right w:val="none" w:sz="0" w:space="0" w:color="auto"/>
          </w:divBdr>
          <w:divsChild>
            <w:div w:id="1218207096">
              <w:marLeft w:val="0"/>
              <w:marRight w:val="0"/>
              <w:marTop w:val="0"/>
              <w:marBottom w:val="0"/>
              <w:divBdr>
                <w:top w:val="none" w:sz="0" w:space="0" w:color="auto"/>
                <w:left w:val="none" w:sz="0" w:space="0" w:color="auto"/>
                <w:bottom w:val="none" w:sz="0" w:space="0" w:color="auto"/>
                <w:right w:val="none" w:sz="0" w:space="0" w:color="auto"/>
              </w:divBdr>
            </w:div>
          </w:divsChild>
        </w:div>
        <w:div w:id="1959409626">
          <w:marLeft w:val="0"/>
          <w:marRight w:val="0"/>
          <w:marTop w:val="0"/>
          <w:marBottom w:val="0"/>
          <w:divBdr>
            <w:top w:val="none" w:sz="0" w:space="0" w:color="auto"/>
            <w:left w:val="none" w:sz="0" w:space="0" w:color="auto"/>
            <w:bottom w:val="none" w:sz="0" w:space="0" w:color="auto"/>
            <w:right w:val="none" w:sz="0" w:space="0" w:color="auto"/>
          </w:divBdr>
          <w:divsChild>
            <w:div w:id="740716004">
              <w:marLeft w:val="0"/>
              <w:marRight w:val="0"/>
              <w:marTop w:val="0"/>
              <w:marBottom w:val="0"/>
              <w:divBdr>
                <w:top w:val="none" w:sz="0" w:space="0" w:color="auto"/>
                <w:left w:val="none" w:sz="0" w:space="0" w:color="auto"/>
                <w:bottom w:val="none" w:sz="0" w:space="0" w:color="auto"/>
                <w:right w:val="none" w:sz="0" w:space="0" w:color="auto"/>
              </w:divBdr>
            </w:div>
          </w:divsChild>
        </w:div>
        <w:div w:id="2105835447">
          <w:marLeft w:val="0"/>
          <w:marRight w:val="0"/>
          <w:marTop w:val="0"/>
          <w:marBottom w:val="0"/>
          <w:divBdr>
            <w:top w:val="none" w:sz="0" w:space="0" w:color="auto"/>
            <w:left w:val="none" w:sz="0" w:space="0" w:color="auto"/>
            <w:bottom w:val="none" w:sz="0" w:space="0" w:color="auto"/>
            <w:right w:val="none" w:sz="0" w:space="0" w:color="auto"/>
          </w:divBdr>
          <w:divsChild>
            <w:div w:id="76500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354">
      <w:bodyDiv w:val="1"/>
      <w:marLeft w:val="0"/>
      <w:marRight w:val="0"/>
      <w:marTop w:val="0"/>
      <w:marBottom w:val="0"/>
      <w:divBdr>
        <w:top w:val="none" w:sz="0" w:space="0" w:color="auto"/>
        <w:left w:val="none" w:sz="0" w:space="0" w:color="auto"/>
        <w:bottom w:val="none" w:sz="0" w:space="0" w:color="auto"/>
        <w:right w:val="none" w:sz="0" w:space="0" w:color="auto"/>
      </w:divBdr>
      <w:divsChild>
        <w:div w:id="50930423">
          <w:marLeft w:val="0"/>
          <w:marRight w:val="0"/>
          <w:marTop w:val="0"/>
          <w:marBottom w:val="0"/>
          <w:divBdr>
            <w:top w:val="none" w:sz="0" w:space="0" w:color="auto"/>
            <w:left w:val="none" w:sz="0" w:space="0" w:color="auto"/>
            <w:bottom w:val="none" w:sz="0" w:space="0" w:color="auto"/>
            <w:right w:val="none" w:sz="0" w:space="0" w:color="auto"/>
          </w:divBdr>
          <w:divsChild>
            <w:div w:id="591009205">
              <w:marLeft w:val="0"/>
              <w:marRight w:val="0"/>
              <w:marTop w:val="0"/>
              <w:marBottom w:val="0"/>
              <w:divBdr>
                <w:top w:val="none" w:sz="0" w:space="0" w:color="auto"/>
                <w:left w:val="none" w:sz="0" w:space="0" w:color="auto"/>
                <w:bottom w:val="none" w:sz="0" w:space="0" w:color="auto"/>
                <w:right w:val="none" w:sz="0" w:space="0" w:color="auto"/>
              </w:divBdr>
            </w:div>
            <w:div w:id="1169833541">
              <w:marLeft w:val="0"/>
              <w:marRight w:val="0"/>
              <w:marTop w:val="0"/>
              <w:marBottom w:val="0"/>
              <w:divBdr>
                <w:top w:val="none" w:sz="0" w:space="0" w:color="auto"/>
                <w:left w:val="none" w:sz="0" w:space="0" w:color="auto"/>
                <w:bottom w:val="none" w:sz="0" w:space="0" w:color="auto"/>
                <w:right w:val="none" w:sz="0" w:space="0" w:color="auto"/>
              </w:divBdr>
            </w:div>
          </w:divsChild>
        </w:div>
        <w:div w:id="62068419">
          <w:marLeft w:val="0"/>
          <w:marRight w:val="0"/>
          <w:marTop w:val="0"/>
          <w:marBottom w:val="0"/>
          <w:divBdr>
            <w:top w:val="none" w:sz="0" w:space="0" w:color="auto"/>
            <w:left w:val="none" w:sz="0" w:space="0" w:color="auto"/>
            <w:bottom w:val="none" w:sz="0" w:space="0" w:color="auto"/>
            <w:right w:val="none" w:sz="0" w:space="0" w:color="auto"/>
          </w:divBdr>
          <w:divsChild>
            <w:div w:id="96482524">
              <w:marLeft w:val="0"/>
              <w:marRight w:val="0"/>
              <w:marTop w:val="0"/>
              <w:marBottom w:val="0"/>
              <w:divBdr>
                <w:top w:val="none" w:sz="0" w:space="0" w:color="auto"/>
                <w:left w:val="none" w:sz="0" w:space="0" w:color="auto"/>
                <w:bottom w:val="none" w:sz="0" w:space="0" w:color="auto"/>
                <w:right w:val="none" w:sz="0" w:space="0" w:color="auto"/>
              </w:divBdr>
            </w:div>
            <w:div w:id="2103379999">
              <w:marLeft w:val="0"/>
              <w:marRight w:val="0"/>
              <w:marTop w:val="0"/>
              <w:marBottom w:val="0"/>
              <w:divBdr>
                <w:top w:val="none" w:sz="0" w:space="0" w:color="auto"/>
                <w:left w:val="none" w:sz="0" w:space="0" w:color="auto"/>
                <w:bottom w:val="none" w:sz="0" w:space="0" w:color="auto"/>
                <w:right w:val="none" w:sz="0" w:space="0" w:color="auto"/>
              </w:divBdr>
            </w:div>
          </w:divsChild>
        </w:div>
        <w:div w:id="84766341">
          <w:marLeft w:val="0"/>
          <w:marRight w:val="0"/>
          <w:marTop w:val="0"/>
          <w:marBottom w:val="0"/>
          <w:divBdr>
            <w:top w:val="none" w:sz="0" w:space="0" w:color="auto"/>
            <w:left w:val="none" w:sz="0" w:space="0" w:color="auto"/>
            <w:bottom w:val="none" w:sz="0" w:space="0" w:color="auto"/>
            <w:right w:val="none" w:sz="0" w:space="0" w:color="auto"/>
          </w:divBdr>
          <w:divsChild>
            <w:div w:id="1616667395">
              <w:marLeft w:val="0"/>
              <w:marRight w:val="0"/>
              <w:marTop w:val="0"/>
              <w:marBottom w:val="0"/>
              <w:divBdr>
                <w:top w:val="none" w:sz="0" w:space="0" w:color="auto"/>
                <w:left w:val="none" w:sz="0" w:space="0" w:color="auto"/>
                <w:bottom w:val="none" w:sz="0" w:space="0" w:color="auto"/>
                <w:right w:val="none" w:sz="0" w:space="0" w:color="auto"/>
              </w:divBdr>
            </w:div>
          </w:divsChild>
        </w:div>
        <w:div w:id="96217643">
          <w:marLeft w:val="0"/>
          <w:marRight w:val="0"/>
          <w:marTop w:val="0"/>
          <w:marBottom w:val="0"/>
          <w:divBdr>
            <w:top w:val="none" w:sz="0" w:space="0" w:color="auto"/>
            <w:left w:val="none" w:sz="0" w:space="0" w:color="auto"/>
            <w:bottom w:val="none" w:sz="0" w:space="0" w:color="auto"/>
            <w:right w:val="none" w:sz="0" w:space="0" w:color="auto"/>
          </w:divBdr>
          <w:divsChild>
            <w:div w:id="148717442">
              <w:marLeft w:val="0"/>
              <w:marRight w:val="0"/>
              <w:marTop w:val="0"/>
              <w:marBottom w:val="0"/>
              <w:divBdr>
                <w:top w:val="none" w:sz="0" w:space="0" w:color="auto"/>
                <w:left w:val="none" w:sz="0" w:space="0" w:color="auto"/>
                <w:bottom w:val="none" w:sz="0" w:space="0" w:color="auto"/>
                <w:right w:val="none" w:sz="0" w:space="0" w:color="auto"/>
              </w:divBdr>
            </w:div>
          </w:divsChild>
        </w:div>
        <w:div w:id="306205028">
          <w:marLeft w:val="0"/>
          <w:marRight w:val="0"/>
          <w:marTop w:val="0"/>
          <w:marBottom w:val="0"/>
          <w:divBdr>
            <w:top w:val="none" w:sz="0" w:space="0" w:color="auto"/>
            <w:left w:val="none" w:sz="0" w:space="0" w:color="auto"/>
            <w:bottom w:val="none" w:sz="0" w:space="0" w:color="auto"/>
            <w:right w:val="none" w:sz="0" w:space="0" w:color="auto"/>
          </w:divBdr>
          <w:divsChild>
            <w:div w:id="508297677">
              <w:marLeft w:val="0"/>
              <w:marRight w:val="0"/>
              <w:marTop w:val="0"/>
              <w:marBottom w:val="0"/>
              <w:divBdr>
                <w:top w:val="none" w:sz="0" w:space="0" w:color="auto"/>
                <w:left w:val="none" w:sz="0" w:space="0" w:color="auto"/>
                <w:bottom w:val="none" w:sz="0" w:space="0" w:color="auto"/>
                <w:right w:val="none" w:sz="0" w:space="0" w:color="auto"/>
              </w:divBdr>
            </w:div>
          </w:divsChild>
        </w:div>
        <w:div w:id="393163181">
          <w:marLeft w:val="0"/>
          <w:marRight w:val="0"/>
          <w:marTop w:val="0"/>
          <w:marBottom w:val="0"/>
          <w:divBdr>
            <w:top w:val="none" w:sz="0" w:space="0" w:color="auto"/>
            <w:left w:val="none" w:sz="0" w:space="0" w:color="auto"/>
            <w:bottom w:val="none" w:sz="0" w:space="0" w:color="auto"/>
            <w:right w:val="none" w:sz="0" w:space="0" w:color="auto"/>
          </w:divBdr>
          <w:divsChild>
            <w:div w:id="1037773978">
              <w:marLeft w:val="0"/>
              <w:marRight w:val="0"/>
              <w:marTop w:val="0"/>
              <w:marBottom w:val="0"/>
              <w:divBdr>
                <w:top w:val="none" w:sz="0" w:space="0" w:color="auto"/>
                <w:left w:val="none" w:sz="0" w:space="0" w:color="auto"/>
                <w:bottom w:val="none" w:sz="0" w:space="0" w:color="auto"/>
                <w:right w:val="none" w:sz="0" w:space="0" w:color="auto"/>
              </w:divBdr>
            </w:div>
          </w:divsChild>
        </w:div>
        <w:div w:id="458259966">
          <w:marLeft w:val="0"/>
          <w:marRight w:val="0"/>
          <w:marTop w:val="0"/>
          <w:marBottom w:val="0"/>
          <w:divBdr>
            <w:top w:val="none" w:sz="0" w:space="0" w:color="auto"/>
            <w:left w:val="none" w:sz="0" w:space="0" w:color="auto"/>
            <w:bottom w:val="none" w:sz="0" w:space="0" w:color="auto"/>
            <w:right w:val="none" w:sz="0" w:space="0" w:color="auto"/>
          </w:divBdr>
          <w:divsChild>
            <w:div w:id="1424835573">
              <w:marLeft w:val="0"/>
              <w:marRight w:val="0"/>
              <w:marTop w:val="0"/>
              <w:marBottom w:val="0"/>
              <w:divBdr>
                <w:top w:val="none" w:sz="0" w:space="0" w:color="auto"/>
                <w:left w:val="none" w:sz="0" w:space="0" w:color="auto"/>
                <w:bottom w:val="none" w:sz="0" w:space="0" w:color="auto"/>
                <w:right w:val="none" w:sz="0" w:space="0" w:color="auto"/>
              </w:divBdr>
            </w:div>
          </w:divsChild>
        </w:div>
        <w:div w:id="491261448">
          <w:marLeft w:val="0"/>
          <w:marRight w:val="0"/>
          <w:marTop w:val="0"/>
          <w:marBottom w:val="0"/>
          <w:divBdr>
            <w:top w:val="none" w:sz="0" w:space="0" w:color="auto"/>
            <w:left w:val="none" w:sz="0" w:space="0" w:color="auto"/>
            <w:bottom w:val="none" w:sz="0" w:space="0" w:color="auto"/>
            <w:right w:val="none" w:sz="0" w:space="0" w:color="auto"/>
          </w:divBdr>
          <w:divsChild>
            <w:div w:id="920062514">
              <w:marLeft w:val="0"/>
              <w:marRight w:val="0"/>
              <w:marTop w:val="0"/>
              <w:marBottom w:val="0"/>
              <w:divBdr>
                <w:top w:val="none" w:sz="0" w:space="0" w:color="auto"/>
                <w:left w:val="none" w:sz="0" w:space="0" w:color="auto"/>
                <w:bottom w:val="none" w:sz="0" w:space="0" w:color="auto"/>
                <w:right w:val="none" w:sz="0" w:space="0" w:color="auto"/>
              </w:divBdr>
            </w:div>
          </w:divsChild>
        </w:div>
        <w:div w:id="648170736">
          <w:marLeft w:val="0"/>
          <w:marRight w:val="0"/>
          <w:marTop w:val="0"/>
          <w:marBottom w:val="0"/>
          <w:divBdr>
            <w:top w:val="none" w:sz="0" w:space="0" w:color="auto"/>
            <w:left w:val="none" w:sz="0" w:space="0" w:color="auto"/>
            <w:bottom w:val="none" w:sz="0" w:space="0" w:color="auto"/>
            <w:right w:val="none" w:sz="0" w:space="0" w:color="auto"/>
          </w:divBdr>
          <w:divsChild>
            <w:div w:id="1159343682">
              <w:marLeft w:val="0"/>
              <w:marRight w:val="0"/>
              <w:marTop w:val="0"/>
              <w:marBottom w:val="0"/>
              <w:divBdr>
                <w:top w:val="none" w:sz="0" w:space="0" w:color="auto"/>
                <w:left w:val="none" w:sz="0" w:space="0" w:color="auto"/>
                <w:bottom w:val="none" w:sz="0" w:space="0" w:color="auto"/>
                <w:right w:val="none" w:sz="0" w:space="0" w:color="auto"/>
              </w:divBdr>
            </w:div>
          </w:divsChild>
        </w:div>
        <w:div w:id="663970056">
          <w:marLeft w:val="0"/>
          <w:marRight w:val="0"/>
          <w:marTop w:val="0"/>
          <w:marBottom w:val="0"/>
          <w:divBdr>
            <w:top w:val="none" w:sz="0" w:space="0" w:color="auto"/>
            <w:left w:val="none" w:sz="0" w:space="0" w:color="auto"/>
            <w:bottom w:val="none" w:sz="0" w:space="0" w:color="auto"/>
            <w:right w:val="none" w:sz="0" w:space="0" w:color="auto"/>
          </w:divBdr>
          <w:divsChild>
            <w:div w:id="45103469">
              <w:marLeft w:val="0"/>
              <w:marRight w:val="0"/>
              <w:marTop w:val="0"/>
              <w:marBottom w:val="0"/>
              <w:divBdr>
                <w:top w:val="none" w:sz="0" w:space="0" w:color="auto"/>
                <w:left w:val="none" w:sz="0" w:space="0" w:color="auto"/>
                <w:bottom w:val="none" w:sz="0" w:space="0" w:color="auto"/>
                <w:right w:val="none" w:sz="0" w:space="0" w:color="auto"/>
              </w:divBdr>
            </w:div>
          </w:divsChild>
        </w:div>
        <w:div w:id="712463689">
          <w:marLeft w:val="0"/>
          <w:marRight w:val="0"/>
          <w:marTop w:val="0"/>
          <w:marBottom w:val="0"/>
          <w:divBdr>
            <w:top w:val="none" w:sz="0" w:space="0" w:color="auto"/>
            <w:left w:val="none" w:sz="0" w:space="0" w:color="auto"/>
            <w:bottom w:val="none" w:sz="0" w:space="0" w:color="auto"/>
            <w:right w:val="none" w:sz="0" w:space="0" w:color="auto"/>
          </w:divBdr>
          <w:divsChild>
            <w:div w:id="545870261">
              <w:marLeft w:val="0"/>
              <w:marRight w:val="0"/>
              <w:marTop w:val="0"/>
              <w:marBottom w:val="0"/>
              <w:divBdr>
                <w:top w:val="none" w:sz="0" w:space="0" w:color="auto"/>
                <w:left w:val="none" w:sz="0" w:space="0" w:color="auto"/>
                <w:bottom w:val="none" w:sz="0" w:space="0" w:color="auto"/>
                <w:right w:val="none" w:sz="0" w:space="0" w:color="auto"/>
              </w:divBdr>
            </w:div>
          </w:divsChild>
        </w:div>
        <w:div w:id="767165885">
          <w:marLeft w:val="0"/>
          <w:marRight w:val="0"/>
          <w:marTop w:val="0"/>
          <w:marBottom w:val="0"/>
          <w:divBdr>
            <w:top w:val="none" w:sz="0" w:space="0" w:color="auto"/>
            <w:left w:val="none" w:sz="0" w:space="0" w:color="auto"/>
            <w:bottom w:val="none" w:sz="0" w:space="0" w:color="auto"/>
            <w:right w:val="none" w:sz="0" w:space="0" w:color="auto"/>
          </w:divBdr>
          <w:divsChild>
            <w:div w:id="25102818">
              <w:marLeft w:val="0"/>
              <w:marRight w:val="0"/>
              <w:marTop w:val="0"/>
              <w:marBottom w:val="0"/>
              <w:divBdr>
                <w:top w:val="none" w:sz="0" w:space="0" w:color="auto"/>
                <w:left w:val="none" w:sz="0" w:space="0" w:color="auto"/>
                <w:bottom w:val="none" w:sz="0" w:space="0" w:color="auto"/>
                <w:right w:val="none" w:sz="0" w:space="0" w:color="auto"/>
              </w:divBdr>
            </w:div>
          </w:divsChild>
        </w:div>
        <w:div w:id="795174479">
          <w:marLeft w:val="0"/>
          <w:marRight w:val="0"/>
          <w:marTop w:val="0"/>
          <w:marBottom w:val="0"/>
          <w:divBdr>
            <w:top w:val="none" w:sz="0" w:space="0" w:color="auto"/>
            <w:left w:val="none" w:sz="0" w:space="0" w:color="auto"/>
            <w:bottom w:val="none" w:sz="0" w:space="0" w:color="auto"/>
            <w:right w:val="none" w:sz="0" w:space="0" w:color="auto"/>
          </w:divBdr>
          <w:divsChild>
            <w:div w:id="457378478">
              <w:marLeft w:val="0"/>
              <w:marRight w:val="0"/>
              <w:marTop w:val="0"/>
              <w:marBottom w:val="0"/>
              <w:divBdr>
                <w:top w:val="none" w:sz="0" w:space="0" w:color="auto"/>
                <w:left w:val="none" w:sz="0" w:space="0" w:color="auto"/>
                <w:bottom w:val="none" w:sz="0" w:space="0" w:color="auto"/>
                <w:right w:val="none" w:sz="0" w:space="0" w:color="auto"/>
              </w:divBdr>
            </w:div>
          </w:divsChild>
        </w:div>
        <w:div w:id="897204286">
          <w:marLeft w:val="0"/>
          <w:marRight w:val="0"/>
          <w:marTop w:val="0"/>
          <w:marBottom w:val="0"/>
          <w:divBdr>
            <w:top w:val="none" w:sz="0" w:space="0" w:color="auto"/>
            <w:left w:val="none" w:sz="0" w:space="0" w:color="auto"/>
            <w:bottom w:val="none" w:sz="0" w:space="0" w:color="auto"/>
            <w:right w:val="none" w:sz="0" w:space="0" w:color="auto"/>
          </w:divBdr>
          <w:divsChild>
            <w:div w:id="505558825">
              <w:marLeft w:val="0"/>
              <w:marRight w:val="0"/>
              <w:marTop w:val="0"/>
              <w:marBottom w:val="0"/>
              <w:divBdr>
                <w:top w:val="none" w:sz="0" w:space="0" w:color="auto"/>
                <w:left w:val="none" w:sz="0" w:space="0" w:color="auto"/>
                <w:bottom w:val="none" w:sz="0" w:space="0" w:color="auto"/>
                <w:right w:val="none" w:sz="0" w:space="0" w:color="auto"/>
              </w:divBdr>
            </w:div>
          </w:divsChild>
        </w:div>
        <w:div w:id="900596115">
          <w:marLeft w:val="0"/>
          <w:marRight w:val="0"/>
          <w:marTop w:val="0"/>
          <w:marBottom w:val="0"/>
          <w:divBdr>
            <w:top w:val="none" w:sz="0" w:space="0" w:color="auto"/>
            <w:left w:val="none" w:sz="0" w:space="0" w:color="auto"/>
            <w:bottom w:val="none" w:sz="0" w:space="0" w:color="auto"/>
            <w:right w:val="none" w:sz="0" w:space="0" w:color="auto"/>
          </w:divBdr>
          <w:divsChild>
            <w:div w:id="266351801">
              <w:marLeft w:val="0"/>
              <w:marRight w:val="0"/>
              <w:marTop w:val="0"/>
              <w:marBottom w:val="0"/>
              <w:divBdr>
                <w:top w:val="none" w:sz="0" w:space="0" w:color="auto"/>
                <w:left w:val="none" w:sz="0" w:space="0" w:color="auto"/>
                <w:bottom w:val="none" w:sz="0" w:space="0" w:color="auto"/>
                <w:right w:val="none" w:sz="0" w:space="0" w:color="auto"/>
              </w:divBdr>
            </w:div>
            <w:div w:id="801580202">
              <w:marLeft w:val="0"/>
              <w:marRight w:val="0"/>
              <w:marTop w:val="0"/>
              <w:marBottom w:val="0"/>
              <w:divBdr>
                <w:top w:val="none" w:sz="0" w:space="0" w:color="auto"/>
                <w:left w:val="none" w:sz="0" w:space="0" w:color="auto"/>
                <w:bottom w:val="none" w:sz="0" w:space="0" w:color="auto"/>
                <w:right w:val="none" w:sz="0" w:space="0" w:color="auto"/>
              </w:divBdr>
            </w:div>
          </w:divsChild>
        </w:div>
        <w:div w:id="902788831">
          <w:marLeft w:val="0"/>
          <w:marRight w:val="0"/>
          <w:marTop w:val="0"/>
          <w:marBottom w:val="0"/>
          <w:divBdr>
            <w:top w:val="none" w:sz="0" w:space="0" w:color="auto"/>
            <w:left w:val="none" w:sz="0" w:space="0" w:color="auto"/>
            <w:bottom w:val="none" w:sz="0" w:space="0" w:color="auto"/>
            <w:right w:val="none" w:sz="0" w:space="0" w:color="auto"/>
          </w:divBdr>
          <w:divsChild>
            <w:div w:id="1269311722">
              <w:marLeft w:val="0"/>
              <w:marRight w:val="0"/>
              <w:marTop w:val="0"/>
              <w:marBottom w:val="0"/>
              <w:divBdr>
                <w:top w:val="none" w:sz="0" w:space="0" w:color="auto"/>
                <w:left w:val="none" w:sz="0" w:space="0" w:color="auto"/>
                <w:bottom w:val="none" w:sz="0" w:space="0" w:color="auto"/>
                <w:right w:val="none" w:sz="0" w:space="0" w:color="auto"/>
              </w:divBdr>
            </w:div>
          </w:divsChild>
        </w:div>
        <w:div w:id="909773151">
          <w:marLeft w:val="0"/>
          <w:marRight w:val="0"/>
          <w:marTop w:val="0"/>
          <w:marBottom w:val="0"/>
          <w:divBdr>
            <w:top w:val="none" w:sz="0" w:space="0" w:color="auto"/>
            <w:left w:val="none" w:sz="0" w:space="0" w:color="auto"/>
            <w:bottom w:val="none" w:sz="0" w:space="0" w:color="auto"/>
            <w:right w:val="none" w:sz="0" w:space="0" w:color="auto"/>
          </w:divBdr>
          <w:divsChild>
            <w:div w:id="163128410">
              <w:marLeft w:val="0"/>
              <w:marRight w:val="0"/>
              <w:marTop w:val="0"/>
              <w:marBottom w:val="0"/>
              <w:divBdr>
                <w:top w:val="none" w:sz="0" w:space="0" w:color="auto"/>
                <w:left w:val="none" w:sz="0" w:space="0" w:color="auto"/>
                <w:bottom w:val="none" w:sz="0" w:space="0" w:color="auto"/>
                <w:right w:val="none" w:sz="0" w:space="0" w:color="auto"/>
              </w:divBdr>
            </w:div>
          </w:divsChild>
        </w:div>
        <w:div w:id="929312373">
          <w:marLeft w:val="0"/>
          <w:marRight w:val="0"/>
          <w:marTop w:val="0"/>
          <w:marBottom w:val="0"/>
          <w:divBdr>
            <w:top w:val="none" w:sz="0" w:space="0" w:color="auto"/>
            <w:left w:val="none" w:sz="0" w:space="0" w:color="auto"/>
            <w:bottom w:val="none" w:sz="0" w:space="0" w:color="auto"/>
            <w:right w:val="none" w:sz="0" w:space="0" w:color="auto"/>
          </w:divBdr>
          <w:divsChild>
            <w:div w:id="1053382817">
              <w:marLeft w:val="0"/>
              <w:marRight w:val="0"/>
              <w:marTop w:val="0"/>
              <w:marBottom w:val="0"/>
              <w:divBdr>
                <w:top w:val="none" w:sz="0" w:space="0" w:color="auto"/>
                <w:left w:val="none" w:sz="0" w:space="0" w:color="auto"/>
                <w:bottom w:val="none" w:sz="0" w:space="0" w:color="auto"/>
                <w:right w:val="none" w:sz="0" w:space="0" w:color="auto"/>
              </w:divBdr>
            </w:div>
          </w:divsChild>
        </w:div>
        <w:div w:id="933440262">
          <w:marLeft w:val="0"/>
          <w:marRight w:val="0"/>
          <w:marTop w:val="0"/>
          <w:marBottom w:val="0"/>
          <w:divBdr>
            <w:top w:val="none" w:sz="0" w:space="0" w:color="auto"/>
            <w:left w:val="none" w:sz="0" w:space="0" w:color="auto"/>
            <w:bottom w:val="none" w:sz="0" w:space="0" w:color="auto"/>
            <w:right w:val="none" w:sz="0" w:space="0" w:color="auto"/>
          </w:divBdr>
          <w:divsChild>
            <w:div w:id="1472402391">
              <w:marLeft w:val="0"/>
              <w:marRight w:val="0"/>
              <w:marTop w:val="0"/>
              <w:marBottom w:val="0"/>
              <w:divBdr>
                <w:top w:val="none" w:sz="0" w:space="0" w:color="auto"/>
                <w:left w:val="none" w:sz="0" w:space="0" w:color="auto"/>
                <w:bottom w:val="none" w:sz="0" w:space="0" w:color="auto"/>
                <w:right w:val="none" w:sz="0" w:space="0" w:color="auto"/>
              </w:divBdr>
            </w:div>
          </w:divsChild>
        </w:div>
        <w:div w:id="1180269344">
          <w:marLeft w:val="0"/>
          <w:marRight w:val="0"/>
          <w:marTop w:val="0"/>
          <w:marBottom w:val="0"/>
          <w:divBdr>
            <w:top w:val="none" w:sz="0" w:space="0" w:color="auto"/>
            <w:left w:val="none" w:sz="0" w:space="0" w:color="auto"/>
            <w:bottom w:val="none" w:sz="0" w:space="0" w:color="auto"/>
            <w:right w:val="none" w:sz="0" w:space="0" w:color="auto"/>
          </w:divBdr>
          <w:divsChild>
            <w:div w:id="783764524">
              <w:marLeft w:val="0"/>
              <w:marRight w:val="0"/>
              <w:marTop w:val="0"/>
              <w:marBottom w:val="0"/>
              <w:divBdr>
                <w:top w:val="none" w:sz="0" w:space="0" w:color="auto"/>
                <w:left w:val="none" w:sz="0" w:space="0" w:color="auto"/>
                <w:bottom w:val="none" w:sz="0" w:space="0" w:color="auto"/>
                <w:right w:val="none" w:sz="0" w:space="0" w:color="auto"/>
              </w:divBdr>
            </w:div>
            <w:div w:id="1675064122">
              <w:marLeft w:val="0"/>
              <w:marRight w:val="0"/>
              <w:marTop w:val="0"/>
              <w:marBottom w:val="0"/>
              <w:divBdr>
                <w:top w:val="none" w:sz="0" w:space="0" w:color="auto"/>
                <w:left w:val="none" w:sz="0" w:space="0" w:color="auto"/>
                <w:bottom w:val="none" w:sz="0" w:space="0" w:color="auto"/>
                <w:right w:val="none" w:sz="0" w:space="0" w:color="auto"/>
              </w:divBdr>
            </w:div>
          </w:divsChild>
        </w:div>
        <w:div w:id="1306739500">
          <w:marLeft w:val="0"/>
          <w:marRight w:val="0"/>
          <w:marTop w:val="0"/>
          <w:marBottom w:val="0"/>
          <w:divBdr>
            <w:top w:val="none" w:sz="0" w:space="0" w:color="auto"/>
            <w:left w:val="none" w:sz="0" w:space="0" w:color="auto"/>
            <w:bottom w:val="none" w:sz="0" w:space="0" w:color="auto"/>
            <w:right w:val="none" w:sz="0" w:space="0" w:color="auto"/>
          </w:divBdr>
          <w:divsChild>
            <w:div w:id="1237932667">
              <w:marLeft w:val="0"/>
              <w:marRight w:val="0"/>
              <w:marTop w:val="0"/>
              <w:marBottom w:val="0"/>
              <w:divBdr>
                <w:top w:val="none" w:sz="0" w:space="0" w:color="auto"/>
                <w:left w:val="none" w:sz="0" w:space="0" w:color="auto"/>
                <w:bottom w:val="none" w:sz="0" w:space="0" w:color="auto"/>
                <w:right w:val="none" w:sz="0" w:space="0" w:color="auto"/>
              </w:divBdr>
            </w:div>
            <w:div w:id="1876499390">
              <w:marLeft w:val="0"/>
              <w:marRight w:val="0"/>
              <w:marTop w:val="0"/>
              <w:marBottom w:val="0"/>
              <w:divBdr>
                <w:top w:val="none" w:sz="0" w:space="0" w:color="auto"/>
                <w:left w:val="none" w:sz="0" w:space="0" w:color="auto"/>
                <w:bottom w:val="none" w:sz="0" w:space="0" w:color="auto"/>
                <w:right w:val="none" w:sz="0" w:space="0" w:color="auto"/>
              </w:divBdr>
            </w:div>
          </w:divsChild>
        </w:div>
        <w:div w:id="1351760642">
          <w:marLeft w:val="0"/>
          <w:marRight w:val="0"/>
          <w:marTop w:val="0"/>
          <w:marBottom w:val="0"/>
          <w:divBdr>
            <w:top w:val="none" w:sz="0" w:space="0" w:color="auto"/>
            <w:left w:val="none" w:sz="0" w:space="0" w:color="auto"/>
            <w:bottom w:val="none" w:sz="0" w:space="0" w:color="auto"/>
            <w:right w:val="none" w:sz="0" w:space="0" w:color="auto"/>
          </w:divBdr>
          <w:divsChild>
            <w:div w:id="1932424135">
              <w:marLeft w:val="0"/>
              <w:marRight w:val="0"/>
              <w:marTop w:val="0"/>
              <w:marBottom w:val="0"/>
              <w:divBdr>
                <w:top w:val="none" w:sz="0" w:space="0" w:color="auto"/>
                <w:left w:val="none" w:sz="0" w:space="0" w:color="auto"/>
                <w:bottom w:val="none" w:sz="0" w:space="0" w:color="auto"/>
                <w:right w:val="none" w:sz="0" w:space="0" w:color="auto"/>
              </w:divBdr>
            </w:div>
          </w:divsChild>
        </w:div>
        <w:div w:id="1454709604">
          <w:marLeft w:val="0"/>
          <w:marRight w:val="0"/>
          <w:marTop w:val="0"/>
          <w:marBottom w:val="0"/>
          <w:divBdr>
            <w:top w:val="none" w:sz="0" w:space="0" w:color="auto"/>
            <w:left w:val="none" w:sz="0" w:space="0" w:color="auto"/>
            <w:bottom w:val="none" w:sz="0" w:space="0" w:color="auto"/>
            <w:right w:val="none" w:sz="0" w:space="0" w:color="auto"/>
          </w:divBdr>
          <w:divsChild>
            <w:div w:id="716592286">
              <w:marLeft w:val="0"/>
              <w:marRight w:val="0"/>
              <w:marTop w:val="0"/>
              <w:marBottom w:val="0"/>
              <w:divBdr>
                <w:top w:val="none" w:sz="0" w:space="0" w:color="auto"/>
                <w:left w:val="none" w:sz="0" w:space="0" w:color="auto"/>
                <w:bottom w:val="none" w:sz="0" w:space="0" w:color="auto"/>
                <w:right w:val="none" w:sz="0" w:space="0" w:color="auto"/>
              </w:divBdr>
            </w:div>
          </w:divsChild>
        </w:div>
        <w:div w:id="1515683807">
          <w:marLeft w:val="0"/>
          <w:marRight w:val="0"/>
          <w:marTop w:val="0"/>
          <w:marBottom w:val="0"/>
          <w:divBdr>
            <w:top w:val="none" w:sz="0" w:space="0" w:color="auto"/>
            <w:left w:val="none" w:sz="0" w:space="0" w:color="auto"/>
            <w:bottom w:val="none" w:sz="0" w:space="0" w:color="auto"/>
            <w:right w:val="none" w:sz="0" w:space="0" w:color="auto"/>
          </w:divBdr>
          <w:divsChild>
            <w:div w:id="1627006527">
              <w:marLeft w:val="0"/>
              <w:marRight w:val="0"/>
              <w:marTop w:val="0"/>
              <w:marBottom w:val="0"/>
              <w:divBdr>
                <w:top w:val="none" w:sz="0" w:space="0" w:color="auto"/>
                <w:left w:val="none" w:sz="0" w:space="0" w:color="auto"/>
                <w:bottom w:val="none" w:sz="0" w:space="0" w:color="auto"/>
                <w:right w:val="none" w:sz="0" w:space="0" w:color="auto"/>
              </w:divBdr>
            </w:div>
          </w:divsChild>
        </w:div>
        <w:div w:id="1643848627">
          <w:marLeft w:val="0"/>
          <w:marRight w:val="0"/>
          <w:marTop w:val="0"/>
          <w:marBottom w:val="0"/>
          <w:divBdr>
            <w:top w:val="none" w:sz="0" w:space="0" w:color="auto"/>
            <w:left w:val="none" w:sz="0" w:space="0" w:color="auto"/>
            <w:bottom w:val="none" w:sz="0" w:space="0" w:color="auto"/>
            <w:right w:val="none" w:sz="0" w:space="0" w:color="auto"/>
          </w:divBdr>
          <w:divsChild>
            <w:div w:id="551430610">
              <w:marLeft w:val="0"/>
              <w:marRight w:val="0"/>
              <w:marTop w:val="0"/>
              <w:marBottom w:val="0"/>
              <w:divBdr>
                <w:top w:val="none" w:sz="0" w:space="0" w:color="auto"/>
                <w:left w:val="none" w:sz="0" w:space="0" w:color="auto"/>
                <w:bottom w:val="none" w:sz="0" w:space="0" w:color="auto"/>
                <w:right w:val="none" w:sz="0" w:space="0" w:color="auto"/>
              </w:divBdr>
            </w:div>
          </w:divsChild>
        </w:div>
        <w:div w:id="1723016475">
          <w:marLeft w:val="0"/>
          <w:marRight w:val="0"/>
          <w:marTop w:val="0"/>
          <w:marBottom w:val="0"/>
          <w:divBdr>
            <w:top w:val="none" w:sz="0" w:space="0" w:color="auto"/>
            <w:left w:val="none" w:sz="0" w:space="0" w:color="auto"/>
            <w:bottom w:val="none" w:sz="0" w:space="0" w:color="auto"/>
            <w:right w:val="none" w:sz="0" w:space="0" w:color="auto"/>
          </w:divBdr>
          <w:divsChild>
            <w:div w:id="11302543">
              <w:marLeft w:val="0"/>
              <w:marRight w:val="0"/>
              <w:marTop w:val="0"/>
              <w:marBottom w:val="0"/>
              <w:divBdr>
                <w:top w:val="none" w:sz="0" w:space="0" w:color="auto"/>
                <w:left w:val="none" w:sz="0" w:space="0" w:color="auto"/>
                <w:bottom w:val="none" w:sz="0" w:space="0" w:color="auto"/>
                <w:right w:val="none" w:sz="0" w:space="0" w:color="auto"/>
              </w:divBdr>
            </w:div>
          </w:divsChild>
        </w:div>
        <w:div w:id="1839151041">
          <w:marLeft w:val="0"/>
          <w:marRight w:val="0"/>
          <w:marTop w:val="0"/>
          <w:marBottom w:val="0"/>
          <w:divBdr>
            <w:top w:val="none" w:sz="0" w:space="0" w:color="auto"/>
            <w:left w:val="none" w:sz="0" w:space="0" w:color="auto"/>
            <w:bottom w:val="none" w:sz="0" w:space="0" w:color="auto"/>
            <w:right w:val="none" w:sz="0" w:space="0" w:color="auto"/>
          </w:divBdr>
          <w:divsChild>
            <w:div w:id="1591044269">
              <w:marLeft w:val="0"/>
              <w:marRight w:val="0"/>
              <w:marTop w:val="0"/>
              <w:marBottom w:val="0"/>
              <w:divBdr>
                <w:top w:val="none" w:sz="0" w:space="0" w:color="auto"/>
                <w:left w:val="none" w:sz="0" w:space="0" w:color="auto"/>
                <w:bottom w:val="none" w:sz="0" w:space="0" w:color="auto"/>
                <w:right w:val="none" w:sz="0" w:space="0" w:color="auto"/>
              </w:divBdr>
            </w:div>
          </w:divsChild>
        </w:div>
        <w:div w:id="1860925045">
          <w:marLeft w:val="0"/>
          <w:marRight w:val="0"/>
          <w:marTop w:val="0"/>
          <w:marBottom w:val="0"/>
          <w:divBdr>
            <w:top w:val="none" w:sz="0" w:space="0" w:color="auto"/>
            <w:left w:val="none" w:sz="0" w:space="0" w:color="auto"/>
            <w:bottom w:val="none" w:sz="0" w:space="0" w:color="auto"/>
            <w:right w:val="none" w:sz="0" w:space="0" w:color="auto"/>
          </w:divBdr>
          <w:divsChild>
            <w:div w:id="216092937">
              <w:marLeft w:val="0"/>
              <w:marRight w:val="0"/>
              <w:marTop w:val="0"/>
              <w:marBottom w:val="0"/>
              <w:divBdr>
                <w:top w:val="none" w:sz="0" w:space="0" w:color="auto"/>
                <w:left w:val="none" w:sz="0" w:space="0" w:color="auto"/>
                <w:bottom w:val="none" w:sz="0" w:space="0" w:color="auto"/>
                <w:right w:val="none" w:sz="0" w:space="0" w:color="auto"/>
              </w:divBdr>
            </w:div>
          </w:divsChild>
        </w:div>
        <w:div w:id="1915968536">
          <w:marLeft w:val="0"/>
          <w:marRight w:val="0"/>
          <w:marTop w:val="0"/>
          <w:marBottom w:val="0"/>
          <w:divBdr>
            <w:top w:val="none" w:sz="0" w:space="0" w:color="auto"/>
            <w:left w:val="none" w:sz="0" w:space="0" w:color="auto"/>
            <w:bottom w:val="none" w:sz="0" w:space="0" w:color="auto"/>
            <w:right w:val="none" w:sz="0" w:space="0" w:color="auto"/>
          </w:divBdr>
          <w:divsChild>
            <w:div w:id="3288771">
              <w:marLeft w:val="0"/>
              <w:marRight w:val="0"/>
              <w:marTop w:val="0"/>
              <w:marBottom w:val="0"/>
              <w:divBdr>
                <w:top w:val="none" w:sz="0" w:space="0" w:color="auto"/>
                <w:left w:val="none" w:sz="0" w:space="0" w:color="auto"/>
                <w:bottom w:val="none" w:sz="0" w:space="0" w:color="auto"/>
                <w:right w:val="none" w:sz="0" w:space="0" w:color="auto"/>
              </w:divBdr>
            </w:div>
            <w:div w:id="118108230">
              <w:marLeft w:val="0"/>
              <w:marRight w:val="0"/>
              <w:marTop w:val="0"/>
              <w:marBottom w:val="0"/>
              <w:divBdr>
                <w:top w:val="none" w:sz="0" w:space="0" w:color="auto"/>
                <w:left w:val="none" w:sz="0" w:space="0" w:color="auto"/>
                <w:bottom w:val="none" w:sz="0" w:space="0" w:color="auto"/>
                <w:right w:val="none" w:sz="0" w:space="0" w:color="auto"/>
              </w:divBdr>
            </w:div>
          </w:divsChild>
        </w:div>
        <w:div w:id="1963996365">
          <w:marLeft w:val="0"/>
          <w:marRight w:val="0"/>
          <w:marTop w:val="0"/>
          <w:marBottom w:val="0"/>
          <w:divBdr>
            <w:top w:val="none" w:sz="0" w:space="0" w:color="auto"/>
            <w:left w:val="none" w:sz="0" w:space="0" w:color="auto"/>
            <w:bottom w:val="none" w:sz="0" w:space="0" w:color="auto"/>
            <w:right w:val="none" w:sz="0" w:space="0" w:color="auto"/>
          </w:divBdr>
          <w:divsChild>
            <w:div w:id="457652131">
              <w:marLeft w:val="0"/>
              <w:marRight w:val="0"/>
              <w:marTop w:val="0"/>
              <w:marBottom w:val="0"/>
              <w:divBdr>
                <w:top w:val="none" w:sz="0" w:space="0" w:color="auto"/>
                <w:left w:val="none" w:sz="0" w:space="0" w:color="auto"/>
                <w:bottom w:val="none" w:sz="0" w:space="0" w:color="auto"/>
                <w:right w:val="none" w:sz="0" w:space="0" w:color="auto"/>
              </w:divBdr>
            </w:div>
          </w:divsChild>
        </w:div>
        <w:div w:id="1966811353">
          <w:marLeft w:val="0"/>
          <w:marRight w:val="0"/>
          <w:marTop w:val="0"/>
          <w:marBottom w:val="0"/>
          <w:divBdr>
            <w:top w:val="none" w:sz="0" w:space="0" w:color="auto"/>
            <w:left w:val="none" w:sz="0" w:space="0" w:color="auto"/>
            <w:bottom w:val="none" w:sz="0" w:space="0" w:color="auto"/>
            <w:right w:val="none" w:sz="0" w:space="0" w:color="auto"/>
          </w:divBdr>
          <w:divsChild>
            <w:div w:id="1320575176">
              <w:marLeft w:val="0"/>
              <w:marRight w:val="0"/>
              <w:marTop w:val="0"/>
              <w:marBottom w:val="0"/>
              <w:divBdr>
                <w:top w:val="none" w:sz="0" w:space="0" w:color="auto"/>
                <w:left w:val="none" w:sz="0" w:space="0" w:color="auto"/>
                <w:bottom w:val="none" w:sz="0" w:space="0" w:color="auto"/>
                <w:right w:val="none" w:sz="0" w:space="0" w:color="auto"/>
              </w:divBdr>
            </w:div>
          </w:divsChild>
        </w:div>
        <w:div w:id="1972779668">
          <w:marLeft w:val="0"/>
          <w:marRight w:val="0"/>
          <w:marTop w:val="0"/>
          <w:marBottom w:val="0"/>
          <w:divBdr>
            <w:top w:val="none" w:sz="0" w:space="0" w:color="auto"/>
            <w:left w:val="none" w:sz="0" w:space="0" w:color="auto"/>
            <w:bottom w:val="none" w:sz="0" w:space="0" w:color="auto"/>
            <w:right w:val="none" w:sz="0" w:space="0" w:color="auto"/>
          </w:divBdr>
          <w:divsChild>
            <w:div w:id="191303524">
              <w:marLeft w:val="0"/>
              <w:marRight w:val="0"/>
              <w:marTop w:val="0"/>
              <w:marBottom w:val="0"/>
              <w:divBdr>
                <w:top w:val="none" w:sz="0" w:space="0" w:color="auto"/>
                <w:left w:val="none" w:sz="0" w:space="0" w:color="auto"/>
                <w:bottom w:val="none" w:sz="0" w:space="0" w:color="auto"/>
                <w:right w:val="none" w:sz="0" w:space="0" w:color="auto"/>
              </w:divBdr>
            </w:div>
          </w:divsChild>
        </w:div>
        <w:div w:id="2101871142">
          <w:marLeft w:val="0"/>
          <w:marRight w:val="0"/>
          <w:marTop w:val="0"/>
          <w:marBottom w:val="0"/>
          <w:divBdr>
            <w:top w:val="none" w:sz="0" w:space="0" w:color="auto"/>
            <w:left w:val="none" w:sz="0" w:space="0" w:color="auto"/>
            <w:bottom w:val="none" w:sz="0" w:space="0" w:color="auto"/>
            <w:right w:val="none" w:sz="0" w:space="0" w:color="auto"/>
          </w:divBdr>
          <w:divsChild>
            <w:div w:id="236061923">
              <w:marLeft w:val="0"/>
              <w:marRight w:val="0"/>
              <w:marTop w:val="0"/>
              <w:marBottom w:val="0"/>
              <w:divBdr>
                <w:top w:val="none" w:sz="0" w:space="0" w:color="auto"/>
                <w:left w:val="none" w:sz="0" w:space="0" w:color="auto"/>
                <w:bottom w:val="none" w:sz="0" w:space="0" w:color="auto"/>
                <w:right w:val="none" w:sz="0" w:space="0" w:color="auto"/>
              </w:divBdr>
            </w:div>
          </w:divsChild>
        </w:div>
        <w:div w:id="2107000799">
          <w:marLeft w:val="0"/>
          <w:marRight w:val="0"/>
          <w:marTop w:val="0"/>
          <w:marBottom w:val="0"/>
          <w:divBdr>
            <w:top w:val="none" w:sz="0" w:space="0" w:color="auto"/>
            <w:left w:val="none" w:sz="0" w:space="0" w:color="auto"/>
            <w:bottom w:val="none" w:sz="0" w:space="0" w:color="auto"/>
            <w:right w:val="none" w:sz="0" w:space="0" w:color="auto"/>
          </w:divBdr>
          <w:divsChild>
            <w:div w:id="679746879">
              <w:marLeft w:val="0"/>
              <w:marRight w:val="0"/>
              <w:marTop w:val="0"/>
              <w:marBottom w:val="0"/>
              <w:divBdr>
                <w:top w:val="none" w:sz="0" w:space="0" w:color="auto"/>
                <w:left w:val="none" w:sz="0" w:space="0" w:color="auto"/>
                <w:bottom w:val="none" w:sz="0" w:space="0" w:color="auto"/>
                <w:right w:val="none" w:sz="0" w:space="0" w:color="auto"/>
              </w:divBdr>
            </w:div>
          </w:divsChild>
        </w:div>
        <w:div w:id="2109963863">
          <w:marLeft w:val="0"/>
          <w:marRight w:val="0"/>
          <w:marTop w:val="0"/>
          <w:marBottom w:val="0"/>
          <w:divBdr>
            <w:top w:val="none" w:sz="0" w:space="0" w:color="auto"/>
            <w:left w:val="none" w:sz="0" w:space="0" w:color="auto"/>
            <w:bottom w:val="none" w:sz="0" w:space="0" w:color="auto"/>
            <w:right w:val="none" w:sz="0" w:space="0" w:color="auto"/>
          </w:divBdr>
          <w:divsChild>
            <w:div w:id="106784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951094">
      <w:bodyDiv w:val="1"/>
      <w:marLeft w:val="0"/>
      <w:marRight w:val="0"/>
      <w:marTop w:val="0"/>
      <w:marBottom w:val="0"/>
      <w:divBdr>
        <w:top w:val="none" w:sz="0" w:space="0" w:color="auto"/>
        <w:left w:val="none" w:sz="0" w:space="0" w:color="auto"/>
        <w:bottom w:val="none" w:sz="0" w:space="0" w:color="auto"/>
        <w:right w:val="none" w:sz="0" w:space="0" w:color="auto"/>
      </w:divBdr>
    </w:div>
    <w:div w:id="974942783">
      <w:bodyDiv w:val="1"/>
      <w:marLeft w:val="0"/>
      <w:marRight w:val="0"/>
      <w:marTop w:val="0"/>
      <w:marBottom w:val="0"/>
      <w:divBdr>
        <w:top w:val="none" w:sz="0" w:space="0" w:color="auto"/>
        <w:left w:val="none" w:sz="0" w:space="0" w:color="auto"/>
        <w:bottom w:val="none" w:sz="0" w:space="0" w:color="auto"/>
        <w:right w:val="none" w:sz="0" w:space="0" w:color="auto"/>
      </w:divBdr>
    </w:div>
    <w:div w:id="988242007">
      <w:bodyDiv w:val="1"/>
      <w:marLeft w:val="0"/>
      <w:marRight w:val="0"/>
      <w:marTop w:val="0"/>
      <w:marBottom w:val="0"/>
      <w:divBdr>
        <w:top w:val="none" w:sz="0" w:space="0" w:color="auto"/>
        <w:left w:val="none" w:sz="0" w:space="0" w:color="auto"/>
        <w:bottom w:val="none" w:sz="0" w:space="0" w:color="auto"/>
        <w:right w:val="none" w:sz="0" w:space="0" w:color="auto"/>
      </w:divBdr>
    </w:div>
    <w:div w:id="996028937">
      <w:bodyDiv w:val="1"/>
      <w:marLeft w:val="0"/>
      <w:marRight w:val="0"/>
      <w:marTop w:val="0"/>
      <w:marBottom w:val="0"/>
      <w:divBdr>
        <w:top w:val="none" w:sz="0" w:space="0" w:color="auto"/>
        <w:left w:val="none" w:sz="0" w:space="0" w:color="auto"/>
        <w:bottom w:val="none" w:sz="0" w:space="0" w:color="auto"/>
        <w:right w:val="none" w:sz="0" w:space="0" w:color="auto"/>
      </w:divBdr>
      <w:divsChild>
        <w:div w:id="1613436350">
          <w:marLeft w:val="0"/>
          <w:marRight w:val="0"/>
          <w:marTop w:val="0"/>
          <w:marBottom w:val="0"/>
          <w:divBdr>
            <w:top w:val="none" w:sz="0" w:space="0" w:color="auto"/>
            <w:left w:val="none" w:sz="0" w:space="0" w:color="auto"/>
            <w:bottom w:val="none" w:sz="0" w:space="0" w:color="auto"/>
            <w:right w:val="none" w:sz="0" w:space="0" w:color="auto"/>
          </w:divBdr>
          <w:divsChild>
            <w:div w:id="1977055717">
              <w:marLeft w:val="0"/>
              <w:marRight w:val="0"/>
              <w:marTop w:val="0"/>
              <w:marBottom w:val="0"/>
              <w:divBdr>
                <w:top w:val="none" w:sz="0" w:space="0" w:color="auto"/>
                <w:left w:val="single" w:sz="36" w:space="0" w:color="FFFFFF"/>
                <w:bottom w:val="none" w:sz="0" w:space="0" w:color="auto"/>
                <w:right w:val="single" w:sz="36" w:space="0" w:color="FFFFFF"/>
              </w:divBdr>
              <w:divsChild>
                <w:div w:id="808286209">
                  <w:marLeft w:val="0"/>
                  <w:marRight w:val="0"/>
                  <w:marTop w:val="0"/>
                  <w:marBottom w:val="0"/>
                  <w:divBdr>
                    <w:top w:val="none" w:sz="0" w:space="0" w:color="auto"/>
                    <w:left w:val="none" w:sz="0" w:space="0" w:color="auto"/>
                    <w:bottom w:val="none" w:sz="0" w:space="0" w:color="auto"/>
                    <w:right w:val="none" w:sz="0" w:space="0" w:color="auto"/>
                  </w:divBdr>
                  <w:divsChild>
                    <w:div w:id="1633555569">
                      <w:marLeft w:val="0"/>
                      <w:marRight w:val="0"/>
                      <w:marTop w:val="0"/>
                      <w:marBottom w:val="0"/>
                      <w:divBdr>
                        <w:top w:val="none" w:sz="0" w:space="0" w:color="auto"/>
                        <w:left w:val="none" w:sz="0" w:space="0" w:color="auto"/>
                        <w:bottom w:val="none" w:sz="0" w:space="0" w:color="auto"/>
                        <w:right w:val="none" w:sz="0" w:space="0" w:color="auto"/>
                      </w:divBdr>
                      <w:divsChild>
                        <w:div w:id="840968721">
                          <w:marLeft w:val="0"/>
                          <w:marRight w:val="0"/>
                          <w:marTop w:val="150"/>
                          <w:marBottom w:val="150"/>
                          <w:divBdr>
                            <w:top w:val="single" w:sz="6" w:space="8" w:color="4498E7"/>
                            <w:left w:val="single" w:sz="6" w:space="8" w:color="4498E7"/>
                            <w:bottom w:val="single" w:sz="6" w:space="8" w:color="2C78BE"/>
                            <w:right w:val="single" w:sz="6" w:space="8" w:color="2C78BE"/>
                          </w:divBdr>
                          <w:divsChild>
                            <w:div w:id="773478000">
                              <w:marLeft w:val="0"/>
                              <w:marRight w:val="0"/>
                              <w:marTop w:val="0"/>
                              <w:marBottom w:val="0"/>
                              <w:divBdr>
                                <w:top w:val="none" w:sz="0" w:space="0" w:color="auto"/>
                                <w:left w:val="none" w:sz="0" w:space="0" w:color="auto"/>
                                <w:bottom w:val="none" w:sz="0" w:space="0" w:color="auto"/>
                                <w:right w:val="none" w:sz="0" w:space="0" w:color="auto"/>
                              </w:divBdr>
                              <w:divsChild>
                                <w:div w:id="894582806">
                                  <w:marLeft w:val="0"/>
                                  <w:marRight w:val="0"/>
                                  <w:marTop w:val="0"/>
                                  <w:marBottom w:val="0"/>
                                  <w:divBdr>
                                    <w:top w:val="none" w:sz="0" w:space="0" w:color="auto"/>
                                    <w:left w:val="none" w:sz="0" w:space="0" w:color="auto"/>
                                    <w:bottom w:val="none" w:sz="0" w:space="0" w:color="auto"/>
                                    <w:right w:val="none" w:sz="0" w:space="0" w:color="auto"/>
                                  </w:divBdr>
                                  <w:divsChild>
                                    <w:div w:id="153499216">
                                      <w:marLeft w:val="0"/>
                                      <w:marRight w:val="0"/>
                                      <w:marTop w:val="0"/>
                                      <w:marBottom w:val="0"/>
                                      <w:divBdr>
                                        <w:top w:val="none" w:sz="0" w:space="0" w:color="auto"/>
                                        <w:left w:val="none" w:sz="0" w:space="0" w:color="auto"/>
                                        <w:bottom w:val="single" w:sz="6" w:space="0" w:color="9AA7B9"/>
                                        <w:right w:val="none" w:sz="0" w:space="0" w:color="auto"/>
                                      </w:divBdr>
                                      <w:divsChild>
                                        <w:div w:id="102093402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8894240">
      <w:bodyDiv w:val="1"/>
      <w:marLeft w:val="0"/>
      <w:marRight w:val="0"/>
      <w:marTop w:val="0"/>
      <w:marBottom w:val="0"/>
      <w:divBdr>
        <w:top w:val="none" w:sz="0" w:space="0" w:color="auto"/>
        <w:left w:val="none" w:sz="0" w:space="0" w:color="auto"/>
        <w:bottom w:val="none" w:sz="0" w:space="0" w:color="auto"/>
        <w:right w:val="none" w:sz="0" w:space="0" w:color="auto"/>
      </w:divBdr>
      <w:divsChild>
        <w:div w:id="1002319153">
          <w:marLeft w:val="0"/>
          <w:marRight w:val="0"/>
          <w:marTop w:val="0"/>
          <w:marBottom w:val="0"/>
          <w:divBdr>
            <w:top w:val="none" w:sz="0" w:space="0" w:color="auto"/>
            <w:left w:val="none" w:sz="0" w:space="0" w:color="auto"/>
            <w:bottom w:val="none" w:sz="0" w:space="0" w:color="auto"/>
            <w:right w:val="none" w:sz="0" w:space="0" w:color="auto"/>
          </w:divBdr>
        </w:div>
        <w:div w:id="1132865037">
          <w:marLeft w:val="0"/>
          <w:marRight w:val="0"/>
          <w:marTop w:val="0"/>
          <w:marBottom w:val="0"/>
          <w:divBdr>
            <w:top w:val="none" w:sz="0" w:space="0" w:color="auto"/>
            <w:left w:val="none" w:sz="0" w:space="0" w:color="auto"/>
            <w:bottom w:val="none" w:sz="0" w:space="0" w:color="auto"/>
            <w:right w:val="none" w:sz="0" w:space="0" w:color="auto"/>
          </w:divBdr>
        </w:div>
        <w:div w:id="1398937209">
          <w:marLeft w:val="0"/>
          <w:marRight w:val="0"/>
          <w:marTop w:val="0"/>
          <w:marBottom w:val="0"/>
          <w:divBdr>
            <w:top w:val="none" w:sz="0" w:space="0" w:color="auto"/>
            <w:left w:val="none" w:sz="0" w:space="0" w:color="auto"/>
            <w:bottom w:val="none" w:sz="0" w:space="0" w:color="auto"/>
            <w:right w:val="none" w:sz="0" w:space="0" w:color="auto"/>
          </w:divBdr>
        </w:div>
      </w:divsChild>
    </w:div>
    <w:div w:id="1024406358">
      <w:bodyDiv w:val="1"/>
      <w:marLeft w:val="0"/>
      <w:marRight w:val="0"/>
      <w:marTop w:val="0"/>
      <w:marBottom w:val="0"/>
      <w:divBdr>
        <w:top w:val="none" w:sz="0" w:space="0" w:color="auto"/>
        <w:left w:val="none" w:sz="0" w:space="0" w:color="auto"/>
        <w:bottom w:val="none" w:sz="0" w:space="0" w:color="auto"/>
        <w:right w:val="none" w:sz="0" w:space="0" w:color="auto"/>
      </w:divBdr>
      <w:divsChild>
        <w:div w:id="111439998">
          <w:marLeft w:val="0"/>
          <w:marRight w:val="0"/>
          <w:marTop w:val="0"/>
          <w:marBottom w:val="0"/>
          <w:divBdr>
            <w:top w:val="none" w:sz="0" w:space="0" w:color="auto"/>
            <w:left w:val="none" w:sz="0" w:space="0" w:color="auto"/>
            <w:bottom w:val="none" w:sz="0" w:space="0" w:color="auto"/>
            <w:right w:val="none" w:sz="0" w:space="0" w:color="auto"/>
          </w:divBdr>
          <w:divsChild>
            <w:div w:id="921572697">
              <w:marLeft w:val="0"/>
              <w:marRight w:val="0"/>
              <w:marTop w:val="0"/>
              <w:marBottom w:val="0"/>
              <w:divBdr>
                <w:top w:val="none" w:sz="0" w:space="0" w:color="auto"/>
                <w:left w:val="none" w:sz="0" w:space="0" w:color="auto"/>
                <w:bottom w:val="none" w:sz="0" w:space="0" w:color="auto"/>
                <w:right w:val="none" w:sz="0" w:space="0" w:color="auto"/>
              </w:divBdr>
            </w:div>
          </w:divsChild>
        </w:div>
        <w:div w:id="202715213">
          <w:marLeft w:val="0"/>
          <w:marRight w:val="0"/>
          <w:marTop w:val="0"/>
          <w:marBottom w:val="0"/>
          <w:divBdr>
            <w:top w:val="none" w:sz="0" w:space="0" w:color="auto"/>
            <w:left w:val="none" w:sz="0" w:space="0" w:color="auto"/>
            <w:bottom w:val="none" w:sz="0" w:space="0" w:color="auto"/>
            <w:right w:val="none" w:sz="0" w:space="0" w:color="auto"/>
          </w:divBdr>
          <w:divsChild>
            <w:div w:id="1186869779">
              <w:marLeft w:val="0"/>
              <w:marRight w:val="0"/>
              <w:marTop w:val="0"/>
              <w:marBottom w:val="0"/>
              <w:divBdr>
                <w:top w:val="none" w:sz="0" w:space="0" w:color="auto"/>
                <w:left w:val="none" w:sz="0" w:space="0" w:color="auto"/>
                <w:bottom w:val="none" w:sz="0" w:space="0" w:color="auto"/>
                <w:right w:val="none" w:sz="0" w:space="0" w:color="auto"/>
              </w:divBdr>
            </w:div>
          </w:divsChild>
        </w:div>
        <w:div w:id="267660839">
          <w:marLeft w:val="0"/>
          <w:marRight w:val="0"/>
          <w:marTop w:val="0"/>
          <w:marBottom w:val="0"/>
          <w:divBdr>
            <w:top w:val="none" w:sz="0" w:space="0" w:color="auto"/>
            <w:left w:val="none" w:sz="0" w:space="0" w:color="auto"/>
            <w:bottom w:val="none" w:sz="0" w:space="0" w:color="auto"/>
            <w:right w:val="none" w:sz="0" w:space="0" w:color="auto"/>
          </w:divBdr>
          <w:divsChild>
            <w:div w:id="584801851">
              <w:marLeft w:val="0"/>
              <w:marRight w:val="0"/>
              <w:marTop w:val="0"/>
              <w:marBottom w:val="0"/>
              <w:divBdr>
                <w:top w:val="none" w:sz="0" w:space="0" w:color="auto"/>
                <w:left w:val="none" w:sz="0" w:space="0" w:color="auto"/>
                <w:bottom w:val="none" w:sz="0" w:space="0" w:color="auto"/>
                <w:right w:val="none" w:sz="0" w:space="0" w:color="auto"/>
              </w:divBdr>
            </w:div>
          </w:divsChild>
        </w:div>
        <w:div w:id="273483421">
          <w:marLeft w:val="0"/>
          <w:marRight w:val="0"/>
          <w:marTop w:val="0"/>
          <w:marBottom w:val="0"/>
          <w:divBdr>
            <w:top w:val="none" w:sz="0" w:space="0" w:color="auto"/>
            <w:left w:val="none" w:sz="0" w:space="0" w:color="auto"/>
            <w:bottom w:val="none" w:sz="0" w:space="0" w:color="auto"/>
            <w:right w:val="none" w:sz="0" w:space="0" w:color="auto"/>
          </w:divBdr>
          <w:divsChild>
            <w:div w:id="123624461">
              <w:marLeft w:val="0"/>
              <w:marRight w:val="0"/>
              <w:marTop w:val="0"/>
              <w:marBottom w:val="0"/>
              <w:divBdr>
                <w:top w:val="none" w:sz="0" w:space="0" w:color="auto"/>
                <w:left w:val="none" w:sz="0" w:space="0" w:color="auto"/>
                <w:bottom w:val="none" w:sz="0" w:space="0" w:color="auto"/>
                <w:right w:val="none" w:sz="0" w:space="0" w:color="auto"/>
              </w:divBdr>
            </w:div>
          </w:divsChild>
        </w:div>
        <w:div w:id="389889210">
          <w:marLeft w:val="0"/>
          <w:marRight w:val="0"/>
          <w:marTop w:val="0"/>
          <w:marBottom w:val="0"/>
          <w:divBdr>
            <w:top w:val="none" w:sz="0" w:space="0" w:color="auto"/>
            <w:left w:val="none" w:sz="0" w:space="0" w:color="auto"/>
            <w:bottom w:val="none" w:sz="0" w:space="0" w:color="auto"/>
            <w:right w:val="none" w:sz="0" w:space="0" w:color="auto"/>
          </w:divBdr>
          <w:divsChild>
            <w:div w:id="1836142124">
              <w:marLeft w:val="0"/>
              <w:marRight w:val="0"/>
              <w:marTop w:val="0"/>
              <w:marBottom w:val="0"/>
              <w:divBdr>
                <w:top w:val="none" w:sz="0" w:space="0" w:color="auto"/>
                <w:left w:val="none" w:sz="0" w:space="0" w:color="auto"/>
                <w:bottom w:val="none" w:sz="0" w:space="0" w:color="auto"/>
                <w:right w:val="none" w:sz="0" w:space="0" w:color="auto"/>
              </w:divBdr>
            </w:div>
          </w:divsChild>
        </w:div>
        <w:div w:id="643657667">
          <w:marLeft w:val="0"/>
          <w:marRight w:val="0"/>
          <w:marTop w:val="0"/>
          <w:marBottom w:val="0"/>
          <w:divBdr>
            <w:top w:val="none" w:sz="0" w:space="0" w:color="auto"/>
            <w:left w:val="none" w:sz="0" w:space="0" w:color="auto"/>
            <w:bottom w:val="none" w:sz="0" w:space="0" w:color="auto"/>
            <w:right w:val="none" w:sz="0" w:space="0" w:color="auto"/>
          </w:divBdr>
          <w:divsChild>
            <w:div w:id="444428340">
              <w:marLeft w:val="0"/>
              <w:marRight w:val="0"/>
              <w:marTop w:val="0"/>
              <w:marBottom w:val="0"/>
              <w:divBdr>
                <w:top w:val="none" w:sz="0" w:space="0" w:color="auto"/>
                <w:left w:val="none" w:sz="0" w:space="0" w:color="auto"/>
                <w:bottom w:val="none" w:sz="0" w:space="0" w:color="auto"/>
                <w:right w:val="none" w:sz="0" w:space="0" w:color="auto"/>
              </w:divBdr>
            </w:div>
          </w:divsChild>
        </w:div>
        <w:div w:id="944312003">
          <w:marLeft w:val="0"/>
          <w:marRight w:val="0"/>
          <w:marTop w:val="0"/>
          <w:marBottom w:val="0"/>
          <w:divBdr>
            <w:top w:val="none" w:sz="0" w:space="0" w:color="auto"/>
            <w:left w:val="none" w:sz="0" w:space="0" w:color="auto"/>
            <w:bottom w:val="none" w:sz="0" w:space="0" w:color="auto"/>
            <w:right w:val="none" w:sz="0" w:space="0" w:color="auto"/>
          </w:divBdr>
          <w:divsChild>
            <w:div w:id="994453078">
              <w:marLeft w:val="0"/>
              <w:marRight w:val="0"/>
              <w:marTop w:val="0"/>
              <w:marBottom w:val="0"/>
              <w:divBdr>
                <w:top w:val="none" w:sz="0" w:space="0" w:color="auto"/>
                <w:left w:val="none" w:sz="0" w:space="0" w:color="auto"/>
                <w:bottom w:val="none" w:sz="0" w:space="0" w:color="auto"/>
                <w:right w:val="none" w:sz="0" w:space="0" w:color="auto"/>
              </w:divBdr>
            </w:div>
          </w:divsChild>
        </w:div>
        <w:div w:id="1095321997">
          <w:marLeft w:val="0"/>
          <w:marRight w:val="0"/>
          <w:marTop w:val="0"/>
          <w:marBottom w:val="0"/>
          <w:divBdr>
            <w:top w:val="none" w:sz="0" w:space="0" w:color="auto"/>
            <w:left w:val="none" w:sz="0" w:space="0" w:color="auto"/>
            <w:bottom w:val="none" w:sz="0" w:space="0" w:color="auto"/>
            <w:right w:val="none" w:sz="0" w:space="0" w:color="auto"/>
          </w:divBdr>
          <w:divsChild>
            <w:div w:id="1903523049">
              <w:marLeft w:val="0"/>
              <w:marRight w:val="0"/>
              <w:marTop w:val="0"/>
              <w:marBottom w:val="0"/>
              <w:divBdr>
                <w:top w:val="none" w:sz="0" w:space="0" w:color="auto"/>
                <w:left w:val="none" w:sz="0" w:space="0" w:color="auto"/>
                <w:bottom w:val="none" w:sz="0" w:space="0" w:color="auto"/>
                <w:right w:val="none" w:sz="0" w:space="0" w:color="auto"/>
              </w:divBdr>
            </w:div>
          </w:divsChild>
        </w:div>
        <w:div w:id="1147934845">
          <w:marLeft w:val="0"/>
          <w:marRight w:val="0"/>
          <w:marTop w:val="0"/>
          <w:marBottom w:val="0"/>
          <w:divBdr>
            <w:top w:val="none" w:sz="0" w:space="0" w:color="auto"/>
            <w:left w:val="none" w:sz="0" w:space="0" w:color="auto"/>
            <w:bottom w:val="none" w:sz="0" w:space="0" w:color="auto"/>
            <w:right w:val="none" w:sz="0" w:space="0" w:color="auto"/>
          </w:divBdr>
          <w:divsChild>
            <w:div w:id="2015113074">
              <w:marLeft w:val="0"/>
              <w:marRight w:val="0"/>
              <w:marTop w:val="0"/>
              <w:marBottom w:val="0"/>
              <w:divBdr>
                <w:top w:val="none" w:sz="0" w:space="0" w:color="auto"/>
                <w:left w:val="none" w:sz="0" w:space="0" w:color="auto"/>
                <w:bottom w:val="none" w:sz="0" w:space="0" w:color="auto"/>
                <w:right w:val="none" w:sz="0" w:space="0" w:color="auto"/>
              </w:divBdr>
            </w:div>
          </w:divsChild>
        </w:div>
        <w:div w:id="1317874844">
          <w:marLeft w:val="0"/>
          <w:marRight w:val="0"/>
          <w:marTop w:val="0"/>
          <w:marBottom w:val="0"/>
          <w:divBdr>
            <w:top w:val="none" w:sz="0" w:space="0" w:color="auto"/>
            <w:left w:val="none" w:sz="0" w:space="0" w:color="auto"/>
            <w:bottom w:val="none" w:sz="0" w:space="0" w:color="auto"/>
            <w:right w:val="none" w:sz="0" w:space="0" w:color="auto"/>
          </w:divBdr>
          <w:divsChild>
            <w:div w:id="835461057">
              <w:marLeft w:val="0"/>
              <w:marRight w:val="0"/>
              <w:marTop w:val="0"/>
              <w:marBottom w:val="0"/>
              <w:divBdr>
                <w:top w:val="none" w:sz="0" w:space="0" w:color="auto"/>
                <w:left w:val="none" w:sz="0" w:space="0" w:color="auto"/>
                <w:bottom w:val="none" w:sz="0" w:space="0" w:color="auto"/>
                <w:right w:val="none" w:sz="0" w:space="0" w:color="auto"/>
              </w:divBdr>
            </w:div>
          </w:divsChild>
        </w:div>
        <w:div w:id="1375736724">
          <w:marLeft w:val="0"/>
          <w:marRight w:val="0"/>
          <w:marTop w:val="0"/>
          <w:marBottom w:val="0"/>
          <w:divBdr>
            <w:top w:val="none" w:sz="0" w:space="0" w:color="auto"/>
            <w:left w:val="none" w:sz="0" w:space="0" w:color="auto"/>
            <w:bottom w:val="none" w:sz="0" w:space="0" w:color="auto"/>
            <w:right w:val="none" w:sz="0" w:space="0" w:color="auto"/>
          </w:divBdr>
          <w:divsChild>
            <w:div w:id="1273974138">
              <w:marLeft w:val="0"/>
              <w:marRight w:val="0"/>
              <w:marTop w:val="0"/>
              <w:marBottom w:val="0"/>
              <w:divBdr>
                <w:top w:val="none" w:sz="0" w:space="0" w:color="auto"/>
                <w:left w:val="none" w:sz="0" w:space="0" w:color="auto"/>
                <w:bottom w:val="none" w:sz="0" w:space="0" w:color="auto"/>
                <w:right w:val="none" w:sz="0" w:space="0" w:color="auto"/>
              </w:divBdr>
            </w:div>
          </w:divsChild>
        </w:div>
        <w:div w:id="1624655878">
          <w:marLeft w:val="0"/>
          <w:marRight w:val="0"/>
          <w:marTop w:val="0"/>
          <w:marBottom w:val="0"/>
          <w:divBdr>
            <w:top w:val="none" w:sz="0" w:space="0" w:color="auto"/>
            <w:left w:val="none" w:sz="0" w:space="0" w:color="auto"/>
            <w:bottom w:val="none" w:sz="0" w:space="0" w:color="auto"/>
            <w:right w:val="none" w:sz="0" w:space="0" w:color="auto"/>
          </w:divBdr>
          <w:divsChild>
            <w:div w:id="117191940">
              <w:marLeft w:val="0"/>
              <w:marRight w:val="0"/>
              <w:marTop w:val="0"/>
              <w:marBottom w:val="0"/>
              <w:divBdr>
                <w:top w:val="none" w:sz="0" w:space="0" w:color="auto"/>
                <w:left w:val="none" w:sz="0" w:space="0" w:color="auto"/>
                <w:bottom w:val="none" w:sz="0" w:space="0" w:color="auto"/>
                <w:right w:val="none" w:sz="0" w:space="0" w:color="auto"/>
              </w:divBdr>
            </w:div>
          </w:divsChild>
        </w:div>
        <w:div w:id="1776436441">
          <w:marLeft w:val="0"/>
          <w:marRight w:val="0"/>
          <w:marTop w:val="0"/>
          <w:marBottom w:val="0"/>
          <w:divBdr>
            <w:top w:val="none" w:sz="0" w:space="0" w:color="auto"/>
            <w:left w:val="none" w:sz="0" w:space="0" w:color="auto"/>
            <w:bottom w:val="none" w:sz="0" w:space="0" w:color="auto"/>
            <w:right w:val="none" w:sz="0" w:space="0" w:color="auto"/>
          </w:divBdr>
          <w:divsChild>
            <w:div w:id="813522733">
              <w:marLeft w:val="0"/>
              <w:marRight w:val="0"/>
              <w:marTop w:val="0"/>
              <w:marBottom w:val="0"/>
              <w:divBdr>
                <w:top w:val="none" w:sz="0" w:space="0" w:color="auto"/>
                <w:left w:val="none" w:sz="0" w:space="0" w:color="auto"/>
                <w:bottom w:val="none" w:sz="0" w:space="0" w:color="auto"/>
                <w:right w:val="none" w:sz="0" w:space="0" w:color="auto"/>
              </w:divBdr>
            </w:div>
          </w:divsChild>
        </w:div>
        <w:div w:id="2014674832">
          <w:marLeft w:val="0"/>
          <w:marRight w:val="0"/>
          <w:marTop w:val="0"/>
          <w:marBottom w:val="0"/>
          <w:divBdr>
            <w:top w:val="none" w:sz="0" w:space="0" w:color="auto"/>
            <w:left w:val="none" w:sz="0" w:space="0" w:color="auto"/>
            <w:bottom w:val="none" w:sz="0" w:space="0" w:color="auto"/>
            <w:right w:val="none" w:sz="0" w:space="0" w:color="auto"/>
          </w:divBdr>
          <w:divsChild>
            <w:div w:id="2119568037">
              <w:marLeft w:val="0"/>
              <w:marRight w:val="0"/>
              <w:marTop w:val="0"/>
              <w:marBottom w:val="0"/>
              <w:divBdr>
                <w:top w:val="none" w:sz="0" w:space="0" w:color="auto"/>
                <w:left w:val="none" w:sz="0" w:space="0" w:color="auto"/>
                <w:bottom w:val="none" w:sz="0" w:space="0" w:color="auto"/>
                <w:right w:val="none" w:sz="0" w:space="0" w:color="auto"/>
              </w:divBdr>
            </w:div>
          </w:divsChild>
        </w:div>
        <w:div w:id="2060736875">
          <w:marLeft w:val="0"/>
          <w:marRight w:val="0"/>
          <w:marTop w:val="0"/>
          <w:marBottom w:val="0"/>
          <w:divBdr>
            <w:top w:val="none" w:sz="0" w:space="0" w:color="auto"/>
            <w:left w:val="none" w:sz="0" w:space="0" w:color="auto"/>
            <w:bottom w:val="none" w:sz="0" w:space="0" w:color="auto"/>
            <w:right w:val="none" w:sz="0" w:space="0" w:color="auto"/>
          </w:divBdr>
          <w:divsChild>
            <w:div w:id="73139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19090">
      <w:bodyDiv w:val="1"/>
      <w:marLeft w:val="0"/>
      <w:marRight w:val="0"/>
      <w:marTop w:val="0"/>
      <w:marBottom w:val="0"/>
      <w:divBdr>
        <w:top w:val="none" w:sz="0" w:space="0" w:color="auto"/>
        <w:left w:val="none" w:sz="0" w:space="0" w:color="auto"/>
        <w:bottom w:val="none" w:sz="0" w:space="0" w:color="auto"/>
        <w:right w:val="none" w:sz="0" w:space="0" w:color="auto"/>
      </w:divBdr>
      <w:divsChild>
        <w:div w:id="85733612">
          <w:marLeft w:val="0"/>
          <w:marRight w:val="0"/>
          <w:marTop w:val="0"/>
          <w:marBottom w:val="0"/>
          <w:divBdr>
            <w:top w:val="none" w:sz="0" w:space="0" w:color="auto"/>
            <w:left w:val="none" w:sz="0" w:space="0" w:color="auto"/>
            <w:bottom w:val="none" w:sz="0" w:space="0" w:color="auto"/>
            <w:right w:val="none" w:sz="0" w:space="0" w:color="auto"/>
          </w:divBdr>
          <w:divsChild>
            <w:div w:id="865866752">
              <w:marLeft w:val="0"/>
              <w:marRight w:val="0"/>
              <w:marTop w:val="0"/>
              <w:marBottom w:val="0"/>
              <w:divBdr>
                <w:top w:val="none" w:sz="0" w:space="0" w:color="auto"/>
                <w:left w:val="none" w:sz="0" w:space="0" w:color="auto"/>
                <w:bottom w:val="none" w:sz="0" w:space="0" w:color="auto"/>
                <w:right w:val="none" w:sz="0" w:space="0" w:color="auto"/>
              </w:divBdr>
            </w:div>
            <w:div w:id="1192302640">
              <w:marLeft w:val="0"/>
              <w:marRight w:val="0"/>
              <w:marTop w:val="0"/>
              <w:marBottom w:val="0"/>
              <w:divBdr>
                <w:top w:val="none" w:sz="0" w:space="0" w:color="auto"/>
                <w:left w:val="none" w:sz="0" w:space="0" w:color="auto"/>
                <w:bottom w:val="none" w:sz="0" w:space="0" w:color="auto"/>
                <w:right w:val="none" w:sz="0" w:space="0" w:color="auto"/>
              </w:divBdr>
            </w:div>
          </w:divsChild>
        </w:div>
        <w:div w:id="208149060">
          <w:marLeft w:val="0"/>
          <w:marRight w:val="0"/>
          <w:marTop w:val="0"/>
          <w:marBottom w:val="0"/>
          <w:divBdr>
            <w:top w:val="none" w:sz="0" w:space="0" w:color="auto"/>
            <w:left w:val="none" w:sz="0" w:space="0" w:color="auto"/>
            <w:bottom w:val="none" w:sz="0" w:space="0" w:color="auto"/>
            <w:right w:val="none" w:sz="0" w:space="0" w:color="auto"/>
          </w:divBdr>
          <w:divsChild>
            <w:div w:id="1493058628">
              <w:marLeft w:val="0"/>
              <w:marRight w:val="0"/>
              <w:marTop w:val="0"/>
              <w:marBottom w:val="0"/>
              <w:divBdr>
                <w:top w:val="none" w:sz="0" w:space="0" w:color="auto"/>
                <w:left w:val="none" w:sz="0" w:space="0" w:color="auto"/>
                <w:bottom w:val="none" w:sz="0" w:space="0" w:color="auto"/>
                <w:right w:val="none" w:sz="0" w:space="0" w:color="auto"/>
              </w:divBdr>
            </w:div>
          </w:divsChild>
        </w:div>
        <w:div w:id="230239555">
          <w:marLeft w:val="0"/>
          <w:marRight w:val="0"/>
          <w:marTop w:val="0"/>
          <w:marBottom w:val="0"/>
          <w:divBdr>
            <w:top w:val="none" w:sz="0" w:space="0" w:color="auto"/>
            <w:left w:val="none" w:sz="0" w:space="0" w:color="auto"/>
            <w:bottom w:val="none" w:sz="0" w:space="0" w:color="auto"/>
            <w:right w:val="none" w:sz="0" w:space="0" w:color="auto"/>
          </w:divBdr>
          <w:divsChild>
            <w:div w:id="559632610">
              <w:marLeft w:val="0"/>
              <w:marRight w:val="0"/>
              <w:marTop w:val="0"/>
              <w:marBottom w:val="0"/>
              <w:divBdr>
                <w:top w:val="none" w:sz="0" w:space="0" w:color="auto"/>
                <w:left w:val="none" w:sz="0" w:space="0" w:color="auto"/>
                <w:bottom w:val="none" w:sz="0" w:space="0" w:color="auto"/>
                <w:right w:val="none" w:sz="0" w:space="0" w:color="auto"/>
              </w:divBdr>
            </w:div>
          </w:divsChild>
        </w:div>
        <w:div w:id="547035826">
          <w:marLeft w:val="0"/>
          <w:marRight w:val="0"/>
          <w:marTop w:val="0"/>
          <w:marBottom w:val="0"/>
          <w:divBdr>
            <w:top w:val="none" w:sz="0" w:space="0" w:color="auto"/>
            <w:left w:val="none" w:sz="0" w:space="0" w:color="auto"/>
            <w:bottom w:val="none" w:sz="0" w:space="0" w:color="auto"/>
            <w:right w:val="none" w:sz="0" w:space="0" w:color="auto"/>
          </w:divBdr>
          <w:divsChild>
            <w:div w:id="597100048">
              <w:marLeft w:val="0"/>
              <w:marRight w:val="0"/>
              <w:marTop w:val="0"/>
              <w:marBottom w:val="0"/>
              <w:divBdr>
                <w:top w:val="none" w:sz="0" w:space="0" w:color="auto"/>
                <w:left w:val="none" w:sz="0" w:space="0" w:color="auto"/>
                <w:bottom w:val="none" w:sz="0" w:space="0" w:color="auto"/>
                <w:right w:val="none" w:sz="0" w:space="0" w:color="auto"/>
              </w:divBdr>
            </w:div>
          </w:divsChild>
        </w:div>
        <w:div w:id="722489631">
          <w:marLeft w:val="0"/>
          <w:marRight w:val="0"/>
          <w:marTop w:val="0"/>
          <w:marBottom w:val="0"/>
          <w:divBdr>
            <w:top w:val="none" w:sz="0" w:space="0" w:color="auto"/>
            <w:left w:val="none" w:sz="0" w:space="0" w:color="auto"/>
            <w:bottom w:val="none" w:sz="0" w:space="0" w:color="auto"/>
            <w:right w:val="none" w:sz="0" w:space="0" w:color="auto"/>
          </w:divBdr>
          <w:divsChild>
            <w:div w:id="1785031548">
              <w:marLeft w:val="0"/>
              <w:marRight w:val="0"/>
              <w:marTop w:val="0"/>
              <w:marBottom w:val="0"/>
              <w:divBdr>
                <w:top w:val="none" w:sz="0" w:space="0" w:color="auto"/>
                <w:left w:val="none" w:sz="0" w:space="0" w:color="auto"/>
                <w:bottom w:val="none" w:sz="0" w:space="0" w:color="auto"/>
                <w:right w:val="none" w:sz="0" w:space="0" w:color="auto"/>
              </w:divBdr>
            </w:div>
          </w:divsChild>
        </w:div>
        <w:div w:id="1065686412">
          <w:marLeft w:val="0"/>
          <w:marRight w:val="0"/>
          <w:marTop w:val="0"/>
          <w:marBottom w:val="0"/>
          <w:divBdr>
            <w:top w:val="none" w:sz="0" w:space="0" w:color="auto"/>
            <w:left w:val="none" w:sz="0" w:space="0" w:color="auto"/>
            <w:bottom w:val="none" w:sz="0" w:space="0" w:color="auto"/>
            <w:right w:val="none" w:sz="0" w:space="0" w:color="auto"/>
          </w:divBdr>
          <w:divsChild>
            <w:div w:id="986472787">
              <w:marLeft w:val="0"/>
              <w:marRight w:val="0"/>
              <w:marTop w:val="0"/>
              <w:marBottom w:val="0"/>
              <w:divBdr>
                <w:top w:val="none" w:sz="0" w:space="0" w:color="auto"/>
                <w:left w:val="none" w:sz="0" w:space="0" w:color="auto"/>
                <w:bottom w:val="none" w:sz="0" w:space="0" w:color="auto"/>
                <w:right w:val="none" w:sz="0" w:space="0" w:color="auto"/>
              </w:divBdr>
            </w:div>
          </w:divsChild>
        </w:div>
        <w:div w:id="1510947119">
          <w:marLeft w:val="0"/>
          <w:marRight w:val="0"/>
          <w:marTop w:val="0"/>
          <w:marBottom w:val="0"/>
          <w:divBdr>
            <w:top w:val="none" w:sz="0" w:space="0" w:color="auto"/>
            <w:left w:val="none" w:sz="0" w:space="0" w:color="auto"/>
            <w:bottom w:val="none" w:sz="0" w:space="0" w:color="auto"/>
            <w:right w:val="none" w:sz="0" w:space="0" w:color="auto"/>
          </w:divBdr>
          <w:divsChild>
            <w:div w:id="998919556">
              <w:marLeft w:val="0"/>
              <w:marRight w:val="0"/>
              <w:marTop w:val="0"/>
              <w:marBottom w:val="0"/>
              <w:divBdr>
                <w:top w:val="none" w:sz="0" w:space="0" w:color="auto"/>
                <w:left w:val="none" w:sz="0" w:space="0" w:color="auto"/>
                <w:bottom w:val="none" w:sz="0" w:space="0" w:color="auto"/>
                <w:right w:val="none" w:sz="0" w:space="0" w:color="auto"/>
              </w:divBdr>
            </w:div>
          </w:divsChild>
        </w:div>
        <w:div w:id="2053455868">
          <w:marLeft w:val="0"/>
          <w:marRight w:val="0"/>
          <w:marTop w:val="0"/>
          <w:marBottom w:val="0"/>
          <w:divBdr>
            <w:top w:val="none" w:sz="0" w:space="0" w:color="auto"/>
            <w:left w:val="none" w:sz="0" w:space="0" w:color="auto"/>
            <w:bottom w:val="none" w:sz="0" w:space="0" w:color="auto"/>
            <w:right w:val="none" w:sz="0" w:space="0" w:color="auto"/>
          </w:divBdr>
          <w:divsChild>
            <w:div w:id="608515743">
              <w:marLeft w:val="0"/>
              <w:marRight w:val="0"/>
              <w:marTop w:val="0"/>
              <w:marBottom w:val="0"/>
              <w:divBdr>
                <w:top w:val="none" w:sz="0" w:space="0" w:color="auto"/>
                <w:left w:val="none" w:sz="0" w:space="0" w:color="auto"/>
                <w:bottom w:val="none" w:sz="0" w:space="0" w:color="auto"/>
                <w:right w:val="none" w:sz="0" w:space="0" w:color="auto"/>
              </w:divBdr>
            </w:div>
          </w:divsChild>
        </w:div>
        <w:div w:id="2087453624">
          <w:marLeft w:val="0"/>
          <w:marRight w:val="0"/>
          <w:marTop w:val="0"/>
          <w:marBottom w:val="0"/>
          <w:divBdr>
            <w:top w:val="none" w:sz="0" w:space="0" w:color="auto"/>
            <w:left w:val="none" w:sz="0" w:space="0" w:color="auto"/>
            <w:bottom w:val="none" w:sz="0" w:space="0" w:color="auto"/>
            <w:right w:val="none" w:sz="0" w:space="0" w:color="auto"/>
          </w:divBdr>
          <w:divsChild>
            <w:div w:id="1098332027">
              <w:marLeft w:val="0"/>
              <w:marRight w:val="0"/>
              <w:marTop w:val="0"/>
              <w:marBottom w:val="0"/>
              <w:divBdr>
                <w:top w:val="none" w:sz="0" w:space="0" w:color="auto"/>
                <w:left w:val="none" w:sz="0" w:space="0" w:color="auto"/>
                <w:bottom w:val="none" w:sz="0" w:space="0" w:color="auto"/>
                <w:right w:val="none" w:sz="0" w:space="0" w:color="auto"/>
              </w:divBdr>
            </w:div>
            <w:div w:id="212588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571662">
      <w:bodyDiv w:val="1"/>
      <w:marLeft w:val="0"/>
      <w:marRight w:val="0"/>
      <w:marTop w:val="0"/>
      <w:marBottom w:val="0"/>
      <w:divBdr>
        <w:top w:val="none" w:sz="0" w:space="0" w:color="auto"/>
        <w:left w:val="none" w:sz="0" w:space="0" w:color="auto"/>
        <w:bottom w:val="none" w:sz="0" w:space="0" w:color="auto"/>
        <w:right w:val="none" w:sz="0" w:space="0" w:color="auto"/>
      </w:divBdr>
    </w:div>
    <w:div w:id="1050957178">
      <w:bodyDiv w:val="1"/>
      <w:marLeft w:val="0"/>
      <w:marRight w:val="0"/>
      <w:marTop w:val="0"/>
      <w:marBottom w:val="0"/>
      <w:divBdr>
        <w:top w:val="none" w:sz="0" w:space="0" w:color="auto"/>
        <w:left w:val="none" w:sz="0" w:space="0" w:color="auto"/>
        <w:bottom w:val="none" w:sz="0" w:space="0" w:color="auto"/>
        <w:right w:val="none" w:sz="0" w:space="0" w:color="auto"/>
      </w:divBdr>
      <w:divsChild>
        <w:div w:id="59522908">
          <w:marLeft w:val="0"/>
          <w:marRight w:val="0"/>
          <w:marTop w:val="0"/>
          <w:marBottom w:val="0"/>
          <w:divBdr>
            <w:top w:val="none" w:sz="0" w:space="0" w:color="auto"/>
            <w:left w:val="none" w:sz="0" w:space="0" w:color="auto"/>
            <w:bottom w:val="none" w:sz="0" w:space="0" w:color="auto"/>
            <w:right w:val="none" w:sz="0" w:space="0" w:color="auto"/>
          </w:divBdr>
          <w:divsChild>
            <w:div w:id="120921016">
              <w:marLeft w:val="0"/>
              <w:marRight w:val="0"/>
              <w:marTop w:val="0"/>
              <w:marBottom w:val="0"/>
              <w:divBdr>
                <w:top w:val="none" w:sz="0" w:space="0" w:color="auto"/>
                <w:left w:val="none" w:sz="0" w:space="0" w:color="auto"/>
                <w:bottom w:val="none" w:sz="0" w:space="0" w:color="auto"/>
                <w:right w:val="none" w:sz="0" w:space="0" w:color="auto"/>
              </w:divBdr>
            </w:div>
            <w:div w:id="1039355773">
              <w:marLeft w:val="0"/>
              <w:marRight w:val="0"/>
              <w:marTop w:val="0"/>
              <w:marBottom w:val="0"/>
              <w:divBdr>
                <w:top w:val="none" w:sz="0" w:space="0" w:color="auto"/>
                <w:left w:val="none" w:sz="0" w:space="0" w:color="auto"/>
                <w:bottom w:val="none" w:sz="0" w:space="0" w:color="auto"/>
                <w:right w:val="none" w:sz="0" w:space="0" w:color="auto"/>
              </w:divBdr>
            </w:div>
            <w:div w:id="1975332697">
              <w:marLeft w:val="0"/>
              <w:marRight w:val="0"/>
              <w:marTop w:val="0"/>
              <w:marBottom w:val="0"/>
              <w:divBdr>
                <w:top w:val="none" w:sz="0" w:space="0" w:color="auto"/>
                <w:left w:val="none" w:sz="0" w:space="0" w:color="auto"/>
                <w:bottom w:val="none" w:sz="0" w:space="0" w:color="auto"/>
                <w:right w:val="none" w:sz="0" w:space="0" w:color="auto"/>
              </w:divBdr>
            </w:div>
          </w:divsChild>
        </w:div>
        <w:div w:id="232283068">
          <w:marLeft w:val="0"/>
          <w:marRight w:val="0"/>
          <w:marTop w:val="0"/>
          <w:marBottom w:val="0"/>
          <w:divBdr>
            <w:top w:val="none" w:sz="0" w:space="0" w:color="auto"/>
            <w:left w:val="none" w:sz="0" w:space="0" w:color="auto"/>
            <w:bottom w:val="none" w:sz="0" w:space="0" w:color="auto"/>
            <w:right w:val="none" w:sz="0" w:space="0" w:color="auto"/>
          </w:divBdr>
          <w:divsChild>
            <w:div w:id="381490567">
              <w:marLeft w:val="0"/>
              <w:marRight w:val="0"/>
              <w:marTop w:val="0"/>
              <w:marBottom w:val="0"/>
              <w:divBdr>
                <w:top w:val="none" w:sz="0" w:space="0" w:color="auto"/>
                <w:left w:val="none" w:sz="0" w:space="0" w:color="auto"/>
                <w:bottom w:val="none" w:sz="0" w:space="0" w:color="auto"/>
                <w:right w:val="none" w:sz="0" w:space="0" w:color="auto"/>
              </w:divBdr>
            </w:div>
            <w:div w:id="1875920417">
              <w:marLeft w:val="0"/>
              <w:marRight w:val="0"/>
              <w:marTop w:val="0"/>
              <w:marBottom w:val="0"/>
              <w:divBdr>
                <w:top w:val="none" w:sz="0" w:space="0" w:color="auto"/>
                <w:left w:val="none" w:sz="0" w:space="0" w:color="auto"/>
                <w:bottom w:val="none" w:sz="0" w:space="0" w:color="auto"/>
                <w:right w:val="none" w:sz="0" w:space="0" w:color="auto"/>
              </w:divBdr>
            </w:div>
          </w:divsChild>
        </w:div>
        <w:div w:id="442574165">
          <w:marLeft w:val="0"/>
          <w:marRight w:val="0"/>
          <w:marTop w:val="0"/>
          <w:marBottom w:val="0"/>
          <w:divBdr>
            <w:top w:val="none" w:sz="0" w:space="0" w:color="auto"/>
            <w:left w:val="none" w:sz="0" w:space="0" w:color="auto"/>
            <w:bottom w:val="none" w:sz="0" w:space="0" w:color="auto"/>
            <w:right w:val="none" w:sz="0" w:space="0" w:color="auto"/>
          </w:divBdr>
          <w:divsChild>
            <w:div w:id="359596173">
              <w:marLeft w:val="0"/>
              <w:marRight w:val="0"/>
              <w:marTop w:val="0"/>
              <w:marBottom w:val="0"/>
              <w:divBdr>
                <w:top w:val="none" w:sz="0" w:space="0" w:color="auto"/>
                <w:left w:val="none" w:sz="0" w:space="0" w:color="auto"/>
                <w:bottom w:val="none" w:sz="0" w:space="0" w:color="auto"/>
                <w:right w:val="none" w:sz="0" w:space="0" w:color="auto"/>
              </w:divBdr>
            </w:div>
            <w:div w:id="556666518">
              <w:marLeft w:val="0"/>
              <w:marRight w:val="0"/>
              <w:marTop w:val="0"/>
              <w:marBottom w:val="0"/>
              <w:divBdr>
                <w:top w:val="none" w:sz="0" w:space="0" w:color="auto"/>
                <w:left w:val="none" w:sz="0" w:space="0" w:color="auto"/>
                <w:bottom w:val="none" w:sz="0" w:space="0" w:color="auto"/>
                <w:right w:val="none" w:sz="0" w:space="0" w:color="auto"/>
              </w:divBdr>
            </w:div>
            <w:div w:id="904220777">
              <w:marLeft w:val="0"/>
              <w:marRight w:val="0"/>
              <w:marTop w:val="0"/>
              <w:marBottom w:val="0"/>
              <w:divBdr>
                <w:top w:val="none" w:sz="0" w:space="0" w:color="auto"/>
                <w:left w:val="none" w:sz="0" w:space="0" w:color="auto"/>
                <w:bottom w:val="none" w:sz="0" w:space="0" w:color="auto"/>
                <w:right w:val="none" w:sz="0" w:space="0" w:color="auto"/>
              </w:divBdr>
            </w:div>
            <w:div w:id="1491828724">
              <w:marLeft w:val="0"/>
              <w:marRight w:val="0"/>
              <w:marTop w:val="0"/>
              <w:marBottom w:val="0"/>
              <w:divBdr>
                <w:top w:val="none" w:sz="0" w:space="0" w:color="auto"/>
                <w:left w:val="none" w:sz="0" w:space="0" w:color="auto"/>
                <w:bottom w:val="none" w:sz="0" w:space="0" w:color="auto"/>
                <w:right w:val="none" w:sz="0" w:space="0" w:color="auto"/>
              </w:divBdr>
            </w:div>
            <w:div w:id="1641615395">
              <w:marLeft w:val="0"/>
              <w:marRight w:val="0"/>
              <w:marTop w:val="0"/>
              <w:marBottom w:val="0"/>
              <w:divBdr>
                <w:top w:val="none" w:sz="0" w:space="0" w:color="auto"/>
                <w:left w:val="none" w:sz="0" w:space="0" w:color="auto"/>
                <w:bottom w:val="none" w:sz="0" w:space="0" w:color="auto"/>
                <w:right w:val="none" w:sz="0" w:space="0" w:color="auto"/>
              </w:divBdr>
            </w:div>
            <w:div w:id="1702972167">
              <w:marLeft w:val="0"/>
              <w:marRight w:val="0"/>
              <w:marTop w:val="0"/>
              <w:marBottom w:val="0"/>
              <w:divBdr>
                <w:top w:val="none" w:sz="0" w:space="0" w:color="auto"/>
                <w:left w:val="none" w:sz="0" w:space="0" w:color="auto"/>
                <w:bottom w:val="none" w:sz="0" w:space="0" w:color="auto"/>
                <w:right w:val="none" w:sz="0" w:space="0" w:color="auto"/>
              </w:divBdr>
            </w:div>
            <w:div w:id="1768885930">
              <w:marLeft w:val="0"/>
              <w:marRight w:val="0"/>
              <w:marTop w:val="0"/>
              <w:marBottom w:val="0"/>
              <w:divBdr>
                <w:top w:val="none" w:sz="0" w:space="0" w:color="auto"/>
                <w:left w:val="none" w:sz="0" w:space="0" w:color="auto"/>
                <w:bottom w:val="none" w:sz="0" w:space="0" w:color="auto"/>
                <w:right w:val="none" w:sz="0" w:space="0" w:color="auto"/>
              </w:divBdr>
            </w:div>
          </w:divsChild>
        </w:div>
        <w:div w:id="535199220">
          <w:marLeft w:val="0"/>
          <w:marRight w:val="0"/>
          <w:marTop w:val="0"/>
          <w:marBottom w:val="0"/>
          <w:divBdr>
            <w:top w:val="none" w:sz="0" w:space="0" w:color="auto"/>
            <w:left w:val="none" w:sz="0" w:space="0" w:color="auto"/>
            <w:bottom w:val="none" w:sz="0" w:space="0" w:color="auto"/>
            <w:right w:val="none" w:sz="0" w:space="0" w:color="auto"/>
          </w:divBdr>
          <w:divsChild>
            <w:div w:id="1673144130">
              <w:marLeft w:val="0"/>
              <w:marRight w:val="0"/>
              <w:marTop w:val="0"/>
              <w:marBottom w:val="0"/>
              <w:divBdr>
                <w:top w:val="none" w:sz="0" w:space="0" w:color="auto"/>
                <w:left w:val="none" w:sz="0" w:space="0" w:color="auto"/>
                <w:bottom w:val="none" w:sz="0" w:space="0" w:color="auto"/>
                <w:right w:val="none" w:sz="0" w:space="0" w:color="auto"/>
              </w:divBdr>
            </w:div>
          </w:divsChild>
        </w:div>
        <w:div w:id="813371573">
          <w:marLeft w:val="0"/>
          <w:marRight w:val="0"/>
          <w:marTop w:val="0"/>
          <w:marBottom w:val="0"/>
          <w:divBdr>
            <w:top w:val="none" w:sz="0" w:space="0" w:color="auto"/>
            <w:left w:val="none" w:sz="0" w:space="0" w:color="auto"/>
            <w:bottom w:val="none" w:sz="0" w:space="0" w:color="auto"/>
            <w:right w:val="none" w:sz="0" w:space="0" w:color="auto"/>
          </w:divBdr>
          <w:divsChild>
            <w:div w:id="276638799">
              <w:marLeft w:val="0"/>
              <w:marRight w:val="0"/>
              <w:marTop w:val="0"/>
              <w:marBottom w:val="0"/>
              <w:divBdr>
                <w:top w:val="none" w:sz="0" w:space="0" w:color="auto"/>
                <w:left w:val="none" w:sz="0" w:space="0" w:color="auto"/>
                <w:bottom w:val="none" w:sz="0" w:space="0" w:color="auto"/>
                <w:right w:val="none" w:sz="0" w:space="0" w:color="auto"/>
              </w:divBdr>
            </w:div>
            <w:div w:id="819423070">
              <w:marLeft w:val="0"/>
              <w:marRight w:val="0"/>
              <w:marTop w:val="0"/>
              <w:marBottom w:val="0"/>
              <w:divBdr>
                <w:top w:val="none" w:sz="0" w:space="0" w:color="auto"/>
                <w:left w:val="none" w:sz="0" w:space="0" w:color="auto"/>
                <w:bottom w:val="none" w:sz="0" w:space="0" w:color="auto"/>
                <w:right w:val="none" w:sz="0" w:space="0" w:color="auto"/>
              </w:divBdr>
            </w:div>
            <w:div w:id="891775261">
              <w:marLeft w:val="0"/>
              <w:marRight w:val="0"/>
              <w:marTop w:val="0"/>
              <w:marBottom w:val="0"/>
              <w:divBdr>
                <w:top w:val="none" w:sz="0" w:space="0" w:color="auto"/>
                <w:left w:val="none" w:sz="0" w:space="0" w:color="auto"/>
                <w:bottom w:val="none" w:sz="0" w:space="0" w:color="auto"/>
                <w:right w:val="none" w:sz="0" w:space="0" w:color="auto"/>
              </w:divBdr>
            </w:div>
            <w:div w:id="1284188640">
              <w:marLeft w:val="0"/>
              <w:marRight w:val="0"/>
              <w:marTop w:val="0"/>
              <w:marBottom w:val="0"/>
              <w:divBdr>
                <w:top w:val="none" w:sz="0" w:space="0" w:color="auto"/>
                <w:left w:val="none" w:sz="0" w:space="0" w:color="auto"/>
                <w:bottom w:val="none" w:sz="0" w:space="0" w:color="auto"/>
                <w:right w:val="none" w:sz="0" w:space="0" w:color="auto"/>
              </w:divBdr>
            </w:div>
            <w:div w:id="1292903542">
              <w:marLeft w:val="0"/>
              <w:marRight w:val="0"/>
              <w:marTop w:val="0"/>
              <w:marBottom w:val="0"/>
              <w:divBdr>
                <w:top w:val="none" w:sz="0" w:space="0" w:color="auto"/>
                <w:left w:val="none" w:sz="0" w:space="0" w:color="auto"/>
                <w:bottom w:val="none" w:sz="0" w:space="0" w:color="auto"/>
                <w:right w:val="none" w:sz="0" w:space="0" w:color="auto"/>
              </w:divBdr>
            </w:div>
            <w:div w:id="1319724077">
              <w:marLeft w:val="0"/>
              <w:marRight w:val="0"/>
              <w:marTop w:val="0"/>
              <w:marBottom w:val="0"/>
              <w:divBdr>
                <w:top w:val="none" w:sz="0" w:space="0" w:color="auto"/>
                <w:left w:val="none" w:sz="0" w:space="0" w:color="auto"/>
                <w:bottom w:val="none" w:sz="0" w:space="0" w:color="auto"/>
                <w:right w:val="none" w:sz="0" w:space="0" w:color="auto"/>
              </w:divBdr>
            </w:div>
            <w:div w:id="1737431167">
              <w:marLeft w:val="0"/>
              <w:marRight w:val="0"/>
              <w:marTop w:val="0"/>
              <w:marBottom w:val="0"/>
              <w:divBdr>
                <w:top w:val="none" w:sz="0" w:space="0" w:color="auto"/>
                <w:left w:val="none" w:sz="0" w:space="0" w:color="auto"/>
                <w:bottom w:val="none" w:sz="0" w:space="0" w:color="auto"/>
                <w:right w:val="none" w:sz="0" w:space="0" w:color="auto"/>
              </w:divBdr>
            </w:div>
          </w:divsChild>
        </w:div>
        <w:div w:id="865681975">
          <w:marLeft w:val="0"/>
          <w:marRight w:val="0"/>
          <w:marTop w:val="0"/>
          <w:marBottom w:val="0"/>
          <w:divBdr>
            <w:top w:val="none" w:sz="0" w:space="0" w:color="auto"/>
            <w:left w:val="none" w:sz="0" w:space="0" w:color="auto"/>
            <w:bottom w:val="none" w:sz="0" w:space="0" w:color="auto"/>
            <w:right w:val="none" w:sz="0" w:space="0" w:color="auto"/>
          </w:divBdr>
          <w:divsChild>
            <w:div w:id="1784567942">
              <w:marLeft w:val="0"/>
              <w:marRight w:val="0"/>
              <w:marTop w:val="0"/>
              <w:marBottom w:val="0"/>
              <w:divBdr>
                <w:top w:val="none" w:sz="0" w:space="0" w:color="auto"/>
                <w:left w:val="none" w:sz="0" w:space="0" w:color="auto"/>
                <w:bottom w:val="none" w:sz="0" w:space="0" w:color="auto"/>
                <w:right w:val="none" w:sz="0" w:space="0" w:color="auto"/>
              </w:divBdr>
            </w:div>
            <w:div w:id="1821381246">
              <w:marLeft w:val="0"/>
              <w:marRight w:val="0"/>
              <w:marTop w:val="0"/>
              <w:marBottom w:val="0"/>
              <w:divBdr>
                <w:top w:val="none" w:sz="0" w:space="0" w:color="auto"/>
                <w:left w:val="none" w:sz="0" w:space="0" w:color="auto"/>
                <w:bottom w:val="none" w:sz="0" w:space="0" w:color="auto"/>
                <w:right w:val="none" w:sz="0" w:space="0" w:color="auto"/>
              </w:divBdr>
            </w:div>
          </w:divsChild>
        </w:div>
        <w:div w:id="1135608137">
          <w:marLeft w:val="0"/>
          <w:marRight w:val="0"/>
          <w:marTop w:val="0"/>
          <w:marBottom w:val="0"/>
          <w:divBdr>
            <w:top w:val="none" w:sz="0" w:space="0" w:color="auto"/>
            <w:left w:val="none" w:sz="0" w:space="0" w:color="auto"/>
            <w:bottom w:val="none" w:sz="0" w:space="0" w:color="auto"/>
            <w:right w:val="none" w:sz="0" w:space="0" w:color="auto"/>
          </w:divBdr>
          <w:divsChild>
            <w:div w:id="1998417142">
              <w:marLeft w:val="0"/>
              <w:marRight w:val="0"/>
              <w:marTop w:val="0"/>
              <w:marBottom w:val="0"/>
              <w:divBdr>
                <w:top w:val="none" w:sz="0" w:space="0" w:color="auto"/>
                <w:left w:val="none" w:sz="0" w:space="0" w:color="auto"/>
                <w:bottom w:val="none" w:sz="0" w:space="0" w:color="auto"/>
                <w:right w:val="none" w:sz="0" w:space="0" w:color="auto"/>
              </w:divBdr>
            </w:div>
          </w:divsChild>
        </w:div>
        <w:div w:id="1751072490">
          <w:marLeft w:val="0"/>
          <w:marRight w:val="0"/>
          <w:marTop w:val="0"/>
          <w:marBottom w:val="0"/>
          <w:divBdr>
            <w:top w:val="none" w:sz="0" w:space="0" w:color="auto"/>
            <w:left w:val="none" w:sz="0" w:space="0" w:color="auto"/>
            <w:bottom w:val="none" w:sz="0" w:space="0" w:color="auto"/>
            <w:right w:val="none" w:sz="0" w:space="0" w:color="auto"/>
          </w:divBdr>
          <w:divsChild>
            <w:div w:id="1205751860">
              <w:marLeft w:val="0"/>
              <w:marRight w:val="0"/>
              <w:marTop w:val="0"/>
              <w:marBottom w:val="0"/>
              <w:divBdr>
                <w:top w:val="none" w:sz="0" w:space="0" w:color="auto"/>
                <w:left w:val="none" w:sz="0" w:space="0" w:color="auto"/>
                <w:bottom w:val="none" w:sz="0" w:space="0" w:color="auto"/>
                <w:right w:val="none" w:sz="0" w:space="0" w:color="auto"/>
              </w:divBdr>
            </w:div>
          </w:divsChild>
        </w:div>
        <w:div w:id="1755659467">
          <w:marLeft w:val="0"/>
          <w:marRight w:val="0"/>
          <w:marTop w:val="0"/>
          <w:marBottom w:val="0"/>
          <w:divBdr>
            <w:top w:val="none" w:sz="0" w:space="0" w:color="auto"/>
            <w:left w:val="none" w:sz="0" w:space="0" w:color="auto"/>
            <w:bottom w:val="none" w:sz="0" w:space="0" w:color="auto"/>
            <w:right w:val="none" w:sz="0" w:space="0" w:color="auto"/>
          </w:divBdr>
          <w:divsChild>
            <w:div w:id="115560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24398">
      <w:bodyDiv w:val="1"/>
      <w:marLeft w:val="0"/>
      <w:marRight w:val="0"/>
      <w:marTop w:val="0"/>
      <w:marBottom w:val="0"/>
      <w:divBdr>
        <w:top w:val="none" w:sz="0" w:space="0" w:color="auto"/>
        <w:left w:val="none" w:sz="0" w:space="0" w:color="auto"/>
        <w:bottom w:val="none" w:sz="0" w:space="0" w:color="auto"/>
        <w:right w:val="none" w:sz="0" w:space="0" w:color="auto"/>
      </w:divBdr>
      <w:divsChild>
        <w:div w:id="1108157547">
          <w:marLeft w:val="0"/>
          <w:marRight w:val="0"/>
          <w:marTop w:val="0"/>
          <w:marBottom w:val="0"/>
          <w:divBdr>
            <w:top w:val="none" w:sz="0" w:space="0" w:color="auto"/>
            <w:left w:val="none" w:sz="0" w:space="0" w:color="auto"/>
            <w:bottom w:val="none" w:sz="0" w:space="0" w:color="auto"/>
            <w:right w:val="none" w:sz="0" w:space="0" w:color="auto"/>
          </w:divBdr>
        </w:div>
        <w:div w:id="2107068710">
          <w:marLeft w:val="0"/>
          <w:marRight w:val="0"/>
          <w:marTop w:val="0"/>
          <w:marBottom w:val="0"/>
          <w:divBdr>
            <w:top w:val="none" w:sz="0" w:space="0" w:color="auto"/>
            <w:left w:val="none" w:sz="0" w:space="0" w:color="auto"/>
            <w:bottom w:val="none" w:sz="0" w:space="0" w:color="auto"/>
            <w:right w:val="none" w:sz="0" w:space="0" w:color="auto"/>
          </w:divBdr>
          <w:divsChild>
            <w:div w:id="1235436959">
              <w:marLeft w:val="-75"/>
              <w:marRight w:val="0"/>
              <w:marTop w:val="30"/>
              <w:marBottom w:val="30"/>
              <w:divBdr>
                <w:top w:val="none" w:sz="0" w:space="0" w:color="auto"/>
                <w:left w:val="none" w:sz="0" w:space="0" w:color="auto"/>
                <w:bottom w:val="none" w:sz="0" w:space="0" w:color="auto"/>
                <w:right w:val="none" w:sz="0" w:space="0" w:color="auto"/>
              </w:divBdr>
              <w:divsChild>
                <w:div w:id="2126328">
                  <w:marLeft w:val="0"/>
                  <w:marRight w:val="0"/>
                  <w:marTop w:val="0"/>
                  <w:marBottom w:val="0"/>
                  <w:divBdr>
                    <w:top w:val="none" w:sz="0" w:space="0" w:color="auto"/>
                    <w:left w:val="none" w:sz="0" w:space="0" w:color="auto"/>
                    <w:bottom w:val="none" w:sz="0" w:space="0" w:color="auto"/>
                    <w:right w:val="none" w:sz="0" w:space="0" w:color="auto"/>
                  </w:divBdr>
                  <w:divsChild>
                    <w:div w:id="754590829">
                      <w:marLeft w:val="0"/>
                      <w:marRight w:val="0"/>
                      <w:marTop w:val="0"/>
                      <w:marBottom w:val="0"/>
                      <w:divBdr>
                        <w:top w:val="none" w:sz="0" w:space="0" w:color="auto"/>
                        <w:left w:val="none" w:sz="0" w:space="0" w:color="auto"/>
                        <w:bottom w:val="none" w:sz="0" w:space="0" w:color="auto"/>
                        <w:right w:val="none" w:sz="0" w:space="0" w:color="auto"/>
                      </w:divBdr>
                    </w:div>
                  </w:divsChild>
                </w:div>
                <w:div w:id="8795092">
                  <w:marLeft w:val="0"/>
                  <w:marRight w:val="0"/>
                  <w:marTop w:val="0"/>
                  <w:marBottom w:val="0"/>
                  <w:divBdr>
                    <w:top w:val="none" w:sz="0" w:space="0" w:color="auto"/>
                    <w:left w:val="none" w:sz="0" w:space="0" w:color="auto"/>
                    <w:bottom w:val="none" w:sz="0" w:space="0" w:color="auto"/>
                    <w:right w:val="none" w:sz="0" w:space="0" w:color="auto"/>
                  </w:divBdr>
                  <w:divsChild>
                    <w:div w:id="1575895678">
                      <w:marLeft w:val="0"/>
                      <w:marRight w:val="0"/>
                      <w:marTop w:val="0"/>
                      <w:marBottom w:val="0"/>
                      <w:divBdr>
                        <w:top w:val="none" w:sz="0" w:space="0" w:color="auto"/>
                        <w:left w:val="none" w:sz="0" w:space="0" w:color="auto"/>
                        <w:bottom w:val="none" w:sz="0" w:space="0" w:color="auto"/>
                        <w:right w:val="none" w:sz="0" w:space="0" w:color="auto"/>
                      </w:divBdr>
                    </w:div>
                  </w:divsChild>
                </w:div>
                <w:div w:id="49891654">
                  <w:marLeft w:val="0"/>
                  <w:marRight w:val="0"/>
                  <w:marTop w:val="0"/>
                  <w:marBottom w:val="0"/>
                  <w:divBdr>
                    <w:top w:val="none" w:sz="0" w:space="0" w:color="auto"/>
                    <w:left w:val="none" w:sz="0" w:space="0" w:color="auto"/>
                    <w:bottom w:val="none" w:sz="0" w:space="0" w:color="auto"/>
                    <w:right w:val="none" w:sz="0" w:space="0" w:color="auto"/>
                  </w:divBdr>
                  <w:divsChild>
                    <w:div w:id="1210534360">
                      <w:marLeft w:val="0"/>
                      <w:marRight w:val="0"/>
                      <w:marTop w:val="0"/>
                      <w:marBottom w:val="0"/>
                      <w:divBdr>
                        <w:top w:val="none" w:sz="0" w:space="0" w:color="auto"/>
                        <w:left w:val="none" w:sz="0" w:space="0" w:color="auto"/>
                        <w:bottom w:val="none" w:sz="0" w:space="0" w:color="auto"/>
                        <w:right w:val="none" w:sz="0" w:space="0" w:color="auto"/>
                      </w:divBdr>
                    </w:div>
                  </w:divsChild>
                </w:div>
                <w:div w:id="69544937">
                  <w:marLeft w:val="0"/>
                  <w:marRight w:val="0"/>
                  <w:marTop w:val="0"/>
                  <w:marBottom w:val="0"/>
                  <w:divBdr>
                    <w:top w:val="none" w:sz="0" w:space="0" w:color="auto"/>
                    <w:left w:val="none" w:sz="0" w:space="0" w:color="auto"/>
                    <w:bottom w:val="none" w:sz="0" w:space="0" w:color="auto"/>
                    <w:right w:val="none" w:sz="0" w:space="0" w:color="auto"/>
                  </w:divBdr>
                  <w:divsChild>
                    <w:div w:id="1306160706">
                      <w:marLeft w:val="0"/>
                      <w:marRight w:val="0"/>
                      <w:marTop w:val="0"/>
                      <w:marBottom w:val="0"/>
                      <w:divBdr>
                        <w:top w:val="none" w:sz="0" w:space="0" w:color="auto"/>
                        <w:left w:val="none" w:sz="0" w:space="0" w:color="auto"/>
                        <w:bottom w:val="none" w:sz="0" w:space="0" w:color="auto"/>
                        <w:right w:val="none" w:sz="0" w:space="0" w:color="auto"/>
                      </w:divBdr>
                    </w:div>
                  </w:divsChild>
                </w:div>
                <w:div w:id="85620298">
                  <w:marLeft w:val="0"/>
                  <w:marRight w:val="0"/>
                  <w:marTop w:val="0"/>
                  <w:marBottom w:val="0"/>
                  <w:divBdr>
                    <w:top w:val="none" w:sz="0" w:space="0" w:color="auto"/>
                    <w:left w:val="none" w:sz="0" w:space="0" w:color="auto"/>
                    <w:bottom w:val="none" w:sz="0" w:space="0" w:color="auto"/>
                    <w:right w:val="none" w:sz="0" w:space="0" w:color="auto"/>
                  </w:divBdr>
                  <w:divsChild>
                    <w:div w:id="668875877">
                      <w:marLeft w:val="0"/>
                      <w:marRight w:val="0"/>
                      <w:marTop w:val="0"/>
                      <w:marBottom w:val="0"/>
                      <w:divBdr>
                        <w:top w:val="none" w:sz="0" w:space="0" w:color="auto"/>
                        <w:left w:val="none" w:sz="0" w:space="0" w:color="auto"/>
                        <w:bottom w:val="none" w:sz="0" w:space="0" w:color="auto"/>
                        <w:right w:val="none" w:sz="0" w:space="0" w:color="auto"/>
                      </w:divBdr>
                    </w:div>
                  </w:divsChild>
                </w:div>
                <w:div w:id="115370471">
                  <w:marLeft w:val="0"/>
                  <w:marRight w:val="0"/>
                  <w:marTop w:val="0"/>
                  <w:marBottom w:val="0"/>
                  <w:divBdr>
                    <w:top w:val="none" w:sz="0" w:space="0" w:color="auto"/>
                    <w:left w:val="none" w:sz="0" w:space="0" w:color="auto"/>
                    <w:bottom w:val="none" w:sz="0" w:space="0" w:color="auto"/>
                    <w:right w:val="none" w:sz="0" w:space="0" w:color="auto"/>
                  </w:divBdr>
                  <w:divsChild>
                    <w:div w:id="762141976">
                      <w:marLeft w:val="0"/>
                      <w:marRight w:val="0"/>
                      <w:marTop w:val="0"/>
                      <w:marBottom w:val="0"/>
                      <w:divBdr>
                        <w:top w:val="none" w:sz="0" w:space="0" w:color="auto"/>
                        <w:left w:val="none" w:sz="0" w:space="0" w:color="auto"/>
                        <w:bottom w:val="none" w:sz="0" w:space="0" w:color="auto"/>
                        <w:right w:val="none" w:sz="0" w:space="0" w:color="auto"/>
                      </w:divBdr>
                    </w:div>
                  </w:divsChild>
                </w:div>
                <w:div w:id="121392210">
                  <w:marLeft w:val="0"/>
                  <w:marRight w:val="0"/>
                  <w:marTop w:val="0"/>
                  <w:marBottom w:val="0"/>
                  <w:divBdr>
                    <w:top w:val="none" w:sz="0" w:space="0" w:color="auto"/>
                    <w:left w:val="none" w:sz="0" w:space="0" w:color="auto"/>
                    <w:bottom w:val="none" w:sz="0" w:space="0" w:color="auto"/>
                    <w:right w:val="none" w:sz="0" w:space="0" w:color="auto"/>
                  </w:divBdr>
                  <w:divsChild>
                    <w:div w:id="1888031242">
                      <w:marLeft w:val="0"/>
                      <w:marRight w:val="0"/>
                      <w:marTop w:val="0"/>
                      <w:marBottom w:val="0"/>
                      <w:divBdr>
                        <w:top w:val="none" w:sz="0" w:space="0" w:color="auto"/>
                        <w:left w:val="none" w:sz="0" w:space="0" w:color="auto"/>
                        <w:bottom w:val="none" w:sz="0" w:space="0" w:color="auto"/>
                        <w:right w:val="none" w:sz="0" w:space="0" w:color="auto"/>
                      </w:divBdr>
                    </w:div>
                  </w:divsChild>
                </w:div>
                <w:div w:id="122845407">
                  <w:marLeft w:val="0"/>
                  <w:marRight w:val="0"/>
                  <w:marTop w:val="0"/>
                  <w:marBottom w:val="0"/>
                  <w:divBdr>
                    <w:top w:val="none" w:sz="0" w:space="0" w:color="auto"/>
                    <w:left w:val="none" w:sz="0" w:space="0" w:color="auto"/>
                    <w:bottom w:val="none" w:sz="0" w:space="0" w:color="auto"/>
                    <w:right w:val="none" w:sz="0" w:space="0" w:color="auto"/>
                  </w:divBdr>
                  <w:divsChild>
                    <w:div w:id="91510994">
                      <w:marLeft w:val="0"/>
                      <w:marRight w:val="0"/>
                      <w:marTop w:val="0"/>
                      <w:marBottom w:val="0"/>
                      <w:divBdr>
                        <w:top w:val="none" w:sz="0" w:space="0" w:color="auto"/>
                        <w:left w:val="none" w:sz="0" w:space="0" w:color="auto"/>
                        <w:bottom w:val="none" w:sz="0" w:space="0" w:color="auto"/>
                        <w:right w:val="none" w:sz="0" w:space="0" w:color="auto"/>
                      </w:divBdr>
                    </w:div>
                  </w:divsChild>
                </w:div>
                <w:div w:id="131757940">
                  <w:marLeft w:val="0"/>
                  <w:marRight w:val="0"/>
                  <w:marTop w:val="0"/>
                  <w:marBottom w:val="0"/>
                  <w:divBdr>
                    <w:top w:val="none" w:sz="0" w:space="0" w:color="auto"/>
                    <w:left w:val="none" w:sz="0" w:space="0" w:color="auto"/>
                    <w:bottom w:val="none" w:sz="0" w:space="0" w:color="auto"/>
                    <w:right w:val="none" w:sz="0" w:space="0" w:color="auto"/>
                  </w:divBdr>
                  <w:divsChild>
                    <w:div w:id="1877034870">
                      <w:marLeft w:val="0"/>
                      <w:marRight w:val="0"/>
                      <w:marTop w:val="0"/>
                      <w:marBottom w:val="0"/>
                      <w:divBdr>
                        <w:top w:val="none" w:sz="0" w:space="0" w:color="auto"/>
                        <w:left w:val="none" w:sz="0" w:space="0" w:color="auto"/>
                        <w:bottom w:val="none" w:sz="0" w:space="0" w:color="auto"/>
                        <w:right w:val="none" w:sz="0" w:space="0" w:color="auto"/>
                      </w:divBdr>
                    </w:div>
                  </w:divsChild>
                </w:div>
                <w:div w:id="148984236">
                  <w:marLeft w:val="0"/>
                  <w:marRight w:val="0"/>
                  <w:marTop w:val="0"/>
                  <w:marBottom w:val="0"/>
                  <w:divBdr>
                    <w:top w:val="none" w:sz="0" w:space="0" w:color="auto"/>
                    <w:left w:val="none" w:sz="0" w:space="0" w:color="auto"/>
                    <w:bottom w:val="none" w:sz="0" w:space="0" w:color="auto"/>
                    <w:right w:val="none" w:sz="0" w:space="0" w:color="auto"/>
                  </w:divBdr>
                  <w:divsChild>
                    <w:div w:id="1979603084">
                      <w:marLeft w:val="0"/>
                      <w:marRight w:val="0"/>
                      <w:marTop w:val="0"/>
                      <w:marBottom w:val="0"/>
                      <w:divBdr>
                        <w:top w:val="none" w:sz="0" w:space="0" w:color="auto"/>
                        <w:left w:val="none" w:sz="0" w:space="0" w:color="auto"/>
                        <w:bottom w:val="none" w:sz="0" w:space="0" w:color="auto"/>
                        <w:right w:val="none" w:sz="0" w:space="0" w:color="auto"/>
                      </w:divBdr>
                    </w:div>
                  </w:divsChild>
                </w:div>
                <w:div w:id="165900715">
                  <w:marLeft w:val="0"/>
                  <w:marRight w:val="0"/>
                  <w:marTop w:val="0"/>
                  <w:marBottom w:val="0"/>
                  <w:divBdr>
                    <w:top w:val="none" w:sz="0" w:space="0" w:color="auto"/>
                    <w:left w:val="none" w:sz="0" w:space="0" w:color="auto"/>
                    <w:bottom w:val="none" w:sz="0" w:space="0" w:color="auto"/>
                    <w:right w:val="none" w:sz="0" w:space="0" w:color="auto"/>
                  </w:divBdr>
                  <w:divsChild>
                    <w:div w:id="531311232">
                      <w:marLeft w:val="0"/>
                      <w:marRight w:val="0"/>
                      <w:marTop w:val="0"/>
                      <w:marBottom w:val="0"/>
                      <w:divBdr>
                        <w:top w:val="none" w:sz="0" w:space="0" w:color="auto"/>
                        <w:left w:val="none" w:sz="0" w:space="0" w:color="auto"/>
                        <w:bottom w:val="none" w:sz="0" w:space="0" w:color="auto"/>
                        <w:right w:val="none" w:sz="0" w:space="0" w:color="auto"/>
                      </w:divBdr>
                    </w:div>
                  </w:divsChild>
                </w:div>
                <w:div w:id="199828155">
                  <w:marLeft w:val="0"/>
                  <w:marRight w:val="0"/>
                  <w:marTop w:val="0"/>
                  <w:marBottom w:val="0"/>
                  <w:divBdr>
                    <w:top w:val="none" w:sz="0" w:space="0" w:color="auto"/>
                    <w:left w:val="none" w:sz="0" w:space="0" w:color="auto"/>
                    <w:bottom w:val="none" w:sz="0" w:space="0" w:color="auto"/>
                    <w:right w:val="none" w:sz="0" w:space="0" w:color="auto"/>
                  </w:divBdr>
                  <w:divsChild>
                    <w:div w:id="2077121002">
                      <w:marLeft w:val="0"/>
                      <w:marRight w:val="0"/>
                      <w:marTop w:val="0"/>
                      <w:marBottom w:val="0"/>
                      <w:divBdr>
                        <w:top w:val="none" w:sz="0" w:space="0" w:color="auto"/>
                        <w:left w:val="none" w:sz="0" w:space="0" w:color="auto"/>
                        <w:bottom w:val="none" w:sz="0" w:space="0" w:color="auto"/>
                        <w:right w:val="none" w:sz="0" w:space="0" w:color="auto"/>
                      </w:divBdr>
                    </w:div>
                  </w:divsChild>
                </w:div>
                <w:div w:id="199830248">
                  <w:marLeft w:val="0"/>
                  <w:marRight w:val="0"/>
                  <w:marTop w:val="0"/>
                  <w:marBottom w:val="0"/>
                  <w:divBdr>
                    <w:top w:val="none" w:sz="0" w:space="0" w:color="auto"/>
                    <w:left w:val="none" w:sz="0" w:space="0" w:color="auto"/>
                    <w:bottom w:val="none" w:sz="0" w:space="0" w:color="auto"/>
                    <w:right w:val="none" w:sz="0" w:space="0" w:color="auto"/>
                  </w:divBdr>
                  <w:divsChild>
                    <w:div w:id="1311638538">
                      <w:marLeft w:val="0"/>
                      <w:marRight w:val="0"/>
                      <w:marTop w:val="0"/>
                      <w:marBottom w:val="0"/>
                      <w:divBdr>
                        <w:top w:val="none" w:sz="0" w:space="0" w:color="auto"/>
                        <w:left w:val="none" w:sz="0" w:space="0" w:color="auto"/>
                        <w:bottom w:val="none" w:sz="0" w:space="0" w:color="auto"/>
                        <w:right w:val="none" w:sz="0" w:space="0" w:color="auto"/>
                      </w:divBdr>
                    </w:div>
                  </w:divsChild>
                </w:div>
                <w:div w:id="220867756">
                  <w:marLeft w:val="0"/>
                  <w:marRight w:val="0"/>
                  <w:marTop w:val="0"/>
                  <w:marBottom w:val="0"/>
                  <w:divBdr>
                    <w:top w:val="none" w:sz="0" w:space="0" w:color="auto"/>
                    <w:left w:val="none" w:sz="0" w:space="0" w:color="auto"/>
                    <w:bottom w:val="none" w:sz="0" w:space="0" w:color="auto"/>
                    <w:right w:val="none" w:sz="0" w:space="0" w:color="auto"/>
                  </w:divBdr>
                  <w:divsChild>
                    <w:div w:id="510415604">
                      <w:marLeft w:val="0"/>
                      <w:marRight w:val="0"/>
                      <w:marTop w:val="0"/>
                      <w:marBottom w:val="0"/>
                      <w:divBdr>
                        <w:top w:val="none" w:sz="0" w:space="0" w:color="auto"/>
                        <w:left w:val="none" w:sz="0" w:space="0" w:color="auto"/>
                        <w:bottom w:val="none" w:sz="0" w:space="0" w:color="auto"/>
                        <w:right w:val="none" w:sz="0" w:space="0" w:color="auto"/>
                      </w:divBdr>
                    </w:div>
                  </w:divsChild>
                </w:div>
                <w:div w:id="244269223">
                  <w:marLeft w:val="0"/>
                  <w:marRight w:val="0"/>
                  <w:marTop w:val="0"/>
                  <w:marBottom w:val="0"/>
                  <w:divBdr>
                    <w:top w:val="none" w:sz="0" w:space="0" w:color="auto"/>
                    <w:left w:val="none" w:sz="0" w:space="0" w:color="auto"/>
                    <w:bottom w:val="none" w:sz="0" w:space="0" w:color="auto"/>
                    <w:right w:val="none" w:sz="0" w:space="0" w:color="auto"/>
                  </w:divBdr>
                  <w:divsChild>
                    <w:div w:id="2054575761">
                      <w:marLeft w:val="0"/>
                      <w:marRight w:val="0"/>
                      <w:marTop w:val="0"/>
                      <w:marBottom w:val="0"/>
                      <w:divBdr>
                        <w:top w:val="none" w:sz="0" w:space="0" w:color="auto"/>
                        <w:left w:val="none" w:sz="0" w:space="0" w:color="auto"/>
                        <w:bottom w:val="none" w:sz="0" w:space="0" w:color="auto"/>
                        <w:right w:val="none" w:sz="0" w:space="0" w:color="auto"/>
                      </w:divBdr>
                    </w:div>
                  </w:divsChild>
                </w:div>
                <w:div w:id="261382959">
                  <w:marLeft w:val="0"/>
                  <w:marRight w:val="0"/>
                  <w:marTop w:val="0"/>
                  <w:marBottom w:val="0"/>
                  <w:divBdr>
                    <w:top w:val="none" w:sz="0" w:space="0" w:color="auto"/>
                    <w:left w:val="none" w:sz="0" w:space="0" w:color="auto"/>
                    <w:bottom w:val="none" w:sz="0" w:space="0" w:color="auto"/>
                    <w:right w:val="none" w:sz="0" w:space="0" w:color="auto"/>
                  </w:divBdr>
                  <w:divsChild>
                    <w:div w:id="1958876499">
                      <w:marLeft w:val="0"/>
                      <w:marRight w:val="0"/>
                      <w:marTop w:val="0"/>
                      <w:marBottom w:val="0"/>
                      <w:divBdr>
                        <w:top w:val="none" w:sz="0" w:space="0" w:color="auto"/>
                        <w:left w:val="none" w:sz="0" w:space="0" w:color="auto"/>
                        <w:bottom w:val="none" w:sz="0" w:space="0" w:color="auto"/>
                        <w:right w:val="none" w:sz="0" w:space="0" w:color="auto"/>
                      </w:divBdr>
                    </w:div>
                  </w:divsChild>
                </w:div>
                <w:div w:id="263658869">
                  <w:marLeft w:val="0"/>
                  <w:marRight w:val="0"/>
                  <w:marTop w:val="0"/>
                  <w:marBottom w:val="0"/>
                  <w:divBdr>
                    <w:top w:val="none" w:sz="0" w:space="0" w:color="auto"/>
                    <w:left w:val="none" w:sz="0" w:space="0" w:color="auto"/>
                    <w:bottom w:val="none" w:sz="0" w:space="0" w:color="auto"/>
                    <w:right w:val="none" w:sz="0" w:space="0" w:color="auto"/>
                  </w:divBdr>
                  <w:divsChild>
                    <w:div w:id="1126120052">
                      <w:marLeft w:val="0"/>
                      <w:marRight w:val="0"/>
                      <w:marTop w:val="0"/>
                      <w:marBottom w:val="0"/>
                      <w:divBdr>
                        <w:top w:val="none" w:sz="0" w:space="0" w:color="auto"/>
                        <w:left w:val="none" w:sz="0" w:space="0" w:color="auto"/>
                        <w:bottom w:val="none" w:sz="0" w:space="0" w:color="auto"/>
                        <w:right w:val="none" w:sz="0" w:space="0" w:color="auto"/>
                      </w:divBdr>
                    </w:div>
                  </w:divsChild>
                </w:div>
                <w:div w:id="264002365">
                  <w:marLeft w:val="0"/>
                  <w:marRight w:val="0"/>
                  <w:marTop w:val="0"/>
                  <w:marBottom w:val="0"/>
                  <w:divBdr>
                    <w:top w:val="none" w:sz="0" w:space="0" w:color="auto"/>
                    <w:left w:val="none" w:sz="0" w:space="0" w:color="auto"/>
                    <w:bottom w:val="none" w:sz="0" w:space="0" w:color="auto"/>
                    <w:right w:val="none" w:sz="0" w:space="0" w:color="auto"/>
                  </w:divBdr>
                  <w:divsChild>
                    <w:div w:id="2061322516">
                      <w:marLeft w:val="0"/>
                      <w:marRight w:val="0"/>
                      <w:marTop w:val="0"/>
                      <w:marBottom w:val="0"/>
                      <w:divBdr>
                        <w:top w:val="none" w:sz="0" w:space="0" w:color="auto"/>
                        <w:left w:val="none" w:sz="0" w:space="0" w:color="auto"/>
                        <w:bottom w:val="none" w:sz="0" w:space="0" w:color="auto"/>
                        <w:right w:val="none" w:sz="0" w:space="0" w:color="auto"/>
                      </w:divBdr>
                    </w:div>
                  </w:divsChild>
                </w:div>
                <w:div w:id="287931430">
                  <w:marLeft w:val="0"/>
                  <w:marRight w:val="0"/>
                  <w:marTop w:val="0"/>
                  <w:marBottom w:val="0"/>
                  <w:divBdr>
                    <w:top w:val="none" w:sz="0" w:space="0" w:color="auto"/>
                    <w:left w:val="none" w:sz="0" w:space="0" w:color="auto"/>
                    <w:bottom w:val="none" w:sz="0" w:space="0" w:color="auto"/>
                    <w:right w:val="none" w:sz="0" w:space="0" w:color="auto"/>
                  </w:divBdr>
                  <w:divsChild>
                    <w:div w:id="2134131163">
                      <w:marLeft w:val="0"/>
                      <w:marRight w:val="0"/>
                      <w:marTop w:val="0"/>
                      <w:marBottom w:val="0"/>
                      <w:divBdr>
                        <w:top w:val="none" w:sz="0" w:space="0" w:color="auto"/>
                        <w:left w:val="none" w:sz="0" w:space="0" w:color="auto"/>
                        <w:bottom w:val="none" w:sz="0" w:space="0" w:color="auto"/>
                        <w:right w:val="none" w:sz="0" w:space="0" w:color="auto"/>
                      </w:divBdr>
                    </w:div>
                  </w:divsChild>
                </w:div>
                <w:div w:id="294137561">
                  <w:marLeft w:val="0"/>
                  <w:marRight w:val="0"/>
                  <w:marTop w:val="0"/>
                  <w:marBottom w:val="0"/>
                  <w:divBdr>
                    <w:top w:val="none" w:sz="0" w:space="0" w:color="auto"/>
                    <w:left w:val="none" w:sz="0" w:space="0" w:color="auto"/>
                    <w:bottom w:val="none" w:sz="0" w:space="0" w:color="auto"/>
                    <w:right w:val="none" w:sz="0" w:space="0" w:color="auto"/>
                  </w:divBdr>
                  <w:divsChild>
                    <w:div w:id="2114786499">
                      <w:marLeft w:val="0"/>
                      <w:marRight w:val="0"/>
                      <w:marTop w:val="0"/>
                      <w:marBottom w:val="0"/>
                      <w:divBdr>
                        <w:top w:val="none" w:sz="0" w:space="0" w:color="auto"/>
                        <w:left w:val="none" w:sz="0" w:space="0" w:color="auto"/>
                        <w:bottom w:val="none" w:sz="0" w:space="0" w:color="auto"/>
                        <w:right w:val="none" w:sz="0" w:space="0" w:color="auto"/>
                      </w:divBdr>
                    </w:div>
                  </w:divsChild>
                </w:div>
                <w:div w:id="338238562">
                  <w:marLeft w:val="0"/>
                  <w:marRight w:val="0"/>
                  <w:marTop w:val="0"/>
                  <w:marBottom w:val="0"/>
                  <w:divBdr>
                    <w:top w:val="none" w:sz="0" w:space="0" w:color="auto"/>
                    <w:left w:val="none" w:sz="0" w:space="0" w:color="auto"/>
                    <w:bottom w:val="none" w:sz="0" w:space="0" w:color="auto"/>
                    <w:right w:val="none" w:sz="0" w:space="0" w:color="auto"/>
                  </w:divBdr>
                  <w:divsChild>
                    <w:div w:id="270093421">
                      <w:marLeft w:val="0"/>
                      <w:marRight w:val="0"/>
                      <w:marTop w:val="0"/>
                      <w:marBottom w:val="0"/>
                      <w:divBdr>
                        <w:top w:val="none" w:sz="0" w:space="0" w:color="auto"/>
                        <w:left w:val="none" w:sz="0" w:space="0" w:color="auto"/>
                        <w:bottom w:val="none" w:sz="0" w:space="0" w:color="auto"/>
                        <w:right w:val="none" w:sz="0" w:space="0" w:color="auto"/>
                      </w:divBdr>
                    </w:div>
                  </w:divsChild>
                </w:div>
                <w:div w:id="344678339">
                  <w:marLeft w:val="0"/>
                  <w:marRight w:val="0"/>
                  <w:marTop w:val="0"/>
                  <w:marBottom w:val="0"/>
                  <w:divBdr>
                    <w:top w:val="none" w:sz="0" w:space="0" w:color="auto"/>
                    <w:left w:val="none" w:sz="0" w:space="0" w:color="auto"/>
                    <w:bottom w:val="none" w:sz="0" w:space="0" w:color="auto"/>
                    <w:right w:val="none" w:sz="0" w:space="0" w:color="auto"/>
                  </w:divBdr>
                  <w:divsChild>
                    <w:div w:id="674310828">
                      <w:marLeft w:val="0"/>
                      <w:marRight w:val="0"/>
                      <w:marTop w:val="0"/>
                      <w:marBottom w:val="0"/>
                      <w:divBdr>
                        <w:top w:val="none" w:sz="0" w:space="0" w:color="auto"/>
                        <w:left w:val="none" w:sz="0" w:space="0" w:color="auto"/>
                        <w:bottom w:val="none" w:sz="0" w:space="0" w:color="auto"/>
                        <w:right w:val="none" w:sz="0" w:space="0" w:color="auto"/>
                      </w:divBdr>
                    </w:div>
                  </w:divsChild>
                </w:div>
                <w:div w:id="362749541">
                  <w:marLeft w:val="0"/>
                  <w:marRight w:val="0"/>
                  <w:marTop w:val="0"/>
                  <w:marBottom w:val="0"/>
                  <w:divBdr>
                    <w:top w:val="none" w:sz="0" w:space="0" w:color="auto"/>
                    <w:left w:val="none" w:sz="0" w:space="0" w:color="auto"/>
                    <w:bottom w:val="none" w:sz="0" w:space="0" w:color="auto"/>
                    <w:right w:val="none" w:sz="0" w:space="0" w:color="auto"/>
                  </w:divBdr>
                  <w:divsChild>
                    <w:div w:id="908349313">
                      <w:marLeft w:val="0"/>
                      <w:marRight w:val="0"/>
                      <w:marTop w:val="0"/>
                      <w:marBottom w:val="0"/>
                      <w:divBdr>
                        <w:top w:val="none" w:sz="0" w:space="0" w:color="auto"/>
                        <w:left w:val="none" w:sz="0" w:space="0" w:color="auto"/>
                        <w:bottom w:val="none" w:sz="0" w:space="0" w:color="auto"/>
                        <w:right w:val="none" w:sz="0" w:space="0" w:color="auto"/>
                      </w:divBdr>
                    </w:div>
                  </w:divsChild>
                </w:div>
                <w:div w:id="364138273">
                  <w:marLeft w:val="0"/>
                  <w:marRight w:val="0"/>
                  <w:marTop w:val="0"/>
                  <w:marBottom w:val="0"/>
                  <w:divBdr>
                    <w:top w:val="none" w:sz="0" w:space="0" w:color="auto"/>
                    <w:left w:val="none" w:sz="0" w:space="0" w:color="auto"/>
                    <w:bottom w:val="none" w:sz="0" w:space="0" w:color="auto"/>
                    <w:right w:val="none" w:sz="0" w:space="0" w:color="auto"/>
                  </w:divBdr>
                  <w:divsChild>
                    <w:div w:id="293950497">
                      <w:marLeft w:val="0"/>
                      <w:marRight w:val="0"/>
                      <w:marTop w:val="0"/>
                      <w:marBottom w:val="0"/>
                      <w:divBdr>
                        <w:top w:val="none" w:sz="0" w:space="0" w:color="auto"/>
                        <w:left w:val="none" w:sz="0" w:space="0" w:color="auto"/>
                        <w:bottom w:val="none" w:sz="0" w:space="0" w:color="auto"/>
                        <w:right w:val="none" w:sz="0" w:space="0" w:color="auto"/>
                      </w:divBdr>
                    </w:div>
                  </w:divsChild>
                </w:div>
                <w:div w:id="426998822">
                  <w:marLeft w:val="0"/>
                  <w:marRight w:val="0"/>
                  <w:marTop w:val="0"/>
                  <w:marBottom w:val="0"/>
                  <w:divBdr>
                    <w:top w:val="none" w:sz="0" w:space="0" w:color="auto"/>
                    <w:left w:val="none" w:sz="0" w:space="0" w:color="auto"/>
                    <w:bottom w:val="none" w:sz="0" w:space="0" w:color="auto"/>
                    <w:right w:val="none" w:sz="0" w:space="0" w:color="auto"/>
                  </w:divBdr>
                  <w:divsChild>
                    <w:div w:id="440884485">
                      <w:marLeft w:val="0"/>
                      <w:marRight w:val="0"/>
                      <w:marTop w:val="0"/>
                      <w:marBottom w:val="0"/>
                      <w:divBdr>
                        <w:top w:val="none" w:sz="0" w:space="0" w:color="auto"/>
                        <w:left w:val="none" w:sz="0" w:space="0" w:color="auto"/>
                        <w:bottom w:val="none" w:sz="0" w:space="0" w:color="auto"/>
                        <w:right w:val="none" w:sz="0" w:space="0" w:color="auto"/>
                      </w:divBdr>
                    </w:div>
                  </w:divsChild>
                </w:div>
                <w:div w:id="504444957">
                  <w:marLeft w:val="0"/>
                  <w:marRight w:val="0"/>
                  <w:marTop w:val="0"/>
                  <w:marBottom w:val="0"/>
                  <w:divBdr>
                    <w:top w:val="none" w:sz="0" w:space="0" w:color="auto"/>
                    <w:left w:val="none" w:sz="0" w:space="0" w:color="auto"/>
                    <w:bottom w:val="none" w:sz="0" w:space="0" w:color="auto"/>
                    <w:right w:val="none" w:sz="0" w:space="0" w:color="auto"/>
                  </w:divBdr>
                  <w:divsChild>
                    <w:div w:id="215700446">
                      <w:marLeft w:val="0"/>
                      <w:marRight w:val="0"/>
                      <w:marTop w:val="0"/>
                      <w:marBottom w:val="0"/>
                      <w:divBdr>
                        <w:top w:val="none" w:sz="0" w:space="0" w:color="auto"/>
                        <w:left w:val="none" w:sz="0" w:space="0" w:color="auto"/>
                        <w:bottom w:val="none" w:sz="0" w:space="0" w:color="auto"/>
                        <w:right w:val="none" w:sz="0" w:space="0" w:color="auto"/>
                      </w:divBdr>
                    </w:div>
                  </w:divsChild>
                </w:div>
                <w:div w:id="539437295">
                  <w:marLeft w:val="0"/>
                  <w:marRight w:val="0"/>
                  <w:marTop w:val="0"/>
                  <w:marBottom w:val="0"/>
                  <w:divBdr>
                    <w:top w:val="none" w:sz="0" w:space="0" w:color="auto"/>
                    <w:left w:val="none" w:sz="0" w:space="0" w:color="auto"/>
                    <w:bottom w:val="none" w:sz="0" w:space="0" w:color="auto"/>
                    <w:right w:val="none" w:sz="0" w:space="0" w:color="auto"/>
                  </w:divBdr>
                  <w:divsChild>
                    <w:div w:id="1708599653">
                      <w:marLeft w:val="0"/>
                      <w:marRight w:val="0"/>
                      <w:marTop w:val="0"/>
                      <w:marBottom w:val="0"/>
                      <w:divBdr>
                        <w:top w:val="none" w:sz="0" w:space="0" w:color="auto"/>
                        <w:left w:val="none" w:sz="0" w:space="0" w:color="auto"/>
                        <w:bottom w:val="none" w:sz="0" w:space="0" w:color="auto"/>
                        <w:right w:val="none" w:sz="0" w:space="0" w:color="auto"/>
                      </w:divBdr>
                    </w:div>
                  </w:divsChild>
                </w:div>
                <w:div w:id="591860258">
                  <w:marLeft w:val="0"/>
                  <w:marRight w:val="0"/>
                  <w:marTop w:val="0"/>
                  <w:marBottom w:val="0"/>
                  <w:divBdr>
                    <w:top w:val="none" w:sz="0" w:space="0" w:color="auto"/>
                    <w:left w:val="none" w:sz="0" w:space="0" w:color="auto"/>
                    <w:bottom w:val="none" w:sz="0" w:space="0" w:color="auto"/>
                    <w:right w:val="none" w:sz="0" w:space="0" w:color="auto"/>
                  </w:divBdr>
                  <w:divsChild>
                    <w:div w:id="538125932">
                      <w:marLeft w:val="0"/>
                      <w:marRight w:val="0"/>
                      <w:marTop w:val="0"/>
                      <w:marBottom w:val="0"/>
                      <w:divBdr>
                        <w:top w:val="none" w:sz="0" w:space="0" w:color="auto"/>
                        <w:left w:val="none" w:sz="0" w:space="0" w:color="auto"/>
                        <w:bottom w:val="none" w:sz="0" w:space="0" w:color="auto"/>
                        <w:right w:val="none" w:sz="0" w:space="0" w:color="auto"/>
                      </w:divBdr>
                    </w:div>
                  </w:divsChild>
                </w:div>
                <w:div w:id="706174909">
                  <w:marLeft w:val="0"/>
                  <w:marRight w:val="0"/>
                  <w:marTop w:val="0"/>
                  <w:marBottom w:val="0"/>
                  <w:divBdr>
                    <w:top w:val="none" w:sz="0" w:space="0" w:color="auto"/>
                    <w:left w:val="none" w:sz="0" w:space="0" w:color="auto"/>
                    <w:bottom w:val="none" w:sz="0" w:space="0" w:color="auto"/>
                    <w:right w:val="none" w:sz="0" w:space="0" w:color="auto"/>
                  </w:divBdr>
                  <w:divsChild>
                    <w:div w:id="429591741">
                      <w:marLeft w:val="0"/>
                      <w:marRight w:val="0"/>
                      <w:marTop w:val="0"/>
                      <w:marBottom w:val="0"/>
                      <w:divBdr>
                        <w:top w:val="none" w:sz="0" w:space="0" w:color="auto"/>
                        <w:left w:val="none" w:sz="0" w:space="0" w:color="auto"/>
                        <w:bottom w:val="none" w:sz="0" w:space="0" w:color="auto"/>
                        <w:right w:val="none" w:sz="0" w:space="0" w:color="auto"/>
                      </w:divBdr>
                    </w:div>
                  </w:divsChild>
                </w:div>
                <w:div w:id="762532351">
                  <w:marLeft w:val="0"/>
                  <w:marRight w:val="0"/>
                  <w:marTop w:val="0"/>
                  <w:marBottom w:val="0"/>
                  <w:divBdr>
                    <w:top w:val="none" w:sz="0" w:space="0" w:color="auto"/>
                    <w:left w:val="none" w:sz="0" w:space="0" w:color="auto"/>
                    <w:bottom w:val="none" w:sz="0" w:space="0" w:color="auto"/>
                    <w:right w:val="none" w:sz="0" w:space="0" w:color="auto"/>
                  </w:divBdr>
                  <w:divsChild>
                    <w:div w:id="339895501">
                      <w:marLeft w:val="0"/>
                      <w:marRight w:val="0"/>
                      <w:marTop w:val="0"/>
                      <w:marBottom w:val="0"/>
                      <w:divBdr>
                        <w:top w:val="none" w:sz="0" w:space="0" w:color="auto"/>
                        <w:left w:val="none" w:sz="0" w:space="0" w:color="auto"/>
                        <w:bottom w:val="none" w:sz="0" w:space="0" w:color="auto"/>
                        <w:right w:val="none" w:sz="0" w:space="0" w:color="auto"/>
                      </w:divBdr>
                    </w:div>
                  </w:divsChild>
                </w:div>
                <w:div w:id="765077036">
                  <w:marLeft w:val="0"/>
                  <w:marRight w:val="0"/>
                  <w:marTop w:val="0"/>
                  <w:marBottom w:val="0"/>
                  <w:divBdr>
                    <w:top w:val="none" w:sz="0" w:space="0" w:color="auto"/>
                    <w:left w:val="none" w:sz="0" w:space="0" w:color="auto"/>
                    <w:bottom w:val="none" w:sz="0" w:space="0" w:color="auto"/>
                    <w:right w:val="none" w:sz="0" w:space="0" w:color="auto"/>
                  </w:divBdr>
                  <w:divsChild>
                    <w:div w:id="1772505244">
                      <w:marLeft w:val="0"/>
                      <w:marRight w:val="0"/>
                      <w:marTop w:val="0"/>
                      <w:marBottom w:val="0"/>
                      <w:divBdr>
                        <w:top w:val="none" w:sz="0" w:space="0" w:color="auto"/>
                        <w:left w:val="none" w:sz="0" w:space="0" w:color="auto"/>
                        <w:bottom w:val="none" w:sz="0" w:space="0" w:color="auto"/>
                        <w:right w:val="none" w:sz="0" w:space="0" w:color="auto"/>
                      </w:divBdr>
                    </w:div>
                  </w:divsChild>
                </w:div>
                <w:div w:id="788165142">
                  <w:marLeft w:val="0"/>
                  <w:marRight w:val="0"/>
                  <w:marTop w:val="0"/>
                  <w:marBottom w:val="0"/>
                  <w:divBdr>
                    <w:top w:val="none" w:sz="0" w:space="0" w:color="auto"/>
                    <w:left w:val="none" w:sz="0" w:space="0" w:color="auto"/>
                    <w:bottom w:val="none" w:sz="0" w:space="0" w:color="auto"/>
                    <w:right w:val="none" w:sz="0" w:space="0" w:color="auto"/>
                  </w:divBdr>
                  <w:divsChild>
                    <w:div w:id="1868637004">
                      <w:marLeft w:val="0"/>
                      <w:marRight w:val="0"/>
                      <w:marTop w:val="0"/>
                      <w:marBottom w:val="0"/>
                      <w:divBdr>
                        <w:top w:val="none" w:sz="0" w:space="0" w:color="auto"/>
                        <w:left w:val="none" w:sz="0" w:space="0" w:color="auto"/>
                        <w:bottom w:val="none" w:sz="0" w:space="0" w:color="auto"/>
                        <w:right w:val="none" w:sz="0" w:space="0" w:color="auto"/>
                      </w:divBdr>
                    </w:div>
                  </w:divsChild>
                </w:div>
                <w:div w:id="808283563">
                  <w:marLeft w:val="0"/>
                  <w:marRight w:val="0"/>
                  <w:marTop w:val="0"/>
                  <w:marBottom w:val="0"/>
                  <w:divBdr>
                    <w:top w:val="none" w:sz="0" w:space="0" w:color="auto"/>
                    <w:left w:val="none" w:sz="0" w:space="0" w:color="auto"/>
                    <w:bottom w:val="none" w:sz="0" w:space="0" w:color="auto"/>
                    <w:right w:val="none" w:sz="0" w:space="0" w:color="auto"/>
                  </w:divBdr>
                  <w:divsChild>
                    <w:div w:id="1716470723">
                      <w:marLeft w:val="0"/>
                      <w:marRight w:val="0"/>
                      <w:marTop w:val="0"/>
                      <w:marBottom w:val="0"/>
                      <w:divBdr>
                        <w:top w:val="none" w:sz="0" w:space="0" w:color="auto"/>
                        <w:left w:val="none" w:sz="0" w:space="0" w:color="auto"/>
                        <w:bottom w:val="none" w:sz="0" w:space="0" w:color="auto"/>
                        <w:right w:val="none" w:sz="0" w:space="0" w:color="auto"/>
                      </w:divBdr>
                    </w:div>
                  </w:divsChild>
                </w:div>
                <w:div w:id="829709015">
                  <w:marLeft w:val="0"/>
                  <w:marRight w:val="0"/>
                  <w:marTop w:val="0"/>
                  <w:marBottom w:val="0"/>
                  <w:divBdr>
                    <w:top w:val="none" w:sz="0" w:space="0" w:color="auto"/>
                    <w:left w:val="none" w:sz="0" w:space="0" w:color="auto"/>
                    <w:bottom w:val="none" w:sz="0" w:space="0" w:color="auto"/>
                    <w:right w:val="none" w:sz="0" w:space="0" w:color="auto"/>
                  </w:divBdr>
                  <w:divsChild>
                    <w:div w:id="639264960">
                      <w:marLeft w:val="0"/>
                      <w:marRight w:val="0"/>
                      <w:marTop w:val="0"/>
                      <w:marBottom w:val="0"/>
                      <w:divBdr>
                        <w:top w:val="none" w:sz="0" w:space="0" w:color="auto"/>
                        <w:left w:val="none" w:sz="0" w:space="0" w:color="auto"/>
                        <w:bottom w:val="none" w:sz="0" w:space="0" w:color="auto"/>
                        <w:right w:val="none" w:sz="0" w:space="0" w:color="auto"/>
                      </w:divBdr>
                    </w:div>
                  </w:divsChild>
                </w:div>
                <w:div w:id="858927058">
                  <w:marLeft w:val="0"/>
                  <w:marRight w:val="0"/>
                  <w:marTop w:val="0"/>
                  <w:marBottom w:val="0"/>
                  <w:divBdr>
                    <w:top w:val="none" w:sz="0" w:space="0" w:color="auto"/>
                    <w:left w:val="none" w:sz="0" w:space="0" w:color="auto"/>
                    <w:bottom w:val="none" w:sz="0" w:space="0" w:color="auto"/>
                    <w:right w:val="none" w:sz="0" w:space="0" w:color="auto"/>
                  </w:divBdr>
                  <w:divsChild>
                    <w:div w:id="381293587">
                      <w:marLeft w:val="0"/>
                      <w:marRight w:val="0"/>
                      <w:marTop w:val="0"/>
                      <w:marBottom w:val="0"/>
                      <w:divBdr>
                        <w:top w:val="none" w:sz="0" w:space="0" w:color="auto"/>
                        <w:left w:val="none" w:sz="0" w:space="0" w:color="auto"/>
                        <w:bottom w:val="none" w:sz="0" w:space="0" w:color="auto"/>
                        <w:right w:val="none" w:sz="0" w:space="0" w:color="auto"/>
                      </w:divBdr>
                    </w:div>
                  </w:divsChild>
                </w:div>
                <w:div w:id="890385757">
                  <w:marLeft w:val="0"/>
                  <w:marRight w:val="0"/>
                  <w:marTop w:val="0"/>
                  <w:marBottom w:val="0"/>
                  <w:divBdr>
                    <w:top w:val="none" w:sz="0" w:space="0" w:color="auto"/>
                    <w:left w:val="none" w:sz="0" w:space="0" w:color="auto"/>
                    <w:bottom w:val="none" w:sz="0" w:space="0" w:color="auto"/>
                    <w:right w:val="none" w:sz="0" w:space="0" w:color="auto"/>
                  </w:divBdr>
                  <w:divsChild>
                    <w:div w:id="1263101817">
                      <w:marLeft w:val="0"/>
                      <w:marRight w:val="0"/>
                      <w:marTop w:val="0"/>
                      <w:marBottom w:val="0"/>
                      <w:divBdr>
                        <w:top w:val="none" w:sz="0" w:space="0" w:color="auto"/>
                        <w:left w:val="none" w:sz="0" w:space="0" w:color="auto"/>
                        <w:bottom w:val="none" w:sz="0" w:space="0" w:color="auto"/>
                        <w:right w:val="none" w:sz="0" w:space="0" w:color="auto"/>
                      </w:divBdr>
                    </w:div>
                  </w:divsChild>
                </w:div>
                <w:div w:id="892614712">
                  <w:marLeft w:val="0"/>
                  <w:marRight w:val="0"/>
                  <w:marTop w:val="0"/>
                  <w:marBottom w:val="0"/>
                  <w:divBdr>
                    <w:top w:val="none" w:sz="0" w:space="0" w:color="auto"/>
                    <w:left w:val="none" w:sz="0" w:space="0" w:color="auto"/>
                    <w:bottom w:val="none" w:sz="0" w:space="0" w:color="auto"/>
                    <w:right w:val="none" w:sz="0" w:space="0" w:color="auto"/>
                  </w:divBdr>
                  <w:divsChild>
                    <w:div w:id="1339890544">
                      <w:marLeft w:val="0"/>
                      <w:marRight w:val="0"/>
                      <w:marTop w:val="0"/>
                      <w:marBottom w:val="0"/>
                      <w:divBdr>
                        <w:top w:val="none" w:sz="0" w:space="0" w:color="auto"/>
                        <w:left w:val="none" w:sz="0" w:space="0" w:color="auto"/>
                        <w:bottom w:val="none" w:sz="0" w:space="0" w:color="auto"/>
                        <w:right w:val="none" w:sz="0" w:space="0" w:color="auto"/>
                      </w:divBdr>
                    </w:div>
                  </w:divsChild>
                </w:div>
                <w:div w:id="924846924">
                  <w:marLeft w:val="0"/>
                  <w:marRight w:val="0"/>
                  <w:marTop w:val="0"/>
                  <w:marBottom w:val="0"/>
                  <w:divBdr>
                    <w:top w:val="none" w:sz="0" w:space="0" w:color="auto"/>
                    <w:left w:val="none" w:sz="0" w:space="0" w:color="auto"/>
                    <w:bottom w:val="none" w:sz="0" w:space="0" w:color="auto"/>
                    <w:right w:val="none" w:sz="0" w:space="0" w:color="auto"/>
                  </w:divBdr>
                  <w:divsChild>
                    <w:div w:id="1375932795">
                      <w:marLeft w:val="0"/>
                      <w:marRight w:val="0"/>
                      <w:marTop w:val="0"/>
                      <w:marBottom w:val="0"/>
                      <w:divBdr>
                        <w:top w:val="none" w:sz="0" w:space="0" w:color="auto"/>
                        <w:left w:val="none" w:sz="0" w:space="0" w:color="auto"/>
                        <w:bottom w:val="none" w:sz="0" w:space="0" w:color="auto"/>
                        <w:right w:val="none" w:sz="0" w:space="0" w:color="auto"/>
                      </w:divBdr>
                    </w:div>
                  </w:divsChild>
                </w:div>
                <w:div w:id="956837164">
                  <w:marLeft w:val="0"/>
                  <w:marRight w:val="0"/>
                  <w:marTop w:val="0"/>
                  <w:marBottom w:val="0"/>
                  <w:divBdr>
                    <w:top w:val="none" w:sz="0" w:space="0" w:color="auto"/>
                    <w:left w:val="none" w:sz="0" w:space="0" w:color="auto"/>
                    <w:bottom w:val="none" w:sz="0" w:space="0" w:color="auto"/>
                    <w:right w:val="none" w:sz="0" w:space="0" w:color="auto"/>
                  </w:divBdr>
                  <w:divsChild>
                    <w:div w:id="447046778">
                      <w:marLeft w:val="0"/>
                      <w:marRight w:val="0"/>
                      <w:marTop w:val="0"/>
                      <w:marBottom w:val="0"/>
                      <w:divBdr>
                        <w:top w:val="none" w:sz="0" w:space="0" w:color="auto"/>
                        <w:left w:val="none" w:sz="0" w:space="0" w:color="auto"/>
                        <w:bottom w:val="none" w:sz="0" w:space="0" w:color="auto"/>
                        <w:right w:val="none" w:sz="0" w:space="0" w:color="auto"/>
                      </w:divBdr>
                    </w:div>
                  </w:divsChild>
                </w:div>
                <w:div w:id="961305267">
                  <w:marLeft w:val="0"/>
                  <w:marRight w:val="0"/>
                  <w:marTop w:val="0"/>
                  <w:marBottom w:val="0"/>
                  <w:divBdr>
                    <w:top w:val="none" w:sz="0" w:space="0" w:color="auto"/>
                    <w:left w:val="none" w:sz="0" w:space="0" w:color="auto"/>
                    <w:bottom w:val="none" w:sz="0" w:space="0" w:color="auto"/>
                    <w:right w:val="none" w:sz="0" w:space="0" w:color="auto"/>
                  </w:divBdr>
                  <w:divsChild>
                    <w:div w:id="1949044979">
                      <w:marLeft w:val="0"/>
                      <w:marRight w:val="0"/>
                      <w:marTop w:val="0"/>
                      <w:marBottom w:val="0"/>
                      <w:divBdr>
                        <w:top w:val="none" w:sz="0" w:space="0" w:color="auto"/>
                        <w:left w:val="none" w:sz="0" w:space="0" w:color="auto"/>
                        <w:bottom w:val="none" w:sz="0" w:space="0" w:color="auto"/>
                        <w:right w:val="none" w:sz="0" w:space="0" w:color="auto"/>
                      </w:divBdr>
                    </w:div>
                  </w:divsChild>
                </w:div>
                <w:div w:id="971716044">
                  <w:marLeft w:val="0"/>
                  <w:marRight w:val="0"/>
                  <w:marTop w:val="0"/>
                  <w:marBottom w:val="0"/>
                  <w:divBdr>
                    <w:top w:val="none" w:sz="0" w:space="0" w:color="auto"/>
                    <w:left w:val="none" w:sz="0" w:space="0" w:color="auto"/>
                    <w:bottom w:val="none" w:sz="0" w:space="0" w:color="auto"/>
                    <w:right w:val="none" w:sz="0" w:space="0" w:color="auto"/>
                  </w:divBdr>
                  <w:divsChild>
                    <w:div w:id="1696231810">
                      <w:marLeft w:val="0"/>
                      <w:marRight w:val="0"/>
                      <w:marTop w:val="0"/>
                      <w:marBottom w:val="0"/>
                      <w:divBdr>
                        <w:top w:val="none" w:sz="0" w:space="0" w:color="auto"/>
                        <w:left w:val="none" w:sz="0" w:space="0" w:color="auto"/>
                        <w:bottom w:val="none" w:sz="0" w:space="0" w:color="auto"/>
                        <w:right w:val="none" w:sz="0" w:space="0" w:color="auto"/>
                      </w:divBdr>
                    </w:div>
                  </w:divsChild>
                </w:div>
                <w:div w:id="988440166">
                  <w:marLeft w:val="0"/>
                  <w:marRight w:val="0"/>
                  <w:marTop w:val="0"/>
                  <w:marBottom w:val="0"/>
                  <w:divBdr>
                    <w:top w:val="none" w:sz="0" w:space="0" w:color="auto"/>
                    <w:left w:val="none" w:sz="0" w:space="0" w:color="auto"/>
                    <w:bottom w:val="none" w:sz="0" w:space="0" w:color="auto"/>
                    <w:right w:val="none" w:sz="0" w:space="0" w:color="auto"/>
                  </w:divBdr>
                  <w:divsChild>
                    <w:div w:id="302079554">
                      <w:marLeft w:val="0"/>
                      <w:marRight w:val="0"/>
                      <w:marTop w:val="0"/>
                      <w:marBottom w:val="0"/>
                      <w:divBdr>
                        <w:top w:val="none" w:sz="0" w:space="0" w:color="auto"/>
                        <w:left w:val="none" w:sz="0" w:space="0" w:color="auto"/>
                        <w:bottom w:val="none" w:sz="0" w:space="0" w:color="auto"/>
                        <w:right w:val="none" w:sz="0" w:space="0" w:color="auto"/>
                      </w:divBdr>
                    </w:div>
                  </w:divsChild>
                </w:div>
                <w:div w:id="990602253">
                  <w:marLeft w:val="0"/>
                  <w:marRight w:val="0"/>
                  <w:marTop w:val="0"/>
                  <w:marBottom w:val="0"/>
                  <w:divBdr>
                    <w:top w:val="none" w:sz="0" w:space="0" w:color="auto"/>
                    <w:left w:val="none" w:sz="0" w:space="0" w:color="auto"/>
                    <w:bottom w:val="none" w:sz="0" w:space="0" w:color="auto"/>
                    <w:right w:val="none" w:sz="0" w:space="0" w:color="auto"/>
                  </w:divBdr>
                  <w:divsChild>
                    <w:div w:id="490760141">
                      <w:marLeft w:val="0"/>
                      <w:marRight w:val="0"/>
                      <w:marTop w:val="0"/>
                      <w:marBottom w:val="0"/>
                      <w:divBdr>
                        <w:top w:val="none" w:sz="0" w:space="0" w:color="auto"/>
                        <w:left w:val="none" w:sz="0" w:space="0" w:color="auto"/>
                        <w:bottom w:val="none" w:sz="0" w:space="0" w:color="auto"/>
                        <w:right w:val="none" w:sz="0" w:space="0" w:color="auto"/>
                      </w:divBdr>
                    </w:div>
                  </w:divsChild>
                </w:div>
                <w:div w:id="1097797489">
                  <w:marLeft w:val="0"/>
                  <w:marRight w:val="0"/>
                  <w:marTop w:val="0"/>
                  <w:marBottom w:val="0"/>
                  <w:divBdr>
                    <w:top w:val="none" w:sz="0" w:space="0" w:color="auto"/>
                    <w:left w:val="none" w:sz="0" w:space="0" w:color="auto"/>
                    <w:bottom w:val="none" w:sz="0" w:space="0" w:color="auto"/>
                    <w:right w:val="none" w:sz="0" w:space="0" w:color="auto"/>
                  </w:divBdr>
                  <w:divsChild>
                    <w:div w:id="279260922">
                      <w:marLeft w:val="0"/>
                      <w:marRight w:val="0"/>
                      <w:marTop w:val="0"/>
                      <w:marBottom w:val="0"/>
                      <w:divBdr>
                        <w:top w:val="none" w:sz="0" w:space="0" w:color="auto"/>
                        <w:left w:val="none" w:sz="0" w:space="0" w:color="auto"/>
                        <w:bottom w:val="none" w:sz="0" w:space="0" w:color="auto"/>
                        <w:right w:val="none" w:sz="0" w:space="0" w:color="auto"/>
                      </w:divBdr>
                    </w:div>
                  </w:divsChild>
                </w:div>
                <w:div w:id="1102645247">
                  <w:marLeft w:val="0"/>
                  <w:marRight w:val="0"/>
                  <w:marTop w:val="0"/>
                  <w:marBottom w:val="0"/>
                  <w:divBdr>
                    <w:top w:val="none" w:sz="0" w:space="0" w:color="auto"/>
                    <w:left w:val="none" w:sz="0" w:space="0" w:color="auto"/>
                    <w:bottom w:val="none" w:sz="0" w:space="0" w:color="auto"/>
                    <w:right w:val="none" w:sz="0" w:space="0" w:color="auto"/>
                  </w:divBdr>
                  <w:divsChild>
                    <w:div w:id="469982570">
                      <w:marLeft w:val="0"/>
                      <w:marRight w:val="0"/>
                      <w:marTop w:val="0"/>
                      <w:marBottom w:val="0"/>
                      <w:divBdr>
                        <w:top w:val="none" w:sz="0" w:space="0" w:color="auto"/>
                        <w:left w:val="none" w:sz="0" w:space="0" w:color="auto"/>
                        <w:bottom w:val="none" w:sz="0" w:space="0" w:color="auto"/>
                        <w:right w:val="none" w:sz="0" w:space="0" w:color="auto"/>
                      </w:divBdr>
                    </w:div>
                  </w:divsChild>
                </w:div>
                <w:div w:id="1108739377">
                  <w:marLeft w:val="0"/>
                  <w:marRight w:val="0"/>
                  <w:marTop w:val="0"/>
                  <w:marBottom w:val="0"/>
                  <w:divBdr>
                    <w:top w:val="none" w:sz="0" w:space="0" w:color="auto"/>
                    <w:left w:val="none" w:sz="0" w:space="0" w:color="auto"/>
                    <w:bottom w:val="none" w:sz="0" w:space="0" w:color="auto"/>
                    <w:right w:val="none" w:sz="0" w:space="0" w:color="auto"/>
                  </w:divBdr>
                  <w:divsChild>
                    <w:div w:id="1098060016">
                      <w:marLeft w:val="0"/>
                      <w:marRight w:val="0"/>
                      <w:marTop w:val="0"/>
                      <w:marBottom w:val="0"/>
                      <w:divBdr>
                        <w:top w:val="none" w:sz="0" w:space="0" w:color="auto"/>
                        <w:left w:val="none" w:sz="0" w:space="0" w:color="auto"/>
                        <w:bottom w:val="none" w:sz="0" w:space="0" w:color="auto"/>
                        <w:right w:val="none" w:sz="0" w:space="0" w:color="auto"/>
                      </w:divBdr>
                    </w:div>
                  </w:divsChild>
                </w:div>
                <w:div w:id="1131943339">
                  <w:marLeft w:val="0"/>
                  <w:marRight w:val="0"/>
                  <w:marTop w:val="0"/>
                  <w:marBottom w:val="0"/>
                  <w:divBdr>
                    <w:top w:val="none" w:sz="0" w:space="0" w:color="auto"/>
                    <w:left w:val="none" w:sz="0" w:space="0" w:color="auto"/>
                    <w:bottom w:val="none" w:sz="0" w:space="0" w:color="auto"/>
                    <w:right w:val="none" w:sz="0" w:space="0" w:color="auto"/>
                  </w:divBdr>
                  <w:divsChild>
                    <w:div w:id="1653369275">
                      <w:marLeft w:val="0"/>
                      <w:marRight w:val="0"/>
                      <w:marTop w:val="0"/>
                      <w:marBottom w:val="0"/>
                      <w:divBdr>
                        <w:top w:val="none" w:sz="0" w:space="0" w:color="auto"/>
                        <w:left w:val="none" w:sz="0" w:space="0" w:color="auto"/>
                        <w:bottom w:val="none" w:sz="0" w:space="0" w:color="auto"/>
                        <w:right w:val="none" w:sz="0" w:space="0" w:color="auto"/>
                      </w:divBdr>
                    </w:div>
                  </w:divsChild>
                </w:div>
                <w:div w:id="1177693957">
                  <w:marLeft w:val="0"/>
                  <w:marRight w:val="0"/>
                  <w:marTop w:val="0"/>
                  <w:marBottom w:val="0"/>
                  <w:divBdr>
                    <w:top w:val="none" w:sz="0" w:space="0" w:color="auto"/>
                    <w:left w:val="none" w:sz="0" w:space="0" w:color="auto"/>
                    <w:bottom w:val="none" w:sz="0" w:space="0" w:color="auto"/>
                    <w:right w:val="none" w:sz="0" w:space="0" w:color="auto"/>
                  </w:divBdr>
                  <w:divsChild>
                    <w:div w:id="1863861908">
                      <w:marLeft w:val="0"/>
                      <w:marRight w:val="0"/>
                      <w:marTop w:val="0"/>
                      <w:marBottom w:val="0"/>
                      <w:divBdr>
                        <w:top w:val="none" w:sz="0" w:space="0" w:color="auto"/>
                        <w:left w:val="none" w:sz="0" w:space="0" w:color="auto"/>
                        <w:bottom w:val="none" w:sz="0" w:space="0" w:color="auto"/>
                        <w:right w:val="none" w:sz="0" w:space="0" w:color="auto"/>
                      </w:divBdr>
                    </w:div>
                  </w:divsChild>
                </w:div>
                <w:div w:id="1184788459">
                  <w:marLeft w:val="0"/>
                  <w:marRight w:val="0"/>
                  <w:marTop w:val="0"/>
                  <w:marBottom w:val="0"/>
                  <w:divBdr>
                    <w:top w:val="none" w:sz="0" w:space="0" w:color="auto"/>
                    <w:left w:val="none" w:sz="0" w:space="0" w:color="auto"/>
                    <w:bottom w:val="none" w:sz="0" w:space="0" w:color="auto"/>
                    <w:right w:val="none" w:sz="0" w:space="0" w:color="auto"/>
                  </w:divBdr>
                  <w:divsChild>
                    <w:div w:id="1368947409">
                      <w:marLeft w:val="0"/>
                      <w:marRight w:val="0"/>
                      <w:marTop w:val="0"/>
                      <w:marBottom w:val="0"/>
                      <w:divBdr>
                        <w:top w:val="none" w:sz="0" w:space="0" w:color="auto"/>
                        <w:left w:val="none" w:sz="0" w:space="0" w:color="auto"/>
                        <w:bottom w:val="none" w:sz="0" w:space="0" w:color="auto"/>
                        <w:right w:val="none" w:sz="0" w:space="0" w:color="auto"/>
                      </w:divBdr>
                    </w:div>
                  </w:divsChild>
                </w:div>
                <w:div w:id="1186479413">
                  <w:marLeft w:val="0"/>
                  <w:marRight w:val="0"/>
                  <w:marTop w:val="0"/>
                  <w:marBottom w:val="0"/>
                  <w:divBdr>
                    <w:top w:val="none" w:sz="0" w:space="0" w:color="auto"/>
                    <w:left w:val="none" w:sz="0" w:space="0" w:color="auto"/>
                    <w:bottom w:val="none" w:sz="0" w:space="0" w:color="auto"/>
                    <w:right w:val="none" w:sz="0" w:space="0" w:color="auto"/>
                  </w:divBdr>
                  <w:divsChild>
                    <w:div w:id="1166819551">
                      <w:marLeft w:val="0"/>
                      <w:marRight w:val="0"/>
                      <w:marTop w:val="0"/>
                      <w:marBottom w:val="0"/>
                      <w:divBdr>
                        <w:top w:val="none" w:sz="0" w:space="0" w:color="auto"/>
                        <w:left w:val="none" w:sz="0" w:space="0" w:color="auto"/>
                        <w:bottom w:val="none" w:sz="0" w:space="0" w:color="auto"/>
                        <w:right w:val="none" w:sz="0" w:space="0" w:color="auto"/>
                      </w:divBdr>
                    </w:div>
                  </w:divsChild>
                </w:div>
                <w:div w:id="1222791268">
                  <w:marLeft w:val="0"/>
                  <w:marRight w:val="0"/>
                  <w:marTop w:val="0"/>
                  <w:marBottom w:val="0"/>
                  <w:divBdr>
                    <w:top w:val="none" w:sz="0" w:space="0" w:color="auto"/>
                    <w:left w:val="none" w:sz="0" w:space="0" w:color="auto"/>
                    <w:bottom w:val="none" w:sz="0" w:space="0" w:color="auto"/>
                    <w:right w:val="none" w:sz="0" w:space="0" w:color="auto"/>
                  </w:divBdr>
                  <w:divsChild>
                    <w:div w:id="2122142597">
                      <w:marLeft w:val="0"/>
                      <w:marRight w:val="0"/>
                      <w:marTop w:val="0"/>
                      <w:marBottom w:val="0"/>
                      <w:divBdr>
                        <w:top w:val="none" w:sz="0" w:space="0" w:color="auto"/>
                        <w:left w:val="none" w:sz="0" w:space="0" w:color="auto"/>
                        <w:bottom w:val="none" w:sz="0" w:space="0" w:color="auto"/>
                        <w:right w:val="none" w:sz="0" w:space="0" w:color="auto"/>
                      </w:divBdr>
                    </w:div>
                  </w:divsChild>
                </w:div>
                <w:div w:id="1298872964">
                  <w:marLeft w:val="0"/>
                  <w:marRight w:val="0"/>
                  <w:marTop w:val="0"/>
                  <w:marBottom w:val="0"/>
                  <w:divBdr>
                    <w:top w:val="none" w:sz="0" w:space="0" w:color="auto"/>
                    <w:left w:val="none" w:sz="0" w:space="0" w:color="auto"/>
                    <w:bottom w:val="none" w:sz="0" w:space="0" w:color="auto"/>
                    <w:right w:val="none" w:sz="0" w:space="0" w:color="auto"/>
                  </w:divBdr>
                  <w:divsChild>
                    <w:div w:id="1523013210">
                      <w:marLeft w:val="0"/>
                      <w:marRight w:val="0"/>
                      <w:marTop w:val="0"/>
                      <w:marBottom w:val="0"/>
                      <w:divBdr>
                        <w:top w:val="none" w:sz="0" w:space="0" w:color="auto"/>
                        <w:left w:val="none" w:sz="0" w:space="0" w:color="auto"/>
                        <w:bottom w:val="none" w:sz="0" w:space="0" w:color="auto"/>
                        <w:right w:val="none" w:sz="0" w:space="0" w:color="auto"/>
                      </w:divBdr>
                    </w:div>
                  </w:divsChild>
                </w:div>
                <w:div w:id="1371615250">
                  <w:marLeft w:val="0"/>
                  <w:marRight w:val="0"/>
                  <w:marTop w:val="0"/>
                  <w:marBottom w:val="0"/>
                  <w:divBdr>
                    <w:top w:val="none" w:sz="0" w:space="0" w:color="auto"/>
                    <w:left w:val="none" w:sz="0" w:space="0" w:color="auto"/>
                    <w:bottom w:val="none" w:sz="0" w:space="0" w:color="auto"/>
                    <w:right w:val="none" w:sz="0" w:space="0" w:color="auto"/>
                  </w:divBdr>
                  <w:divsChild>
                    <w:div w:id="798063123">
                      <w:marLeft w:val="0"/>
                      <w:marRight w:val="0"/>
                      <w:marTop w:val="0"/>
                      <w:marBottom w:val="0"/>
                      <w:divBdr>
                        <w:top w:val="none" w:sz="0" w:space="0" w:color="auto"/>
                        <w:left w:val="none" w:sz="0" w:space="0" w:color="auto"/>
                        <w:bottom w:val="none" w:sz="0" w:space="0" w:color="auto"/>
                        <w:right w:val="none" w:sz="0" w:space="0" w:color="auto"/>
                      </w:divBdr>
                    </w:div>
                  </w:divsChild>
                </w:div>
                <w:div w:id="1444953815">
                  <w:marLeft w:val="0"/>
                  <w:marRight w:val="0"/>
                  <w:marTop w:val="0"/>
                  <w:marBottom w:val="0"/>
                  <w:divBdr>
                    <w:top w:val="none" w:sz="0" w:space="0" w:color="auto"/>
                    <w:left w:val="none" w:sz="0" w:space="0" w:color="auto"/>
                    <w:bottom w:val="none" w:sz="0" w:space="0" w:color="auto"/>
                    <w:right w:val="none" w:sz="0" w:space="0" w:color="auto"/>
                  </w:divBdr>
                  <w:divsChild>
                    <w:div w:id="12615161">
                      <w:marLeft w:val="0"/>
                      <w:marRight w:val="0"/>
                      <w:marTop w:val="0"/>
                      <w:marBottom w:val="0"/>
                      <w:divBdr>
                        <w:top w:val="none" w:sz="0" w:space="0" w:color="auto"/>
                        <w:left w:val="none" w:sz="0" w:space="0" w:color="auto"/>
                        <w:bottom w:val="none" w:sz="0" w:space="0" w:color="auto"/>
                        <w:right w:val="none" w:sz="0" w:space="0" w:color="auto"/>
                      </w:divBdr>
                    </w:div>
                  </w:divsChild>
                </w:div>
                <w:div w:id="1480338756">
                  <w:marLeft w:val="0"/>
                  <w:marRight w:val="0"/>
                  <w:marTop w:val="0"/>
                  <w:marBottom w:val="0"/>
                  <w:divBdr>
                    <w:top w:val="none" w:sz="0" w:space="0" w:color="auto"/>
                    <w:left w:val="none" w:sz="0" w:space="0" w:color="auto"/>
                    <w:bottom w:val="none" w:sz="0" w:space="0" w:color="auto"/>
                    <w:right w:val="none" w:sz="0" w:space="0" w:color="auto"/>
                  </w:divBdr>
                  <w:divsChild>
                    <w:div w:id="1443649214">
                      <w:marLeft w:val="0"/>
                      <w:marRight w:val="0"/>
                      <w:marTop w:val="0"/>
                      <w:marBottom w:val="0"/>
                      <w:divBdr>
                        <w:top w:val="none" w:sz="0" w:space="0" w:color="auto"/>
                        <w:left w:val="none" w:sz="0" w:space="0" w:color="auto"/>
                        <w:bottom w:val="none" w:sz="0" w:space="0" w:color="auto"/>
                        <w:right w:val="none" w:sz="0" w:space="0" w:color="auto"/>
                      </w:divBdr>
                    </w:div>
                  </w:divsChild>
                </w:div>
                <w:div w:id="1483889938">
                  <w:marLeft w:val="0"/>
                  <w:marRight w:val="0"/>
                  <w:marTop w:val="0"/>
                  <w:marBottom w:val="0"/>
                  <w:divBdr>
                    <w:top w:val="none" w:sz="0" w:space="0" w:color="auto"/>
                    <w:left w:val="none" w:sz="0" w:space="0" w:color="auto"/>
                    <w:bottom w:val="none" w:sz="0" w:space="0" w:color="auto"/>
                    <w:right w:val="none" w:sz="0" w:space="0" w:color="auto"/>
                  </w:divBdr>
                  <w:divsChild>
                    <w:div w:id="2042896659">
                      <w:marLeft w:val="0"/>
                      <w:marRight w:val="0"/>
                      <w:marTop w:val="0"/>
                      <w:marBottom w:val="0"/>
                      <w:divBdr>
                        <w:top w:val="none" w:sz="0" w:space="0" w:color="auto"/>
                        <w:left w:val="none" w:sz="0" w:space="0" w:color="auto"/>
                        <w:bottom w:val="none" w:sz="0" w:space="0" w:color="auto"/>
                        <w:right w:val="none" w:sz="0" w:space="0" w:color="auto"/>
                      </w:divBdr>
                    </w:div>
                  </w:divsChild>
                </w:div>
                <w:div w:id="1487239496">
                  <w:marLeft w:val="0"/>
                  <w:marRight w:val="0"/>
                  <w:marTop w:val="0"/>
                  <w:marBottom w:val="0"/>
                  <w:divBdr>
                    <w:top w:val="none" w:sz="0" w:space="0" w:color="auto"/>
                    <w:left w:val="none" w:sz="0" w:space="0" w:color="auto"/>
                    <w:bottom w:val="none" w:sz="0" w:space="0" w:color="auto"/>
                    <w:right w:val="none" w:sz="0" w:space="0" w:color="auto"/>
                  </w:divBdr>
                  <w:divsChild>
                    <w:div w:id="1768768225">
                      <w:marLeft w:val="0"/>
                      <w:marRight w:val="0"/>
                      <w:marTop w:val="0"/>
                      <w:marBottom w:val="0"/>
                      <w:divBdr>
                        <w:top w:val="none" w:sz="0" w:space="0" w:color="auto"/>
                        <w:left w:val="none" w:sz="0" w:space="0" w:color="auto"/>
                        <w:bottom w:val="none" w:sz="0" w:space="0" w:color="auto"/>
                        <w:right w:val="none" w:sz="0" w:space="0" w:color="auto"/>
                      </w:divBdr>
                    </w:div>
                  </w:divsChild>
                </w:div>
                <w:div w:id="1500467551">
                  <w:marLeft w:val="0"/>
                  <w:marRight w:val="0"/>
                  <w:marTop w:val="0"/>
                  <w:marBottom w:val="0"/>
                  <w:divBdr>
                    <w:top w:val="none" w:sz="0" w:space="0" w:color="auto"/>
                    <w:left w:val="none" w:sz="0" w:space="0" w:color="auto"/>
                    <w:bottom w:val="none" w:sz="0" w:space="0" w:color="auto"/>
                    <w:right w:val="none" w:sz="0" w:space="0" w:color="auto"/>
                  </w:divBdr>
                  <w:divsChild>
                    <w:div w:id="1320304633">
                      <w:marLeft w:val="0"/>
                      <w:marRight w:val="0"/>
                      <w:marTop w:val="0"/>
                      <w:marBottom w:val="0"/>
                      <w:divBdr>
                        <w:top w:val="none" w:sz="0" w:space="0" w:color="auto"/>
                        <w:left w:val="none" w:sz="0" w:space="0" w:color="auto"/>
                        <w:bottom w:val="none" w:sz="0" w:space="0" w:color="auto"/>
                        <w:right w:val="none" w:sz="0" w:space="0" w:color="auto"/>
                      </w:divBdr>
                    </w:div>
                  </w:divsChild>
                </w:div>
                <w:div w:id="1599092927">
                  <w:marLeft w:val="0"/>
                  <w:marRight w:val="0"/>
                  <w:marTop w:val="0"/>
                  <w:marBottom w:val="0"/>
                  <w:divBdr>
                    <w:top w:val="none" w:sz="0" w:space="0" w:color="auto"/>
                    <w:left w:val="none" w:sz="0" w:space="0" w:color="auto"/>
                    <w:bottom w:val="none" w:sz="0" w:space="0" w:color="auto"/>
                    <w:right w:val="none" w:sz="0" w:space="0" w:color="auto"/>
                  </w:divBdr>
                  <w:divsChild>
                    <w:div w:id="1170828932">
                      <w:marLeft w:val="0"/>
                      <w:marRight w:val="0"/>
                      <w:marTop w:val="0"/>
                      <w:marBottom w:val="0"/>
                      <w:divBdr>
                        <w:top w:val="none" w:sz="0" w:space="0" w:color="auto"/>
                        <w:left w:val="none" w:sz="0" w:space="0" w:color="auto"/>
                        <w:bottom w:val="none" w:sz="0" w:space="0" w:color="auto"/>
                        <w:right w:val="none" w:sz="0" w:space="0" w:color="auto"/>
                      </w:divBdr>
                    </w:div>
                  </w:divsChild>
                </w:div>
                <w:div w:id="1622490013">
                  <w:marLeft w:val="0"/>
                  <w:marRight w:val="0"/>
                  <w:marTop w:val="0"/>
                  <w:marBottom w:val="0"/>
                  <w:divBdr>
                    <w:top w:val="none" w:sz="0" w:space="0" w:color="auto"/>
                    <w:left w:val="none" w:sz="0" w:space="0" w:color="auto"/>
                    <w:bottom w:val="none" w:sz="0" w:space="0" w:color="auto"/>
                    <w:right w:val="none" w:sz="0" w:space="0" w:color="auto"/>
                  </w:divBdr>
                  <w:divsChild>
                    <w:div w:id="2044548148">
                      <w:marLeft w:val="0"/>
                      <w:marRight w:val="0"/>
                      <w:marTop w:val="0"/>
                      <w:marBottom w:val="0"/>
                      <w:divBdr>
                        <w:top w:val="none" w:sz="0" w:space="0" w:color="auto"/>
                        <w:left w:val="none" w:sz="0" w:space="0" w:color="auto"/>
                        <w:bottom w:val="none" w:sz="0" w:space="0" w:color="auto"/>
                        <w:right w:val="none" w:sz="0" w:space="0" w:color="auto"/>
                      </w:divBdr>
                    </w:div>
                  </w:divsChild>
                </w:div>
                <w:div w:id="1653288384">
                  <w:marLeft w:val="0"/>
                  <w:marRight w:val="0"/>
                  <w:marTop w:val="0"/>
                  <w:marBottom w:val="0"/>
                  <w:divBdr>
                    <w:top w:val="none" w:sz="0" w:space="0" w:color="auto"/>
                    <w:left w:val="none" w:sz="0" w:space="0" w:color="auto"/>
                    <w:bottom w:val="none" w:sz="0" w:space="0" w:color="auto"/>
                    <w:right w:val="none" w:sz="0" w:space="0" w:color="auto"/>
                  </w:divBdr>
                  <w:divsChild>
                    <w:div w:id="1118259671">
                      <w:marLeft w:val="0"/>
                      <w:marRight w:val="0"/>
                      <w:marTop w:val="0"/>
                      <w:marBottom w:val="0"/>
                      <w:divBdr>
                        <w:top w:val="none" w:sz="0" w:space="0" w:color="auto"/>
                        <w:left w:val="none" w:sz="0" w:space="0" w:color="auto"/>
                        <w:bottom w:val="none" w:sz="0" w:space="0" w:color="auto"/>
                        <w:right w:val="none" w:sz="0" w:space="0" w:color="auto"/>
                      </w:divBdr>
                    </w:div>
                  </w:divsChild>
                </w:div>
                <w:div w:id="1701079023">
                  <w:marLeft w:val="0"/>
                  <w:marRight w:val="0"/>
                  <w:marTop w:val="0"/>
                  <w:marBottom w:val="0"/>
                  <w:divBdr>
                    <w:top w:val="none" w:sz="0" w:space="0" w:color="auto"/>
                    <w:left w:val="none" w:sz="0" w:space="0" w:color="auto"/>
                    <w:bottom w:val="none" w:sz="0" w:space="0" w:color="auto"/>
                    <w:right w:val="none" w:sz="0" w:space="0" w:color="auto"/>
                  </w:divBdr>
                  <w:divsChild>
                    <w:div w:id="1989431674">
                      <w:marLeft w:val="0"/>
                      <w:marRight w:val="0"/>
                      <w:marTop w:val="0"/>
                      <w:marBottom w:val="0"/>
                      <w:divBdr>
                        <w:top w:val="none" w:sz="0" w:space="0" w:color="auto"/>
                        <w:left w:val="none" w:sz="0" w:space="0" w:color="auto"/>
                        <w:bottom w:val="none" w:sz="0" w:space="0" w:color="auto"/>
                        <w:right w:val="none" w:sz="0" w:space="0" w:color="auto"/>
                      </w:divBdr>
                    </w:div>
                  </w:divsChild>
                </w:div>
                <w:div w:id="1721050688">
                  <w:marLeft w:val="0"/>
                  <w:marRight w:val="0"/>
                  <w:marTop w:val="0"/>
                  <w:marBottom w:val="0"/>
                  <w:divBdr>
                    <w:top w:val="none" w:sz="0" w:space="0" w:color="auto"/>
                    <w:left w:val="none" w:sz="0" w:space="0" w:color="auto"/>
                    <w:bottom w:val="none" w:sz="0" w:space="0" w:color="auto"/>
                    <w:right w:val="none" w:sz="0" w:space="0" w:color="auto"/>
                  </w:divBdr>
                  <w:divsChild>
                    <w:div w:id="670376535">
                      <w:marLeft w:val="0"/>
                      <w:marRight w:val="0"/>
                      <w:marTop w:val="0"/>
                      <w:marBottom w:val="0"/>
                      <w:divBdr>
                        <w:top w:val="none" w:sz="0" w:space="0" w:color="auto"/>
                        <w:left w:val="none" w:sz="0" w:space="0" w:color="auto"/>
                        <w:bottom w:val="none" w:sz="0" w:space="0" w:color="auto"/>
                        <w:right w:val="none" w:sz="0" w:space="0" w:color="auto"/>
                      </w:divBdr>
                    </w:div>
                  </w:divsChild>
                </w:div>
                <w:div w:id="1727365070">
                  <w:marLeft w:val="0"/>
                  <w:marRight w:val="0"/>
                  <w:marTop w:val="0"/>
                  <w:marBottom w:val="0"/>
                  <w:divBdr>
                    <w:top w:val="none" w:sz="0" w:space="0" w:color="auto"/>
                    <w:left w:val="none" w:sz="0" w:space="0" w:color="auto"/>
                    <w:bottom w:val="none" w:sz="0" w:space="0" w:color="auto"/>
                    <w:right w:val="none" w:sz="0" w:space="0" w:color="auto"/>
                  </w:divBdr>
                  <w:divsChild>
                    <w:div w:id="658267192">
                      <w:marLeft w:val="0"/>
                      <w:marRight w:val="0"/>
                      <w:marTop w:val="0"/>
                      <w:marBottom w:val="0"/>
                      <w:divBdr>
                        <w:top w:val="none" w:sz="0" w:space="0" w:color="auto"/>
                        <w:left w:val="none" w:sz="0" w:space="0" w:color="auto"/>
                        <w:bottom w:val="none" w:sz="0" w:space="0" w:color="auto"/>
                        <w:right w:val="none" w:sz="0" w:space="0" w:color="auto"/>
                      </w:divBdr>
                    </w:div>
                  </w:divsChild>
                </w:div>
                <w:div w:id="1744109829">
                  <w:marLeft w:val="0"/>
                  <w:marRight w:val="0"/>
                  <w:marTop w:val="0"/>
                  <w:marBottom w:val="0"/>
                  <w:divBdr>
                    <w:top w:val="none" w:sz="0" w:space="0" w:color="auto"/>
                    <w:left w:val="none" w:sz="0" w:space="0" w:color="auto"/>
                    <w:bottom w:val="none" w:sz="0" w:space="0" w:color="auto"/>
                    <w:right w:val="none" w:sz="0" w:space="0" w:color="auto"/>
                  </w:divBdr>
                  <w:divsChild>
                    <w:div w:id="1493520646">
                      <w:marLeft w:val="0"/>
                      <w:marRight w:val="0"/>
                      <w:marTop w:val="0"/>
                      <w:marBottom w:val="0"/>
                      <w:divBdr>
                        <w:top w:val="none" w:sz="0" w:space="0" w:color="auto"/>
                        <w:left w:val="none" w:sz="0" w:space="0" w:color="auto"/>
                        <w:bottom w:val="none" w:sz="0" w:space="0" w:color="auto"/>
                        <w:right w:val="none" w:sz="0" w:space="0" w:color="auto"/>
                      </w:divBdr>
                    </w:div>
                  </w:divsChild>
                </w:div>
                <w:div w:id="1795368732">
                  <w:marLeft w:val="0"/>
                  <w:marRight w:val="0"/>
                  <w:marTop w:val="0"/>
                  <w:marBottom w:val="0"/>
                  <w:divBdr>
                    <w:top w:val="none" w:sz="0" w:space="0" w:color="auto"/>
                    <w:left w:val="none" w:sz="0" w:space="0" w:color="auto"/>
                    <w:bottom w:val="none" w:sz="0" w:space="0" w:color="auto"/>
                    <w:right w:val="none" w:sz="0" w:space="0" w:color="auto"/>
                  </w:divBdr>
                  <w:divsChild>
                    <w:div w:id="1830246202">
                      <w:marLeft w:val="0"/>
                      <w:marRight w:val="0"/>
                      <w:marTop w:val="0"/>
                      <w:marBottom w:val="0"/>
                      <w:divBdr>
                        <w:top w:val="none" w:sz="0" w:space="0" w:color="auto"/>
                        <w:left w:val="none" w:sz="0" w:space="0" w:color="auto"/>
                        <w:bottom w:val="none" w:sz="0" w:space="0" w:color="auto"/>
                        <w:right w:val="none" w:sz="0" w:space="0" w:color="auto"/>
                      </w:divBdr>
                    </w:div>
                  </w:divsChild>
                </w:div>
                <w:div w:id="1836456219">
                  <w:marLeft w:val="0"/>
                  <w:marRight w:val="0"/>
                  <w:marTop w:val="0"/>
                  <w:marBottom w:val="0"/>
                  <w:divBdr>
                    <w:top w:val="none" w:sz="0" w:space="0" w:color="auto"/>
                    <w:left w:val="none" w:sz="0" w:space="0" w:color="auto"/>
                    <w:bottom w:val="none" w:sz="0" w:space="0" w:color="auto"/>
                    <w:right w:val="none" w:sz="0" w:space="0" w:color="auto"/>
                  </w:divBdr>
                  <w:divsChild>
                    <w:div w:id="2028870884">
                      <w:marLeft w:val="0"/>
                      <w:marRight w:val="0"/>
                      <w:marTop w:val="0"/>
                      <w:marBottom w:val="0"/>
                      <w:divBdr>
                        <w:top w:val="none" w:sz="0" w:space="0" w:color="auto"/>
                        <w:left w:val="none" w:sz="0" w:space="0" w:color="auto"/>
                        <w:bottom w:val="none" w:sz="0" w:space="0" w:color="auto"/>
                        <w:right w:val="none" w:sz="0" w:space="0" w:color="auto"/>
                      </w:divBdr>
                    </w:div>
                  </w:divsChild>
                </w:div>
                <w:div w:id="1908760947">
                  <w:marLeft w:val="0"/>
                  <w:marRight w:val="0"/>
                  <w:marTop w:val="0"/>
                  <w:marBottom w:val="0"/>
                  <w:divBdr>
                    <w:top w:val="none" w:sz="0" w:space="0" w:color="auto"/>
                    <w:left w:val="none" w:sz="0" w:space="0" w:color="auto"/>
                    <w:bottom w:val="none" w:sz="0" w:space="0" w:color="auto"/>
                    <w:right w:val="none" w:sz="0" w:space="0" w:color="auto"/>
                  </w:divBdr>
                  <w:divsChild>
                    <w:div w:id="1620185592">
                      <w:marLeft w:val="0"/>
                      <w:marRight w:val="0"/>
                      <w:marTop w:val="0"/>
                      <w:marBottom w:val="0"/>
                      <w:divBdr>
                        <w:top w:val="none" w:sz="0" w:space="0" w:color="auto"/>
                        <w:left w:val="none" w:sz="0" w:space="0" w:color="auto"/>
                        <w:bottom w:val="none" w:sz="0" w:space="0" w:color="auto"/>
                        <w:right w:val="none" w:sz="0" w:space="0" w:color="auto"/>
                      </w:divBdr>
                    </w:div>
                  </w:divsChild>
                </w:div>
                <w:div w:id="1958677415">
                  <w:marLeft w:val="0"/>
                  <w:marRight w:val="0"/>
                  <w:marTop w:val="0"/>
                  <w:marBottom w:val="0"/>
                  <w:divBdr>
                    <w:top w:val="none" w:sz="0" w:space="0" w:color="auto"/>
                    <w:left w:val="none" w:sz="0" w:space="0" w:color="auto"/>
                    <w:bottom w:val="none" w:sz="0" w:space="0" w:color="auto"/>
                    <w:right w:val="none" w:sz="0" w:space="0" w:color="auto"/>
                  </w:divBdr>
                  <w:divsChild>
                    <w:div w:id="778649564">
                      <w:marLeft w:val="0"/>
                      <w:marRight w:val="0"/>
                      <w:marTop w:val="0"/>
                      <w:marBottom w:val="0"/>
                      <w:divBdr>
                        <w:top w:val="none" w:sz="0" w:space="0" w:color="auto"/>
                        <w:left w:val="none" w:sz="0" w:space="0" w:color="auto"/>
                        <w:bottom w:val="none" w:sz="0" w:space="0" w:color="auto"/>
                        <w:right w:val="none" w:sz="0" w:space="0" w:color="auto"/>
                      </w:divBdr>
                    </w:div>
                  </w:divsChild>
                </w:div>
                <w:div w:id="2022511377">
                  <w:marLeft w:val="0"/>
                  <w:marRight w:val="0"/>
                  <w:marTop w:val="0"/>
                  <w:marBottom w:val="0"/>
                  <w:divBdr>
                    <w:top w:val="none" w:sz="0" w:space="0" w:color="auto"/>
                    <w:left w:val="none" w:sz="0" w:space="0" w:color="auto"/>
                    <w:bottom w:val="none" w:sz="0" w:space="0" w:color="auto"/>
                    <w:right w:val="none" w:sz="0" w:space="0" w:color="auto"/>
                  </w:divBdr>
                  <w:divsChild>
                    <w:div w:id="66615024">
                      <w:marLeft w:val="0"/>
                      <w:marRight w:val="0"/>
                      <w:marTop w:val="0"/>
                      <w:marBottom w:val="0"/>
                      <w:divBdr>
                        <w:top w:val="none" w:sz="0" w:space="0" w:color="auto"/>
                        <w:left w:val="none" w:sz="0" w:space="0" w:color="auto"/>
                        <w:bottom w:val="none" w:sz="0" w:space="0" w:color="auto"/>
                        <w:right w:val="none" w:sz="0" w:space="0" w:color="auto"/>
                      </w:divBdr>
                    </w:div>
                  </w:divsChild>
                </w:div>
                <w:div w:id="2045594838">
                  <w:marLeft w:val="0"/>
                  <w:marRight w:val="0"/>
                  <w:marTop w:val="0"/>
                  <w:marBottom w:val="0"/>
                  <w:divBdr>
                    <w:top w:val="none" w:sz="0" w:space="0" w:color="auto"/>
                    <w:left w:val="none" w:sz="0" w:space="0" w:color="auto"/>
                    <w:bottom w:val="none" w:sz="0" w:space="0" w:color="auto"/>
                    <w:right w:val="none" w:sz="0" w:space="0" w:color="auto"/>
                  </w:divBdr>
                  <w:divsChild>
                    <w:div w:id="2060589134">
                      <w:marLeft w:val="0"/>
                      <w:marRight w:val="0"/>
                      <w:marTop w:val="0"/>
                      <w:marBottom w:val="0"/>
                      <w:divBdr>
                        <w:top w:val="none" w:sz="0" w:space="0" w:color="auto"/>
                        <w:left w:val="none" w:sz="0" w:space="0" w:color="auto"/>
                        <w:bottom w:val="none" w:sz="0" w:space="0" w:color="auto"/>
                        <w:right w:val="none" w:sz="0" w:space="0" w:color="auto"/>
                      </w:divBdr>
                    </w:div>
                  </w:divsChild>
                </w:div>
                <w:div w:id="2086296682">
                  <w:marLeft w:val="0"/>
                  <w:marRight w:val="0"/>
                  <w:marTop w:val="0"/>
                  <w:marBottom w:val="0"/>
                  <w:divBdr>
                    <w:top w:val="none" w:sz="0" w:space="0" w:color="auto"/>
                    <w:left w:val="none" w:sz="0" w:space="0" w:color="auto"/>
                    <w:bottom w:val="none" w:sz="0" w:space="0" w:color="auto"/>
                    <w:right w:val="none" w:sz="0" w:space="0" w:color="auto"/>
                  </w:divBdr>
                  <w:divsChild>
                    <w:div w:id="965310215">
                      <w:marLeft w:val="0"/>
                      <w:marRight w:val="0"/>
                      <w:marTop w:val="0"/>
                      <w:marBottom w:val="0"/>
                      <w:divBdr>
                        <w:top w:val="none" w:sz="0" w:space="0" w:color="auto"/>
                        <w:left w:val="none" w:sz="0" w:space="0" w:color="auto"/>
                        <w:bottom w:val="none" w:sz="0" w:space="0" w:color="auto"/>
                        <w:right w:val="none" w:sz="0" w:space="0" w:color="auto"/>
                      </w:divBdr>
                    </w:div>
                  </w:divsChild>
                </w:div>
                <w:div w:id="2099329517">
                  <w:marLeft w:val="0"/>
                  <w:marRight w:val="0"/>
                  <w:marTop w:val="0"/>
                  <w:marBottom w:val="0"/>
                  <w:divBdr>
                    <w:top w:val="none" w:sz="0" w:space="0" w:color="auto"/>
                    <w:left w:val="none" w:sz="0" w:space="0" w:color="auto"/>
                    <w:bottom w:val="none" w:sz="0" w:space="0" w:color="auto"/>
                    <w:right w:val="none" w:sz="0" w:space="0" w:color="auto"/>
                  </w:divBdr>
                  <w:divsChild>
                    <w:div w:id="1201551314">
                      <w:marLeft w:val="0"/>
                      <w:marRight w:val="0"/>
                      <w:marTop w:val="0"/>
                      <w:marBottom w:val="0"/>
                      <w:divBdr>
                        <w:top w:val="none" w:sz="0" w:space="0" w:color="auto"/>
                        <w:left w:val="none" w:sz="0" w:space="0" w:color="auto"/>
                        <w:bottom w:val="none" w:sz="0" w:space="0" w:color="auto"/>
                        <w:right w:val="none" w:sz="0" w:space="0" w:color="auto"/>
                      </w:divBdr>
                    </w:div>
                  </w:divsChild>
                </w:div>
                <w:div w:id="2122146703">
                  <w:marLeft w:val="0"/>
                  <w:marRight w:val="0"/>
                  <w:marTop w:val="0"/>
                  <w:marBottom w:val="0"/>
                  <w:divBdr>
                    <w:top w:val="none" w:sz="0" w:space="0" w:color="auto"/>
                    <w:left w:val="none" w:sz="0" w:space="0" w:color="auto"/>
                    <w:bottom w:val="none" w:sz="0" w:space="0" w:color="auto"/>
                    <w:right w:val="none" w:sz="0" w:space="0" w:color="auto"/>
                  </w:divBdr>
                  <w:divsChild>
                    <w:div w:id="1534074265">
                      <w:marLeft w:val="0"/>
                      <w:marRight w:val="0"/>
                      <w:marTop w:val="0"/>
                      <w:marBottom w:val="0"/>
                      <w:divBdr>
                        <w:top w:val="none" w:sz="0" w:space="0" w:color="auto"/>
                        <w:left w:val="none" w:sz="0" w:space="0" w:color="auto"/>
                        <w:bottom w:val="none" w:sz="0" w:space="0" w:color="auto"/>
                        <w:right w:val="none" w:sz="0" w:space="0" w:color="auto"/>
                      </w:divBdr>
                    </w:div>
                  </w:divsChild>
                </w:div>
                <w:div w:id="2123456852">
                  <w:marLeft w:val="0"/>
                  <w:marRight w:val="0"/>
                  <w:marTop w:val="0"/>
                  <w:marBottom w:val="0"/>
                  <w:divBdr>
                    <w:top w:val="none" w:sz="0" w:space="0" w:color="auto"/>
                    <w:left w:val="none" w:sz="0" w:space="0" w:color="auto"/>
                    <w:bottom w:val="none" w:sz="0" w:space="0" w:color="auto"/>
                    <w:right w:val="none" w:sz="0" w:space="0" w:color="auto"/>
                  </w:divBdr>
                  <w:divsChild>
                    <w:div w:id="1231379983">
                      <w:marLeft w:val="0"/>
                      <w:marRight w:val="0"/>
                      <w:marTop w:val="0"/>
                      <w:marBottom w:val="0"/>
                      <w:divBdr>
                        <w:top w:val="none" w:sz="0" w:space="0" w:color="auto"/>
                        <w:left w:val="none" w:sz="0" w:space="0" w:color="auto"/>
                        <w:bottom w:val="none" w:sz="0" w:space="0" w:color="auto"/>
                        <w:right w:val="none" w:sz="0" w:space="0" w:color="auto"/>
                      </w:divBdr>
                    </w:div>
                  </w:divsChild>
                </w:div>
                <w:div w:id="2132674360">
                  <w:marLeft w:val="0"/>
                  <w:marRight w:val="0"/>
                  <w:marTop w:val="0"/>
                  <w:marBottom w:val="0"/>
                  <w:divBdr>
                    <w:top w:val="none" w:sz="0" w:space="0" w:color="auto"/>
                    <w:left w:val="none" w:sz="0" w:space="0" w:color="auto"/>
                    <w:bottom w:val="none" w:sz="0" w:space="0" w:color="auto"/>
                    <w:right w:val="none" w:sz="0" w:space="0" w:color="auto"/>
                  </w:divBdr>
                  <w:divsChild>
                    <w:div w:id="43024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812640">
      <w:bodyDiv w:val="1"/>
      <w:marLeft w:val="0"/>
      <w:marRight w:val="0"/>
      <w:marTop w:val="0"/>
      <w:marBottom w:val="0"/>
      <w:divBdr>
        <w:top w:val="none" w:sz="0" w:space="0" w:color="auto"/>
        <w:left w:val="none" w:sz="0" w:space="0" w:color="auto"/>
        <w:bottom w:val="none" w:sz="0" w:space="0" w:color="auto"/>
        <w:right w:val="none" w:sz="0" w:space="0" w:color="auto"/>
      </w:divBdr>
    </w:div>
    <w:div w:id="1085998286">
      <w:bodyDiv w:val="1"/>
      <w:marLeft w:val="0"/>
      <w:marRight w:val="0"/>
      <w:marTop w:val="0"/>
      <w:marBottom w:val="0"/>
      <w:divBdr>
        <w:top w:val="none" w:sz="0" w:space="0" w:color="auto"/>
        <w:left w:val="none" w:sz="0" w:space="0" w:color="auto"/>
        <w:bottom w:val="none" w:sz="0" w:space="0" w:color="auto"/>
        <w:right w:val="none" w:sz="0" w:space="0" w:color="auto"/>
      </w:divBdr>
      <w:divsChild>
        <w:div w:id="360277171">
          <w:marLeft w:val="0"/>
          <w:marRight w:val="0"/>
          <w:marTop w:val="0"/>
          <w:marBottom w:val="0"/>
          <w:divBdr>
            <w:top w:val="none" w:sz="0" w:space="0" w:color="auto"/>
            <w:left w:val="none" w:sz="0" w:space="0" w:color="auto"/>
            <w:bottom w:val="none" w:sz="0" w:space="0" w:color="auto"/>
            <w:right w:val="none" w:sz="0" w:space="0" w:color="auto"/>
          </w:divBdr>
        </w:div>
        <w:div w:id="1195459898">
          <w:marLeft w:val="0"/>
          <w:marRight w:val="0"/>
          <w:marTop w:val="0"/>
          <w:marBottom w:val="0"/>
          <w:divBdr>
            <w:top w:val="none" w:sz="0" w:space="0" w:color="auto"/>
            <w:left w:val="none" w:sz="0" w:space="0" w:color="auto"/>
            <w:bottom w:val="none" w:sz="0" w:space="0" w:color="auto"/>
            <w:right w:val="none" w:sz="0" w:space="0" w:color="auto"/>
          </w:divBdr>
        </w:div>
        <w:div w:id="1825506246">
          <w:marLeft w:val="0"/>
          <w:marRight w:val="0"/>
          <w:marTop w:val="0"/>
          <w:marBottom w:val="0"/>
          <w:divBdr>
            <w:top w:val="none" w:sz="0" w:space="0" w:color="auto"/>
            <w:left w:val="none" w:sz="0" w:space="0" w:color="auto"/>
            <w:bottom w:val="none" w:sz="0" w:space="0" w:color="auto"/>
            <w:right w:val="none" w:sz="0" w:space="0" w:color="auto"/>
          </w:divBdr>
        </w:div>
      </w:divsChild>
    </w:div>
    <w:div w:id="1087534252">
      <w:bodyDiv w:val="1"/>
      <w:marLeft w:val="0"/>
      <w:marRight w:val="0"/>
      <w:marTop w:val="0"/>
      <w:marBottom w:val="0"/>
      <w:divBdr>
        <w:top w:val="none" w:sz="0" w:space="0" w:color="auto"/>
        <w:left w:val="none" w:sz="0" w:space="0" w:color="auto"/>
        <w:bottom w:val="none" w:sz="0" w:space="0" w:color="auto"/>
        <w:right w:val="none" w:sz="0" w:space="0" w:color="auto"/>
      </w:divBdr>
    </w:div>
    <w:div w:id="1094863817">
      <w:bodyDiv w:val="1"/>
      <w:marLeft w:val="0"/>
      <w:marRight w:val="0"/>
      <w:marTop w:val="0"/>
      <w:marBottom w:val="0"/>
      <w:divBdr>
        <w:top w:val="none" w:sz="0" w:space="0" w:color="auto"/>
        <w:left w:val="none" w:sz="0" w:space="0" w:color="auto"/>
        <w:bottom w:val="none" w:sz="0" w:space="0" w:color="auto"/>
        <w:right w:val="none" w:sz="0" w:space="0" w:color="auto"/>
      </w:divBdr>
    </w:div>
    <w:div w:id="1118794018">
      <w:bodyDiv w:val="1"/>
      <w:marLeft w:val="0"/>
      <w:marRight w:val="0"/>
      <w:marTop w:val="0"/>
      <w:marBottom w:val="0"/>
      <w:divBdr>
        <w:top w:val="none" w:sz="0" w:space="0" w:color="auto"/>
        <w:left w:val="none" w:sz="0" w:space="0" w:color="auto"/>
        <w:bottom w:val="none" w:sz="0" w:space="0" w:color="auto"/>
        <w:right w:val="none" w:sz="0" w:space="0" w:color="auto"/>
      </w:divBdr>
      <w:divsChild>
        <w:div w:id="44650181">
          <w:marLeft w:val="0"/>
          <w:marRight w:val="0"/>
          <w:marTop w:val="0"/>
          <w:marBottom w:val="0"/>
          <w:divBdr>
            <w:top w:val="none" w:sz="0" w:space="0" w:color="auto"/>
            <w:left w:val="none" w:sz="0" w:space="0" w:color="auto"/>
            <w:bottom w:val="none" w:sz="0" w:space="0" w:color="auto"/>
            <w:right w:val="none" w:sz="0" w:space="0" w:color="auto"/>
          </w:divBdr>
          <w:divsChild>
            <w:div w:id="318509080">
              <w:marLeft w:val="0"/>
              <w:marRight w:val="0"/>
              <w:marTop w:val="0"/>
              <w:marBottom w:val="0"/>
              <w:divBdr>
                <w:top w:val="none" w:sz="0" w:space="0" w:color="auto"/>
                <w:left w:val="none" w:sz="0" w:space="0" w:color="auto"/>
                <w:bottom w:val="none" w:sz="0" w:space="0" w:color="auto"/>
                <w:right w:val="none" w:sz="0" w:space="0" w:color="auto"/>
              </w:divBdr>
            </w:div>
          </w:divsChild>
        </w:div>
        <w:div w:id="128716044">
          <w:marLeft w:val="0"/>
          <w:marRight w:val="0"/>
          <w:marTop w:val="0"/>
          <w:marBottom w:val="0"/>
          <w:divBdr>
            <w:top w:val="none" w:sz="0" w:space="0" w:color="auto"/>
            <w:left w:val="none" w:sz="0" w:space="0" w:color="auto"/>
            <w:bottom w:val="none" w:sz="0" w:space="0" w:color="auto"/>
            <w:right w:val="none" w:sz="0" w:space="0" w:color="auto"/>
          </w:divBdr>
          <w:divsChild>
            <w:div w:id="537088823">
              <w:marLeft w:val="0"/>
              <w:marRight w:val="0"/>
              <w:marTop w:val="0"/>
              <w:marBottom w:val="0"/>
              <w:divBdr>
                <w:top w:val="none" w:sz="0" w:space="0" w:color="auto"/>
                <w:left w:val="none" w:sz="0" w:space="0" w:color="auto"/>
                <w:bottom w:val="none" w:sz="0" w:space="0" w:color="auto"/>
                <w:right w:val="none" w:sz="0" w:space="0" w:color="auto"/>
              </w:divBdr>
            </w:div>
          </w:divsChild>
        </w:div>
        <w:div w:id="141890036">
          <w:marLeft w:val="0"/>
          <w:marRight w:val="0"/>
          <w:marTop w:val="0"/>
          <w:marBottom w:val="0"/>
          <w:divBdr>
            <w:top w:val="none" w:sz="0" w:space="0" w:color="auto"/>
            <w:left w:val="none" w:sz="0" w:space="0" w:color="auto"/>
            <w:bottom w:val="none" w:sz="0" w:space="0" w:color="auto"/>
            <w:right w:val="none" w:sz="0" w:space="0" w:color="auto"/>
          </w:divBdr>
          <w:divsChild>
            <w:div w:id="1561670643">
              <w:marLeft w:val="0"/>
              <w:marRight w:val="0"/>
              <w:marTop w:val="0"/>
              <w:marBottom w:val="0"/>
              <w:divBdr>
                <w:top w:val="none" w:sz="0" w:space="0" w:color="auto"/>
                <w:left w:val="none" w:sz="0" w:space="0" w:color="auto"/>
                <w:bottom w:val="none" w:sz="0" w:space="0" w:color="auto"/>
                <w:right w:val="none" w:sz="0" w:space="0" w:color="auto"/>
              </w:divBdr>
            </w:div>
          </w:divsChild>
        </w:div>
        <w:div w:id="266624793">
          <w:marLeft w:val="0"/>
          <w:marRight w:val="0"/>
          <w:marTop w:val="0"/>
          <w:marBottom w:val="0"/>
          <w:divBdr>
            <w:top w:val="none" w:sz="0" w:space="0" w:color="auto"/>
            <w:left w:val="none" w:sz="0" w:space="0" w:color="auto"/>
            <w:bottom w:val="none" w:sz="0" w:space="0" w:color="auto"/>
            <w:right w:val="none" w:sz="0" w:space="0" w:color="auto"/>
          </w:divBdr>
          <w:divsChild>
            <w:div w:id="1878197939">
              <w:marLeft w:val="0"/>
              <w:marRight w:val="0"/>
              <w:marTop w:val="0"/>
              <w:marBottom w:val="0"/>
              <w:divBdr>
                <w:top w:val="none" w:sz="0" w:space="0" w:color="auto"/>
                <w:left w:val="none" w:sz="0" w:space="0" w:color="auto"/>
                <w:bottom w:val="none" w:sz="0" w:space="0" w:color="auto"/>
                <w:right w:val="none" w:sz="0" w:space="0" w:color="auto"/>
              </w:divBdr>
            </w:div>
          </w:divsChild>
        </w:div>
        <w:div w:id="369645171">
          <w:marLeft w:val="0"/>
          <w:marRight w:val="0"/>
          <w:marTop w:val="0"/>
          <w:marBottom w:val="0"/>
          <w:divBdr>
            <w:top w:val="none" w:sz="0" w:space="0" w:color="auto"/>
            <w:left w:val="none" w:sz="0" w:space="0" w:color="auto"/>
            <w:bottom w:val="none" w:sz="0" w:space="0" w:color="auto"/>
            <w:right w:val="none" w:sz="0" w:space="0" w:color="auto"/>
          </w:divBdr>
          <w:divsChild>
            <w:div w:id="1028720064">
              <w:marLeft w:val="0"/>
              <w:marRight w:val="0"/>
              <w:marTop w:val="0"/>
              <w:marBottom w:val="0"/>
              <w:divBdr>
                <w:top w:val="none" w:sz="0" w:space="0" w:color="auto"/>
                <w:left w:val="none" w:sz="0" w:space="0" w:color="auto"/>
                <w:bottom w:val="none" w:sz="0" w:space="0" w:color="auto"/>
                <w:right w:val="none" w:sz="0" w:space="0" w:color="auto"/>
              </w:divBdr>
            </w:div>
          </w:divsChild>
        </w:div>
        <w:div w:id="413748643">
          <w:marLeft w:val="0"/>
          <w:marRight w:val="0"/>
          <w:marTop w:val="0"/>
          <w:marBottom w:val="0"/>
          <w:divBdr>
            <w:top w:val="none" w:sz="0" w:space="0" w:color="auto"/>
            <w:left w:val="none" w:sz="0" w:space="0" w:color="auto"/>
            <w:bottom w:val="none" w:sz="0" w:space="0" w:color="auto"/>
            <w:right w:val="none" w:sz="0" w:space="0" w:color="auto"/>
          </w:divBdr>
          <w:divsChild>
            <w:div w:id="1303971170">
              <w:marLeft w:val="0"/>
              <w:marRight w:val="0"/>
              <w:marTop w:val="0"/>
              <w:marBottom w:val="0"/>
              <w:divBdr>
                <w:top w:val="none" w:sz="0" w:space="0" w:color="auto"/>
                <w:left w:val="none" w:sz="0" w:space="0" w:color="auto"/>
                <w:bottom w:val="none" w:sz="0" w:space="0" w:color="auto"/>
                <w:right w:val="none" w:sz="0" w:space="0" w:color="auto"/>
              </w:divBdr>
            </w:div>
          </w:divsChild>
        </w:div>
        <w:div w:id="574125334">
          <w:marLeft w:val="0"/>
          <w:marRight w:val="0"/>
          <w:marTop w:val="0"/>
          <w:marBottom w:val="0"/>
          <w:divBdr>
            <w:top w:val="none" w:sz="0" w:space="0" w:color="auto"/>
            <w:left w:val="none" w:sz="0" w:space="0" w:color="auto"/>
            <w:bottom w:val="none" w:sz="0" w:space="0" w:color="auto"/>
            <w:right w:val="none" w:sz="0" w:space="0" w:color="auto"/>
          </w:divBdr>
          <w:divsChild>
            <w:div w:id="843669171">
              <w:marLeft w:val="0"/>
              <w:marRight w:val="0"/>
              <w:marTop w:val="0"/>
              <w:marBottom w:val="0"/>
              <w:divBdr>
                <w:top w:val="none" w:sz="0" w:space="0" w:color="auto"/>
                <w:left w:val="none" w:sz="0" w:space="0" w:color="auto"/>
                <w:bottom w:val="none" w:sz="0" w:space="0" w:color="auto"/>
                <w:right w:val="none" w:sz="0" w:space="0" w:color="auto"/>
              </w:divBdr>
            </w:div>
          </w:divsChild>
        </w:div>
        <w:div w:id="648945344">
          <w:marLeft w:val="0"/>
          <w:marRight w:val="0"/>
          <w:marTop w:val="0"/>
          <w:marBottom w:val="0"/>
          <w:divBdr>
            <w:top w:val="none" w:sz="0" w:space="0" w:color="auto"/>
            <w:left w:val="none" w:sz="0" w:space="0" w:color="auto"/>
            <w:bottom w:val="none" w:sz="0" w:space="0" w:color="auto"/>
            <w:right w:val="none" w:sz="0" w:space="0" w:color="auto"/>
          </w:divBdr>
          <w:divsChild>
            <w:div w:id="2035882784">
              <w:marLeft w:val="0"/>
              <w:marRight w:val="0"/>
              <w:marTop w:val="0"/>
              <w:marBottom w:val="0"/>
              <w:divBdr>
                <w:top w:val="none" w:sz="0" w:space="0" w:color="auto"/>
                <w:left w:val="none" w:sz="0" w:space="0" w:color="auto"/>
                <w:bottom w:val="none" w:sz="0" w:space="0" w:color="auto"/>
                <w:right w:val="none" w:sz="0" w:space="0" w:color="auto"/>
              </w:divBdr>
            </w:div>
          </w:divsChild>
        </w:div>
        <w:div w:id="704719517">
          <w:marLeft w:val="0"/>
          <w:marRight w:val="0"/>
          <w:marTop w:val="0"/>
          <w:marBottom w:val="0"/>
          <w:divBdr>
            <w:top w:val="none" w:sz="0" w:space="0" w:color="auto"/>
            <w:left w:val="none" w:sz="0" w:space="0" w:color="auto"/>
            <w:bottom w:val="none" w:sz="0" w:space="0" w:color="auto"/>
            <w:right w:val="none" w:sz="0" w:space="0" w:color="auto"/>
          </w:divBdr>
          <w:divsChild>
            <w:div w:id="880216362">
              <w:marLeft w:val="0"/>
              <w:marRight w:val="0"/>
              <w:marTop w:val="0"/>
              <w:marBottom w:val="0"/>
              <w:divBdr>
                <w:top w:val="none" w:sz="0" w:space="0" w:color="auto"/>
                <w:left w:val="none" w:sz="0" w:space="0" w:color="auto"/>
                <w:bottom w:val="none" w:sz="0" w:space="0" w:color="auto"/>
                <w:right w:val="none" w:sz="0" w:space="0" w:color="auto"/>
              </w:divBdr>
            </w:div>
          </w:divsChild>
        </w:div>
        <w:div w:id="855121036">
          <w:marLeft w:val="0"/>
          <w:marRight w:val="0"/>
          <w:marTop w:val="0"/>
          <w:marBottom w:val="0"/>
          <w:divBdr>
            <w:top w:val="none" w:sz="0" w:space="0" w:color="auto"/>
            <w:left w:val="none" w:sz="0" w:space="0" w:color="auto"/>
            <w:bottom w:val="none" w:sz="0" w:space="0" w:color="auto"/>
            <w:right w:val="none" w:sz="0" w:space="0" w:color="auto"/>
          </w:divBdr>
          <w:divsChild>
            <w:div w:id="1025525202">
              <w:marLeft w:val="0"/>
              <w:marRight w:val="0"/>
              <w:marTop w:val="0"/>
              <w:marBottom w:val="0"/>
              <w:divBdr>
                <w:top w:val="none" w:sz="0" w:space="0" w:color="auto"/>
                <w:left w:val="none" w:sz="0" w:space="0" w:color="auto"/>
                <w:bottom w:val="none" w:sz="0" w:space="0" w:color="auto"/>
                <w:right w:val="none" w:sz="0" w:space="0" w:color="auto"/>
              </w:divBdr>
            </w:div>
          </w:divsChild>
        </w:div>
        <w:div w:id="1078095787">
          <w:marLeft w:val="0"/>
          <w:marRight w:val="0"/>
          <w:marTop w:val="0"/>
          <w:marBottom w:val="0"/>
          <w:divBdr>
            <w:top w:val="none" w:sz="0" w:space="0" w:color="auto"/>
            <w:left w:val="none" w:sz="0" w:space="0" w:color="auto"/>
            <w:bottom w:val="none" w:sz="0" w:space="0" w:color="auto"/>
            <w:right w:val="none" w:sz="0" w:space="0" w:color="auto"/>
          </w:divBdr>
          <w:divsChild>
            <w:div w:id="355816218">
              <w:marLeft w:val="0"/>
              <w:marRight w:val="0"/>
              <w:marTop w:val="0"/>
              <w:marBottom w:val="0"/>
              <w:divBdr>
                <w:top w:val="none" w:sz="0" w:space="0" w:color="auto"/>
                <w:left w:val="none" w:sz="0" w:space="0" w:color="auto"/>
                <w:bottom w:val="none" w:sz="0" w:space="0" w:color="auto"/>
                <w:right w:val="none" w:sz="0" w:space="0" w:color="auto"/>
              </w:divBdr>
            </w:div>
          </w:divsChild>
        </w:div>
        <w:div w:id="1139417102">
          <w:marLeft w:val="0"/>
          <w:marRight w:val="0"/>
          <w:marTop w:val="0"/>
          <w:marBottom w:val="0"/>
          <w:divBdr>
            <w:top w:val="none" w:sz="0" w:space="0" w:color="auto"/>
            <w:left w:val="none" w:sz="0" w:space="0" w:color="auto"/>
            <w:bottom w:val="none" w:sz="0" w:space="0" w:color="auto"/>
            <w:right w:val="none" w:sz="0" w:space="0" w:color="auto"/>
          </w:divBdr>
          <w:divsChild>
            <w:div w:id="634599069">
              <w:marLeft w:val="0"/>
              <w:marRight w:val="0"/>
              <w:marTop w:val="0"/>
              <w:marBottom w:val="0"/>
              <w:divBdr>
                <w:top w:val="none" w:sz="0" w:space="0" w:color="auto"/>
                <w:left w:val="none" w:sz="0" w:space="0" w:color="auto"/>
                <w:bottom w:val="none" w:sz="0" w:space="0" w:color="auto"/>
                <w:right w:val="none" w:sz="0" w:space="0" w:color="auto"/>
              </w:divBdr>
            </w:div>
          </w:divsChild>
        </w:div>
        <w:div w:id="1179202362">
          <w:marLeft w:val="0"/>
          <w:marRight w:val="0"/>
          <w:marTop w:val="0"/>
          <w:marBottom w:val="0"/>
          <w:divBdr>
            <w:top w:val="none" w:sz="0" w:space="0" w:color="auto"/>
            <w:left w:val="none" w:sz="0" w:space="0" w:color="auto"/>
            <w:bottom w:val="none" w:sz="0" w:space="0" w:color="auto"/>
            <w:right w:val="none" w:sz="0" w:space="0" w:color="auto"/>
          </w:divBdr>
          <w:divsChild>
            <w:div w:id="1343317968">
              <w:marLeft w:val="0"/>
              <w:marRight w:val="0"/>
              <w:marTop w:val="0"/>
              <w:marBottom w:val="0"/>
              <w:divBdr>
                <w:top w:val="none" w:sz="0" w:space="0" w:color="auto"/>
                <w:left w:val="none" w:sz="0" w:space="0" w:color="auto"/>
                <w:bottom w:val="none" w:sz="0" w:space="0" w:color="auto"/>
                <w:right w:val="none" w:sz="0" w:space="0" w:color="auto"/>
              </w:divBdr>
            </w:div>
          </w:divsChild>
        </w:div>
        <w:div w:id="1198932689">
          <w:marLeft w:val="0"/>
          <w:marRight w:val="0"/>
          <w:marTop w:val="0"/>
          <w:marBottom w:val="0"/>
          <w:divBdr>
            <w:top w:val="none" w:sz="0" w:space="0" w:color="auto"/>
            <w:left w:val="none" w:sz="0" w:space="0" w:color="auto"/>
            <w:bottom w:val="none" w:sz="0" w:space="0" w:color="auto"/>
            <w:right w:val="none" w:sz="0" w:space="0" w:color="auto"/>
          </w:divBdr>
          <w:divsChild>
            <w:div w:id="1456218753">
              <w:marLeft w:val="0"/>
              <w:marRight w:val="0"/>
              <w:marTop w:val="0"/>
              <w:marBottom w:val="0"/>
              <w:divBdr>
                <w:top w:val="none" w:sz="0" w:space="0" w:color="auto"/>
                <w:left w:val="none" w:sz="0" w:space="0" w:color="auto"/>
                <w:bottom w:val="none" w:sz="0" w:space="0" w:color="auto"/>
                <w:right w:val="none" w:sz="0" w:space="0" w:color="auto"/>
              </w:divBdr>
            </w:div>
          </w:divsChild>
        </w:div>
        <w:div w:id="1348824032">
          <w:marLeft w:val="0"/>
          <w:marRight w:val="0"/>
          <w:marTop w:val="0"/>
          <w:marBottom w:val="0"/>
          <w:divBdr>
            <w:top w:val="none" w:sz="0" w:space="0" w:color="auto"/>
            <w:left w:val="none" w:sz="0" w:space="0" w:color="auto"/>
            <w:bottom w:val="none" w:sz="0" w:space="0" w:color="auto"/>
            <w:right w:val="none" w:sz="0" w:space="0" w:color="auto"/>
          </w:divBdr>
          <w:divsChild>
            <w:div w:id="53480124">
              <w:marLeft w:val="0"/>
              <w:marRight w:val="0"/>
              <w:marTop w:val="0"/>
              <w:marBottom w:val="0"/>
              <w:divBdr>
                <w:top w:val="none" w:sz="0" w:space="0" w:color="auto"/>
                <w:left w:val="none" w:sz="0" w:space="0" w:color="auto"/>
                <w:bottom w:val="none" w:sz="0" w:space="0" w:color="auto"/>
                <w:right w:val="none" w:sz="0" w:space="0" w:color="auto"/>
              </w:divBdr>
            </w:div>
          </w:divsChild>
        </w:div>
        <w:div w:id="1516262135">
          <w:marLeft w:val="0"/>
          <w:marRight w:val="0"/>
          <w:marTop w:val="0"/>
          <w:marBottom w:val="0"/>
          <w:divBdr>
            <w:top w:val="none" w:sz="0" w:space="0" w:color="auto"/>
            <w:left w:val="none" w:sz="0" w:space="0" w:color="auto"/>
            <w:bottom w:val="none" w:sz="0" w:space="0" w:color="auto"/>
            <w:right w:val="none" w:sz="0" w:space="0" w:color="auto"/>
          </w:divBdr>
          <w:divsChild>
            <w:div w:id="9260223">
              <w:marLeft w:val="0"/>
              <w:marRight w:val="0"/>
              <w:marTop w:val="0"/>
              <w:marBottom w:val="0"/>
              <w:divBdr>
                <w:top w:val="none" w:sz="0" w:space="0" w:color="auto"/>
                <w:left w:val="none" w:sz="0" w:space="0" w:color="auto"/>
                <w:bottom w:val="none" w:sz="0" w:space="0" w:color="auto"/>
                <w:right w:val="none" w:sz="0" w:space="0" w:color="auto"/>
              </w:divBdr>
            </w:div>
          </w:divsChild>
        </w:div>
        <w:div w:id="1658879203">
          <w:marLeft w:val="0"/>
          <w:marRight w:val="0"/>
          <w:marTop w:val="0"/>
          <w:marBottom w:val="0"/>
          <w:divBdr>
            <w:top w:val="none" w:sz="0" w:space="0" w:color="auto"/>
            <w:left w:val="none" w:sz="0" w:space="0" w:color="auto"/>
            <w:bottom w:val="none" w:sz="0" w:space="0" w:color="auto"/>
            <w:right w:val="none" w:sz="0" w:space="0" w:color="auto"/>
          </w:divBdr>
          <w:divsChild>
            <w:div w:id="1358432930">
              <w:marLeft w:val="0"/>
              <w:marRight w:val="0"/>
              <w:marTop w:val="0"/>
              <w:marBottom w:val="0"/>
              <w:divBdr>
                <w:top w:val="none" w:sz="0" w:space="0" w:color="auto"/>
                <w:left w:val="none" w:sz="0" w:space="0" w:color="auto"/>
                <w:bottom w:val="none" w:sz="0" w:space="0" w:color="auto"/>
                <w:right w:val="none" w:sz="0" w:space="0" w:color="auto"/>
              </w:divBdr>
            </w:div>
          </w:divsChild>
        </w:div>
        <w:div w:id="1673871919">
          <w:marLeft w:val="0"/>
          <w:marRight w:val="0"/>
          <w:marTop w:val="0"/>
          <w:marBottom w:val="0"/>
          <w:divBdr>
            <w:top w:val="none" w:sz="0" w:space="0" w:color="auto"/>
            <w:left w:val="none" w:sz="0" w:space="0" w:color="auto"/>
            <w:bottom w:val="none" w:sz="0" w:space="0" w:color="auto"/>
            <w:right w:val="none" w:sz="0" w:space="0" w:color="auto"/>
          </w:divBdr>
          <w:divsChild>
            <w:div w:id="1695421497">
              <w:marLeft w:val="0"/>
              <w:marRight w:val="0"/>
              <w:marTop w:val="0"/>
              <w:marBottom w:val="0"/>
              <w:divBdr>
                <w:top w:val="none" w:sz="0" w:space="0" w:color="auto"/>
                <w:left w:val="none" w:sz="0" w:space="0" w:color="auto"/>
                <w:bottom w:val="none" w:sz="0" w:space="0" w:color="auto"/>
                <w:right w:val="none" w:sz="0" w:space="0" w:color="auto"/>
              </w:divBdr>
            </w:div>
          </w:divsChild>
        </w:div>
        <w:div w:id="1684356498">
          <w:marLeft w:val="0"/>
          <w:marRight w:val="0"/>
          <w:marTop w:val="0"/>
          <w:marBottom w:val="0"/>
          <w:divBdr>
            <w:top w:val="none" w:sz="0" w:space="0" w:color="auto"/>
            <w:left w:val="none" w:sz="0" w:space="0" w:color="auto"/>
            <w:bottom w:val="none" w:sz="0" w:space="0" w:color="auto"/>
            <w:right w:val="none" w:sz="0" w:space="0" w:color="auto"/>
          </w:divBdr>
          <w:divsChild>
            <w:div w:id="504828418">
              <w:marLeft w:val="0"/>
              <w:marRight w:val="0"/>
              <w:marTop w:val="0"/>
              <w:marBottom w:val="0"/>
              <w:divBdr>
                <w:top w:val="none" w:sz="0" w:space="0" w:color="auto"/>
                <w:left w:val="none" w:sz="0" w:space="0" w:color="auto"/>
                <w:bottom w:val="none" w:sz="0" w:space="0" w:color="auto"/>
                <w:right w:val="none" w:sz="0" w:space="0" w:color="auto"/>
              </w:divBdr>
            </w:div>
          </w:divsChild>
        </w:div>
        <w:div w:id="1693341698">
          <w:marLeft w:val="0"/>
          <w:marRight w:val="0"/>
          <w:marTop w:val="0"/>
          <w:marBottom w:val="0"/>
          <w:divBdr>
            <w:top w:val="none" w:sz="0" w:space="0" w:color="auto"/>
            <w:left w:val="none" w:sz="0" w:space="0" w:color="auto"/>
            <w:bottom w:val="none" w:sz="0" w:space="0" w:color="auto"/>
            <w:right w:val="none" w:sz="0" w:space="0" w:color="auto"/>
          </w:divBdr>
          <w:divsChild>
            <w:div w:id="967273098">
              <w:marLeft w:val="0"/>
              <w:marRight w:val="0"/>
              <w:marTop w:val="0"/>
              <w:marBottom w:val="0"/>
              <w:divBdr>
                <w:top w:val="none" w:sz="0" w:space="0" w:color="auto"/>
                <w:left w:val="none" w:sz="0" w:space="0" w:color="auto"/>
                <w:bottom w:val="none" w:sz="0" w:space="0" w:color="auto"/>
                <w:right w:val="none" w:sz="0" w:space="0" w:color="auto"/>
              </w:divBdr>
            </w:div>
          </w:divsChild>
        </w:div>
        <w:div w:id="1791244882">
          <w:marLeft w:val="0"/>
          <w:marRight w:val="0"/>
          <w:marTop w:val="0"/>
          <w:marBottom w:val="0"/>
          <w:divBdr>
            <w:top w:val="none" w:sz="0" w:space="0" w:color="auto"/>
            <w:left w:val="none" w:sz="0" w:space="0" w:color="auto"/>
            <w:bottom w:val="none" w:sz="0" w:space="0" w:color="auto"/>
            <w:right w:val="none" w:sz="0" w:space="0" w:color="auto"/>
          </w:divBdr>
          <w:divsChild>
            <w:div w:id="1710182468">
              <w:marLeft w:val="0"/>
              <w:marRight w:val="0"/>
              <w:marTop w:val="0"/>
              <w:marBottom w:val="0"/>
              <w:divBdr>
                <w:top w:val="none" w:sz="0" w:space="0" w:color="auto"/>
                <w:left w:val="none" w:sz="0" w:space="0" w:color="auto"/>
                <w:bottom w:val="none" w:sz="0" w:space="0" w:color="auto"/>
                <w:right w:val="none" w:sz="0" w:space="0" w:color="auto"/>
              </w:divBdr>
            </w:div>
          </w:divsChild>
        </w:div>
        <w:div w:id="1854492806">
          <w:marLeft w:val="0"/>
          <w:marRight w:val="0"/>
          <w:marTop w:val="0"/>
          <w:marBottom w:val="0"/>
          <w:divBdr>
            <w:top w:val="none" w:sz="0" w:space="0" w:color="auto"/>
            <w:left w:val="none" w:sz="0" w:space="0" w:color="auto"/>
            <w:bottom w:val="none" w:sz="0" w:space="0" w:color="auto"/>
            <w:right w:val="none" w:sz="0" w:space="0" w:color="auto"/>
          </w:divBdr>
          <w:divsChild>
            <w:div w:id="368915522">
              <w:marLeft w:val="0"/>
              <w:marRight w:val="0"/>
              <w:marTop w:val="0"/>
              <w:marBottom w:val="0"/>
              <w:divBdr>
                <w:top w:val="none" w:sz="0" w:space="0" w:color="auto"/>
                <w:left w:val="none" w:sz="0" w:space="0" w:color="auto"/>
                <w:bottom w:val="none" w:sz="0" w:space="0" w:color="auto"/>
                <w:right w:val="none" w:sz="0" w:space="0" w:color="auto"/>
              </w:divBdr>
            </w:div>
          </w:divsChild>
        </w:div>
        <w:div w:id="1913542126">
          <w:marLeft w:val="0"/>
          <w:marRight w:val="0"/>
          <w:marTop w:val="0"/>
          <w:marBottom w:val="0"/>
          <w:divBdr>
            <w:top w:val="none" w:sz="0" w:space="0" w:color="auto"/>
            <w:left w:val="none" w:sz="0" w:space="0" w:color="auto"/>
            <w:bottom w:val="none" w:sz="0" w:space="0" w:color="auto"/>
            <w:right w:val="none" w:sz="0" w:space="0" w:color="auto"/>
          </w:divBdr>
          <w:divsChild>
            <w:div w:id="411006460">
              <w:marLeft w:val="0"/>
              <w:marRight w:val="0"/>
              <w:marTop w:val="0"/>
              <w:marBottom w:val="0"/>
              <w:divBdr>
                <w:top w:val="none" w:sz="0" w:space="0" w:color="auto"/>
                <w:left w:val="none" w:sz="0" w:space="0" w:color="auto"/>
                <w:bottom w:val="none" w:sz="0" w:space="0" w:color="auto"/>
                <w:right w:val="none" w:sz="0" w:space="0" w:color="auto"/>
              </w:divBdr>
            </w:div>
          </w:divsChild>
        </w:div>
        <w:div w:id="2123575670">
          <w:marLeft w:val="0"/>
          <w:marRight w:val="0"/>
          <w:marTop w:val="0"/>
          <w:marBottom w:val="0"/>
          <w:divBdr>
            <w:top w:val="none" w:sz="0" w:space="0" w:color="auto"/>
            <w:left w:val="none" w:sz="0" w:space="0" w:color="auto"/>
            <w:bottom w:val="none" w:sz="0" w:space="0" w:color="auto"/>
            <w:right w:val="none" w:sz="0" w:space="0" w:color="auto"/>
          </w:divBdr>
          <w:divsChild>
            <w:div w:id="90375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96810">
      <w:bodyDiv w:val="1"/>
      <w:marLeft w:val="0"/>
      <w:marRight w:val="0"/>
      <w:marTop w:val="0"/>
      <w:marBottom w:val="0"/>
      <w:divBdr>
        <w:top w:val="none" w:sz="0" w:space="0" w:color="auto"/>
        <w:left w:val="none" w:sz="0" w:space="0" w:color="auto"/>
        <w:bottom w:val="none" w:sz="0" w:space="0" w:color="auto"/>
        <w:right w:val="none" w:sz="0" w:space="0" w:color="auto"/>
      </w:divBdr>
    </w:div>
    <w:div w:id="1130245705">
      <w:bodyDiv w:val="1"/>
      <w:marLeft w:val="0"/>
      <w:marRight w:val="0"/>
      <w:marTop w:val="0"/>
      <w:marBottom w:val="0"/>
      <w:divBdr>
        <w:top w:val="none" w:sz="0" w:space="0" w:color="auto"/>
        <w:left w:val="none" w:sz="0" w:space="0" w:color="auto"/>
        <w:bottom w:val="none" w:sz="0" w:space="0" w:color="auto"/>
        <w:right w:val="none" w:sz="0" w:space="0" w:color="auto"/>
      </w:divBdr>
      <w:divsChild>
        <w:div w:id="155077415">
          <w:marLeft w:val="0"/>
          <w:marRight w:val="0"/>
          <w:marTop w:val="0"/>
          <w:marBottom w:val="0"/>
          <w:divBdr>
            <w:top w:val="none" w:sz="0" w:space="0" w:color="auto"/>
            <w:left w:val="none" w:sz="0" w:space="0" w:color="auto"/>
            <w:bottom w:val="none" w:sz="0" w:space="0" w:color="auto"/>
            <w:right w:val="none" w:sz="0" w:space="0" w:color="auto"/>
          </w:divBdr>
          <w:divsChild>
            <w:div w:id="816722714">
              <w:marLeft w:val="0"/>
              <w:marRight w:val="0"/>
              <w:marTop w:val="0"/>
              <w:marBottom w:val="0"/>
              <w:divBdr>
                <w:top w:val="none" w:sz="0" w:space="0" w:color="auto"/>
                <w:left w:val="none" w:sz="0" w:space="0" w:color="auto"/>
                <w:bottom w:val="none" w:sz="0" w:space="0" w:color="auto"/>
                <w:right w:val="none" w:sz="0" w:space="0" w:color="auto"/>
              </w:divBdr>
            </w:div>
          </w:divsChild>
        </w:div>
        <w:div w:id="192966345">
          <w:marLeft w:val="0"/>
          <w:marRight w:val="0"/>
          <w:marTop w:val="0"/>
          <w:marBottom w:val="0"/>
          <w:divBdr>
            <w:top w:val="none" w:sz="0" w:space="0" w:color="auto"/>
            <w:left w:val="none" w:sz="0" w:space="0" w:color="auto"/>
            <w:bottom w:val="none" w:sz="0" w:space="0" w:color="auto"/>
            <w:right w:val="none" w:sz="0" w:space="0" w:color="auto"/>
          </w:divBdr>
          <w:divsChild>
            <w:div w:id="73088665">
              <w:marLeft w:val="0"/>
              <w:marRight w:val="0"/>
              <w:marTop w:val="0"/>
              <w:marBottom w:val="0"/>
              <w:divBdr>
                <w:top w:val="none" w:sz="0" w:space="0" w:color="auto"/>
                <w:left w:val="none" w:sz="0" w:space="0" w:color="auto"/>
                <w:bottom w:val="none" w:sz="0" w:space="0" w:color="auto"/>
                <w:right w:val="none" w:sz="0" w:space="0" w:color="auto"/>
              </w:divBdr>
            </w:div>
            <w:div w:id="1467506398">
              <w:marLeft w:val="0"/>
              <w:marRight w:val="0"/>
              <w:marTop w:val="0"/>
              <w:marBottom w:val="0"/>
              <w:divBdr>
                <w:top w:val="none" w:sz="0" w:space="0" w:color="auto"/>
                <w:left w:val="none" w:sz="0" w:space="0" w:color="auto"/>
                <w:bottom w:val="none" w:sz="0" w:space="0" w:color="auto"/>
                <w:right w:val="none" w:sz="0" w:space="0" w:color="auto"/>
              </w:divBdr>
            </w:div>
          </w:divsChild>
        </w:div>
        <w:div w:id="242686756">
          <w:marLeft w:val="0"/>
          <w:marRight w:val="0"/>
          <w:marTop w:val="0"/>
          <w:marBottom w:val="0"/>
          <w:divBdr>
            <w:top w:val="none" w:sz="0" w:space="0" w:color="auto"/>
            <w:left w:val="none" w:sz="0" w:space="0" w:color="auto"/>
            <w:bottom w:val="none" w:sz="0" w:space="0" w:color="auto"/>
            <w:right w:val="none" w:sz="0" w:space="0" w:color="auto"/>
          </w:divBdr>
          <w:divsChild>
            <w:div w:id="800423735">
              <w:marLeft w:val="0"/>
              <w:marRight w:val="0"/>
              <w:marTop w:val="0"/>
              <w:marBottom w:val="0"/>
              <w:divBdr>
                <w:top w:val="none" w:sz="0" w:space="0" w:color="auto"/>
                <w:left w:val="none" w:sz="0" w:space="0" w:color="auto"/>
                <w:bottom w:val="none" w:sz="0" w:space="0" w:color="auto"/>
                <w:right w:val="none" w:sz="0" w:space="0" w:color="auto"/>
              </w:divBdr>
            </w:div>
          </w:divsChild>
        </w:div>
        <w:div w:id="298995476">
          <w:marLeft w:val="0"/>
          <w:marRight w:val="0"/>
          <w:marTop w:val="0"/>
          <w:marBottom w:val="0"/>
          <w:divBdr>
            <w:top w:val="none" w:sz="0" w:space="0" w:color="auto"/>
            <w:left w:val="none" w:sz="0" w:space="0" w:color="auto"/>
            <w:bottom w:val="none" w:sz="0" w:space="0" w:color="auto"/>
            <w:right w:val="none" w:sz="0" w:space="0" w:color="auto"/>
          </w:divBdr>
          <w:divsChild>
            <w:div w:id="714234276">
              <w:marLeft w:val="0"/>
              <w:marRight w:val="0"/>
              <w:marTop w:val="0"/>
              <w:marBottom w:val="0"/>
              <w:divBdr>
                <w:top w:val="none" w:sz="0" w:space="0" w:color="auto"/>
                <w:left w:val="none" w:sz="0" w:space="0" w:color="auto"/>
                <w:bottom w:val="none" w:sz="0" w:space="0" w:color="auto"/>
                <w:right w:val="none" w:sz="0" w:space="0" w:color="auto"/>
              </w:divBdr>
            </w:div>
            <w:div w:id="1215966435">
              <w:marLeft w:val="0"/>
              <w:marRight w:val="0"/>
              <w:marTop w:val="0"/>
              <w:marBottom w:val="0"/>
              <w:divBdr>
                <w:top w:val="none" w:sz="0" w:space="0" w:color="auto"/>
                <w:left w:val="none" w:sz="0" w:space="0" w:color="auto"/>
                <w:bottom w:val="none" w:sz="0" w:space="0" w:color="auto"/>
                <w:right w:val="none" w:sz="0" w:space="0" w:color="auto"/>
              </w:divBdr>
            </w:div>
            <w:div w:id="1586766298">
              <w:marLeft w:val="0"/>
              <w:marRight w:val="0"/>
              <w:marTop w:val="0"/>
              <w:marBottom w:val="0"/>
              <w:divBdr>
                <w:top w:val="none" w:sz="0" w:space="0" w:color="auto"/>
                <w:left w:val="none" w:sz="0" w:space="0" w:color="auto"/>
                <w:bottom w:val="none" w:sz="0" w:space="0" w:color="auto"/>
                <w:right w:val="none" w:sz="0" w:space="0" w:color="auto"/>
              </w:divBdr>
            </w:div>
            <w:div w:id="1982803884">
              <w:marLeft w:val="0"/>
              <w:marRight w:val="0"/>
              <w:marTop w:val="0"/>
              <w:marBottom w:val="0"/>
              <w:divBdr>
                <w:top w:val="none" w:sz="0" w:space="0" w:color="auto"/>
                <w:left w:val="none" w:sz="0" w:space="0" w:color="auto"/>
                <w:bottom w:val="none" w:sz="0" w:space="0" w:color="auto"/>
                <w:right w:val="none" w:sz="0" w:space="0" w:color="auto"/>
              </w:divBdr>
            </w:div>
            <w:div w:id="2103063445">
              <w:marLeft w:val="0"/>
              <w:marRight w:val="0"/>
              <w:marTop w:val="0"/>
              <w:marBottom w:val="0"/>
              <w:divBdr>
                <w:top w:val="none" w:sz="0" w:space="0" w:color="auto"/>
                <w:left w:val="none" w:sz="0" w:space="0" w:color="auto"/>
                <w:bottom w:val="none" w:sz="0" w:space="0" w:color="auto"/>
                <w:right w:val="none" w:sz="0" w:space="0" w:color="auto"/>
              </w:divBdr>
            </w:div>
          </w:divsChild>
        </w:div>
        <w:div w:id="331953584">
          <w:marLeft w:val="0"/>
          <w:marRight w:val="0"/>
          <w:marTop w:val="0"/>
          <w:marBottom w:val="0"/>
          <w:divBdr>
            <w:top w:val="none" w:sz="0" w:space="0" w:color="auto"/>
            <w:left w:val="none" w:sz="0" w:space="0" w:color="auto"/>
            <w:bottom w:val="none" w:sz="0" w:space="0" w:color="auto"/>
            <w:right w:val="none" w:sz="0" w:space="0" w:color="auto"/>
          </w:divBdr>
          <w:divsChild>
            <w:div w:id="7295099">
              <w:marLeft w:val="0"/>
              <w:marRight w:val="0"/>
              <w:marTop w:val="0"/>
              <w:marBottom w:val="0"/>
              <w:divBdr>
                <w:top w:val="none" w:sz="0" w:space="0" w:color="auto"/>
                <w:left w:val="none" w:sz="0" w:space="0" w:color="auto"/>
                <w:bottom w:val="none" w:sz="0" w:space="0" w:color="auto"/>
                <w:right w:val="none" w:sz="0" w:space="0" w:color="auto"/>
              </w:divBdr>
            </w:div>
            <w:div w:id="336662915">
              <w:marLeft w:val="0"/>
              <w:marRight w:val="0"/>
              <w:marTop w:val="0"/>
              <w:marBottom w:val="0"/>
              <w:divBdr>
                <w:top w:val="none" w:sz="0" w:space="0" w:color="auto"/>
                <w:left w:val="none" w:sz="0" w:space="0" w:color="auto"/>
                <w:bottom w:val="none" w:sz="0" w:space="0" w:color="auto"/>
                <w:right w:val="none" w:sz="0" w:space="0" w:color="auto"/>
              </w:divBdr>
            </w:div>
            <w:div w:id="733505708">
              <w:marLeft w:val="0"/>
              <w:marRight w:val="0"/>
              <w:marTop w:val="0"/>
              <w:marBottom w:val="0"/>
              <w:divBdr>
                <w:top w:val="none" w:sz="0" w:space="0" w:color="auto"/>
                <w:left w:val="none" w:sz="0" w:space="0" w:color="auto"/>
                <w:bottom w:val="none" w:sz="0" w:space="0" w:color="auto"/>
                <w:right w:val="none" w:sz="0" w:space="0" w:color="auto"/>
              </w:divBdr>
            </w:div>
            <w:div w:id="881744969">
              <w:marLeft w:val="0"/>
              <w:marRight w:val="0"/>
              <w:marTop w:val="0"/>
              <w:marBottom w:val="0"/>
              <w:divBdr>
                <w:top w:val="none" w:sz="0" w:space="0" w:color="auto"/>
                <w:left w:val="none" w:sz="0" w:space="0" w:color="auto"/>
                <w:bottom w:val="none" w:sz="0" w:space="0" w:color="auto"/>
                <w:right w:val="none" w:sz="0" w:space="0" w:color="auto"/>
              </w:divBdr>
            </w:div>
            <w:div w:id="1597978918">
              <w:marLeft w:val="0"/>
              <w:marRight w:val="0"/>
              <w:marTop w:val="0"/>
              <w:marBottom w:val="0"/>
              <w:divBdr>
                <w:top w:val="none" w:sz="0" w:space="0" w:color="auto"/>
                <w:left w:val="none" w:sz="0" w:space="0" w:color="auto"/>
                <w:bottom w:val="none" w:sz="0" w:space="0" w:color="auto"/>
                <w:right w:val="none" w:sz="0" w:space="0" w:color="auto"/>
              </w:divBdr>
            </w:div>
            <w:div w:id="1864854720">
              <w:marLeft w:val="0"/>
              <w:marRight w:val="0"/>
              <w:marTop w:val="0"/>
              <w:marBottom w:val="0"/>
              <w:divBdr>
                <w:top w:val="none" w:sz="0" w:space="0" w:color="auto"/>
                <w:left w:val="none" w:sz="0" w:space="0" w:color="auto"/>
                <w:bottom w:val="none" w:sz="0" w:space="0" w:color="auto"/>
                <w:right w:val="none" w:sz="0" w:space="0" w:color="auto"/>
              </w:divBdr>
            </w:div>
            <w:div w:id="1993440021">
              <w:marLeft w:val="0"/>
              <w:marRight w:val="0"/>
              <w:marTop w:val="0"/>
              <w:marBottom w:val="0"/>
              <w:divBdr>
                <w:top w:val="none" w:sz="0" w:space="0" w:color="auto"/>
                <w:left w:val="none" w:sz="0" w:space="0" w:color="auto"/>
                <w:bottom w:val="none" w:sz="0" w:space="0" w:color="auto"/>
                <w:right w:val="none" w:sz="0" w:space="0" w:color="auto"/>
              </w:divBdr>
            </w:div>
          </w:divsChild>
        </w:div>
        <w:div w:id="367491384">
          <w:marLeft w:val="0"/>
          <w:marRight w:val="0"/>
          <w:marTop w:val="0"/>
          <w:marBottom w:val="0"/>
          <w:divBdr>
            <w:top w:val="none" w:sz="0" w:space="0" w:color="auto"/>
            <w:left w:val="none" w:sz="0" w:space="0" w:color="auto"/>
            <w:bottom w:val="none" w:sz="0" w:space="0" w:color="auto"/>
            <w:right w:val="none" w:sz="0" w:space="0" w:color="auto"/>
          </w:divBdr>
          <w:divsChild>
            <w:div w:id="1535340259">
              <w:marLeft w:val="0"/>
              <w:marRight w:val="0"/>
              <w:marTop w:val="0"/>
              <w:marBottom w:val="0"/>
              <w:divBdr>
                <w:top w:val="none" w:sz="0" w:space="0" w:color="auto"/>
                <w:left w:val="none" w:sz="0" w:space="0" w:color="auto"/>
                <w:bottom w:val="none" w:sz="0" w:space="0" w:color="auto"/>
                <w:right w:val="none" w:sz="0" w:space="0" w:color="auto"/>
              </w:divBdr>
            </w:div>
          </w:divsChild>
        </w:div>
        <w:div w:id="415442396">
          <w:marLeft w:val="0"/>
          <w:marRight w:val="0"/>
          <w:marTop w:val="0"/>
          <w:marBottom w:val="0"/>
          <w:divBdr>
            <w:top w:val="none" w:sz="0" w:space="0" w:color="auto"/>
            <w:left w:val="none" w:sz="0" w:space="0" w:color="auto"/>
            <w:bottom w:val="none" w:sz="0" w:space="0" w:color="auto"/>
            <w:right w:val="none" w:sz="0" w:space="0" w:color="auto"/>
          </w:divBdr>
          <w:divsChild>
            <w:div w:id="510878929">
              <w:marLeft w:val="0"/>
              <w:marRight w:val="0"/>
              <w:marTop w:val="0"/>
              <w:marBottom w:val="0"/>
              <w:divBdr>
                <w:top w:val="none" w:sz="0" w:space="0" w:color="auto"/>
                <w:left w:val="none" w:sz="0" w:space="0" w:color="auto"/>
                <w:bottom w:val="none" w:sz="0" w:space="0" w:color="auto"/>
                <w:right w:val="none" w:sz="0" w:space="0" w:color="auto"/>
              </w:divBdr>
            </w:div>
            <w:div w:id="1536119451">
              <w:marLeft w:val="0"/>
              <w:marRight w:val="0"/>
              <w:marTop w:val="0"/>
              <w:marBottom w:val="0"/>
              <w:divBdr>
                <w:top w:val="none" w:sz="0" w:space="0" w:color="auto"/>
                <w:left w:val="none" w:sz="0" w:space="0" w:color="auto"/>
                <w:bottom w:val="none" w:sz="0" w:space="0" w:color="auto"/>
                <w:right w:val="none" w:sz="0" w:space="0" w:color="auto"/>
              </w:divBdr>
            </w:div>
          </w:divsChild>
        </w:div>
        <w:div w:id="1161578317">
          <w:marLeft w:val="0"/>
          <w:marRight w:val="0"/>
          <w:marTop w:val="0"/>
          <w:marBottom w:val="0"/>
          <w:divBdr>
            <w:top w:val="none" w:sz="0" w:space="0" w:color="auto"/>
            <w:left w:val="none" w:sz="0" w:space="0" w:color="auto"/>
            <w:bottom w:val="none" w:sz="0" w:space="0" w:color="auto"/>
            <w:right w:val="none" w:sz="0" w:space="0" w:color="auto"/>
          </w:divBdr>
          <w:divsChild>
            <w:div w:id="1144202868">
              <w:marLeft w:val="0"/>
              <w:marRight w:val="0"/>
              <w:marTop w:val="0"/>
              <w:marBottom w:val="0"/>
              <w:divBdr>
                <w:top w:val="none" w:sz="0" w:space="0" w:color="auto"/>
                <w:left w:val="none" w:sz="0" w:space="0" w:color="auto"/>
                <w:bottom w:val="none" w:sz="0" w:space="0" w:color="auto"/>
                <w:right w:val="none" w:sz="0" w:space="0" w:color="auto"/>
              </w:divBdr>
            </w:div>
          </w:divsChild>
        </w:div>
        <w:div w:id="1479110297">
          <w:marLeft w:val="0"/>
          <w:marRight w:val="0"/>
          <w:marTop w:val="0"/>
          <w:marBottom w:val="0"/>
          <w:divBdr>
            <w:top w:val="none" w:sz="0" w:space="0" w:color="auto"/>
            <w:left w:val="none" w:sz="0" w:space="0" w:color="auto"/>
            <w:bottom w:val="none" w:sz="0" w:space="0" w:color="auto"/>
            <w:right w:val="none" w:sz="0" w:space="0" w:color="auto"/>
          </w:divBdr>
          <w:divsChild>
            <w:div w:id="405343919">
              <w:marLeft w:val="0"/>
              <w:marRight w:val="0"/>
              <w:marTop w:val="0"/>
              <w:marBottom w:val="0"/>
              <w:divBdr>
                <w:top w:val="none" w:sz="0" w:space="0" w:color="auto"/>
                <w:left w:val="none" w:sz="0" w:space="0" w:color="auto"/>
                <w:bottom w:val="none" w:sz="0" w:space="0" w:color="auto"/>
                <w:right w:val="none" w:sz="0" w:space="0" w:color="auto"/>
              </w:divBdr>
            </w:div>
            <w:div w:id="1136292025">
              <w:marLeft w:val="0"/>
              <w:marRight w:val="0"/>
              <w:marTop w:val="0"/>
              <w:marBottom w:val="0"/>
              <w:divBdr>
                <w:top w:val="none" w:sz="0" w:space="0" w:color="auto"/>
                <w:left w:val="none" w:sz="0" w:space="0" w:color="auto"/>
                <w:bottom w:val="none" w:sz="0" w:space="0" w:color="auto"/>
                <w:right w:val="none" w:sz="0" w:space="0" w:color="auto"/>
              </w:divBdr>
            </w:div>
          </w:divsChild>
        </w:div>
        <w:div w:id="1839535016">
          <w:marLeft w:val="0"/>
          <w:marRight w:val="0"/>
          <w:marTop w:val="0"/>
          <w:marBottom w:val="0"/>
          <w:divBdr>
            <w:top w:val="none" w:sz="0" w:space="0" w:color="auto"/>
            <w:left w:val="none" w:sz="0" w:space="0" w:color="auto"/>
            <w:bottom w:val="none" w:sz="0" w:space="0" w:color="auto"/>
            <w:right w:val="none" w:sz="0" w:space="0" w:color="auto"/>
          </w:divBdr>
          <w:divsChild>
            <w:div w:id="2076077193">
              <w:marLeft w:val="0"/>
              <w:marRight w:val="0"/>
              <w:marTop w:val="0"/>
              <w:marBottom w:val="0"/>
              <w:divBdr>
                <w:top w:val="none" w:sz="0" w:space="0" w:color="auto"/>
                <w:left w:val="none" w:sz="0" w:space="0" w:color="auto"/>
                <w:bottom w:val="none" w:sz="0" w:space="0" w:color="auto"/>
                <w:right w:val="none" w:sz="0" w:space="0" w:color="auto"/>
              </w:divBdr>
            </w:div>
          </w:divsChild>
        </w:div>
        <w:div w:id="1879929079">
          <w:marLeft w:val="0"/>
          <w:marRight w:val="0"/>
          <w:marTop w:val="0"/>
          <w:marBottom w:val="0"/>
          <w:divBdr>
            <w:top w:val="none" w:sz="0" w:space="0" w:color="auto"/>
            <w:left w:val="none" w:sz="0" w:space="0" w:color="auto"/>
            <w:bottom w:val="none" w:sz="0" w:space="0" w:color="auto"/>
            <w:right w:val="none" w:sz="0" w:space="0" w:color="auto"/>
          </w:divBdr>
          <w:divsChild>
            <w:div w:id="20014564">
              <w:marLeft w:val="0"/>
              <w:marRight w:val="0"/>
              <w:marTop w:val="0"/>
              <w:marBottom w:val="0"/>
              <w:divBdr>
                <w:top w:val="none" w:sz="0" w:space="0" w:color="auto"/>
                <w:left w:val="none" w:sz="0" w:space="0" w:color="auto"/>
                <w:bottom w:val="none" w:sz="0" w:space="0" w:color="auto"/>
                <w:right w:val="none" w:sz="0" w:space="0" w:color="auto"/>
              </w:divBdr>
            </w:div>
            <w:div w:id="95491108">
              <w:marLeft w:val="0"/>
              <w:marRight w:val="0"/>
              <w:marTop w:val="0"/>
              <w:marBottom w:val="0"/>
              <w:divBdr>
                <w:top w:val="none" w:sz="0" w:space="0" w:color="auto"/>
                <w:left w:val="none" w:sz="0" w:space="0" w:color="auto"/>
                <w:bottom w:val="none" w:sz="0" w:space="0" w:color="auto"/>
                <w:right w:val="none" w:sz="0" w:space="0" w:color="auto"/>
              </w:divBdr>
            </w:div>
            <w:div w:id="1006709235">
              <w:marLeft w:val="0"/>
              <w:marRight w:val="0"/>
              <w:marTop w:val="0"/>
              <w:marBottom w:val="0"/>
              <w:divBdr>
                <w:top w:val="none" w:sz="0" w:space="0" w:color="auto"/>
                <w:left w:val="none" w:sz="0" w:space="0" w:color="auto"/>
                <w:bottom w:val="none" w:sz="0" w:space="0" w:color="auto"/>
                <w:right w:val="none" w:sz="0" w:space="0" w:color="auto"/>
              </w:divBdr>
            </w:div>
          </w:divsChild>
        </w:div>
        <w:div w:id="1897664554">
          <w:marLeft w:val="0"/>
          <w:marRight w:val="0"/>
          <w:marTop w:val="0"/>
          <w:marBottom w:val="0"/>
          <w:divBdr>
            <w:top w:val="none" w:sz="0" w:space="0" w:color="auto"/>
            <w:left w:val="none" w:sz="0" w:space="0" w:color="auto"/>
            <w:bottom w:val="none" w:sz="0" w:space="0" w:color="auto"/>
            <w:right w:val="none" w:sz="0" w:space="0" w:color="auto"/>
          </w:divBdr>
          <w:divsChild>
            <w:div w:id="563024171">
              <w:marLeft w:val="0"/>
              <w:marRight w:val="0"/>
              <w:marTop w:val="0"/>
              <w:marBottom w:val="0"/>
              <w:divBdr>
                <w:top w:val="none" w:sz="0" w:space="0" w:color="auto"/>
                <w:left w:val="none" w:sz="0" w:space="0" w:color="auto"/>
                <w:bottom w:val="none" w:sz="0" w:space="0" w:color="auto"/>
                <w:right w:val="none" w:sz="0" w:space="0" w:color="auto"/>
              </w:divBdr>
            </w:div>
            <w:div w:id="596058293">
              <w:marLeft w:val="0"/>
              <w:marRight w:val="0"/>
              <w:marTop w:val="0"/>
              <w:marBottom w:val="0"/>
              <w:divBdr>
                <w:top w:val="none" w:sz="0" w:space="0" w:color="auto"/>
                <w:left w:val="none" w:sz="0" w:space="0" w:color="auto"/>
                <w:bottom w:val="none" w:sz="0" w:space="0" w:color="auto"/>
                <w:right w:val="none" w:sz="0" w:space="0" w:color="auto"/>
              </w:divBdr>
            </w:div>
            <w:div w:id="683090511">
              <w:marLeft w:val="0"/>
              <w:marRight w:val="0"/>
              <w:marTop w:val="0"/>
              <w:marBottom w:val="0"/>
              <w:divBdr>
                <w:top w:val="none" w:sz="0" w:space="0" w:color="auto"/>
                <w:left w:val="none" w:sz="0" w:space="0" w:color="auto"/>
                <w:bottom w:val="none" w:sz="0" w:space="0" w:color="auto"/>
                <w:right w:val="none" w:sz="0" w:space="0" w:color="auto"/>
              </w:divBdr>
            </w:div>
            <w:div w:id="902905660">
              <w:marLeft w:val="0"/>
              <w:marRight w:val="0"/>
              <w:marTop w:val="0"/>
              <w:marBottom w:val="0"/>
              <w:divBdr>
                <w:top w:val="none" w:sz="0" w:space="0" w:color="auto"/>
                <w:left w:val="none" w:sz="0" w:space="0" w:color="auto"/>
                <w:bottom w:val="none" w:sz="0" w:space="0" w:color="auto"/>
                <w:right w:val="none" w:sz="0" w:space="0" w:color="auto"/>
              </w:divBdr>
            </w:div>
            <w:div w:id="1008798015">
              <w:marLeft w:val="0"/>
              <w:marRight w:val="0"/>
              <w:marTop w:val="0"/>
              <w:marBottom w:val="0"/>
              <w:divBdr>
                <w:top w:val="none" w:sz="0" w:space="0" w:color="auto"/>
                <w:left w:val="none" w:sz="0" w:space="0" w:color="auto"/>
                <w:bottom w:val="none" w:sz="0" w:space="0" w:color="auto"/>
                <w:right w:val="none" w:sz="0" w:space="0" w:color="auto"/>
              </w:divBdr>
            </w:div>
            <w:div w:id="1190215815">
              <w:marLeft w:val="0"/>
              <w:marRight w:val="0"/>
              <w:marTop w:val="0"/>
              <w:marBottom w:val="0"/>
              <w:divBdr>
                <w:top w:val="none" w:sz="0" w:space="0" w:color="auto"/>
                <w:left w:val="none" w:sz="0" w:space="0" w:color="auto"/>
                <w:bottom w:val="none" w:sz="0" w:space="0" w:color="auto"/>
                <w:right w:val="none" w:sz="0" w:space="0" w:color="auto"/>
              </w:divBdr>
            </w:div>
            <w:div w:id="1245188554">
              <w:marLeft w:val="0"/>
              <w:marRight w:val="0"/>
              <w:marTop w:val="0"/>
              <w:marBottom w:val="0"/>
              <w:divBdr>
                <w:top w:val="none" w:sz="0" w:space="0" w:color="auto"/>
                <w:left w:val="none" w:sz="0" w:space="0" w:color="auto"/>
                <w:bottom w:val="none" w:sz="0" w:space="0" w:color="auto"/>
                <w:right w:val="none" w:sz="0" w:space="0" w:color="auto"/>
              </w:divBdr>
            </w:div>
            <w:div w:id="1264219221">
              <w:marLeft w:val="0"/>
              <w:marRight w:val="0"/>
              <w:marTop w:val="0"/>
              <w:marBottom w:val="0"/>
              <w:divBdr>
                <w:top w:val="none" w:sz="0" w:space="0" w:color="auto"/>
                <w:left w:val="none" w:sz="0" w:space="0" w:color="auto"/>
                <w:bottom w:val="none" w:sz="0" w:space="0" w:color="auto"/>
                <w:right w:val="none" w:sz="0" w:space="0" w:color="auto"/>
              </w:divBdr>
            </w:div>
            <w:div w:id="1866600363">
              <w:marLeft w:val="0"/>
              <w:marRight w:val="0"/>
              <w:marTop w:val="0"/>
              <w:marBottom w:val="0"/>
              <w:divBdr>
                <w:top w:val="none" w:sz="0" w:space="0" w:color="auto"/>
                <w:left w:val="none" w:sz="0" w:space="0" w:color="auto"/>
                <w:bottom w:val="none" w:sz="0" w:space="0" w:color="auto"/>
                <w:right w:val="none" w:sz="0" w:space="0" w:color="auto"/>
              </w:divBdr>
            </w:div>
            <w:div w:id="205226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653557">
      <w:bodyDiv w:val="1"/>
      <w:marLeft w:val="0"/>
      <w:marRight w:val="0"/>
      <w:marTop w:val="0"/>
      <w:marBottom w:val="0"/>
      <w:divBdr>
        <w:top w:val="none" w:sz="0" w:space="0" w:color="auto"/>
        <w:left w:val="none" w:sz="0" w:space="0" w:color="auto"/>
        <w:bottom w:val="none" w:sz="0" w:space="0" w:color="auto"/>
        <w:right w:val="none" w:sz="0" w:space="0" w:color="auto"/>
      </w:divBdr>
      <w:divsChild>
        <w:div w:id="76563833">
          <w:marLeft w:val="0"/>
          <w:marRight w:val="0"/>
          <w:marTop w:val="0"/>
          <w:marBottom w:val="0"/>
          <w:divBdr>
            <w:top w:val="none" w:sz="0" w:space="0" w:color="auto"/>
            <w:left w:val="none" w:sz="0" w:space="0" w:color="auto"/>
            <w:bottom w:val="none" w:sz="0" w:space="0" w:color="auto"/>
            <w:right w:val="none" w:sz="0" w:space="0" w:color="auto"/>
          </w:divBdr>
          <w:divsChild>
            <w:div w:id="1987081488">
              <w:marLeft w:val="0"/>
              <w:marRight w:val="0"/>
              <w:marTop w:val="0"/>
              <w:marBottom w:val="0"/>
              <w:divBdr>
                <w:top w:val="none" w:sz="0" w:space="0" w:color="auto"/>
                <w:left w:val="none" w:sz="0" w:space="0" w:color="auto"/>
                <w:bottom w:val="none" w:sz="0" w:space="0" w:color="auto"/>
                <w:right w:val="none" w:sz="0" w:space="0" w:color="auto"/>
              </w:divBdr>
            </w:div>
          </w:divsChild>
        </w:div>
        <w:div w:id="113793945">
          <w:marLeft w:val="0"/>
          <w:marRight w:val="0"/>
          <w:marTop w:val="0"/>
          <w:marBottom w:val="0"/>
          <w:divBdr>
            <w:top w:val="none" w:sz="0" w:space="0" w:color="auto"/>
            <w:left w:val="none" w:sz="0" w:space="0" w:color="auto"/>
            <w:bottom w:val="none" w:sz="0" w:space="0" w:color="auto"/>
            <w:right w:val="none" w:sz="0" w:space="0" w:color="auto"/>
          </w:divBdr>
          <w:divsChild>
            <w:div w:id="1663242772">
              <w:marLeft w:val="0"/>
              <w:marRight w:val="0"/>
              <w:marTop w:val="0"/>
              <w:marBottom w:val="0"/>
              <w:divBdr>
                <w:top w:val="none" w:sz="0" w:space="0" w:color="auto"/>
                <w:left w:val="none" w:sz="0" w:space="0" w:color="auto"/>
                <w:bottom w:val="none" w:sz="0" w:space="0" w:color="auto"/>
                <w:right w:val="none" w:sz="0" w:space="0" w:color="auto"/>
              </w:divBdr>
            </w:div>
          </w:divsChild>
        </w:div>
        <w:div w:id="237789971">
          <w:marLeft w:val="0"/>
          <w:marRight w:val="0"/>
          <w:marTop w:val="0"/>
          <w:marBottom w:val="0"/>
          <w:divBdr>
            <w:top w:val="none" w:sz="0" w:space="0" w:color="auto"/>
            <w:left w:val="none" w:sz="0" w:space="0" w:color="auto"/>
            <w:bottom w:val="none" w:sz="0" w:space="0" w:color="auto"/>
            <w:right w:val="none" w:sz="0" w:space="0" w:color="auto"/>
          </w:divBdr>
          <w:divsChild>
            <w:div w:id="126245061">
              <w:marLeft w:val="0"/>
              <w:marRight w:val="0"/>
              <w:marTop w:val="0"/>
              <w:marBottom w:val="0"/>
              <w:divBdr>
                <w:top w:val="none" w:sz="0" w:space="0" w:color="auto"/>
                <w:left w:val="none" w:sz="0" w:space="0" w:color="auto"/>
                <w:bottom w:val="none" w:sz="0" w:space="0" w:color="auto"/>
                <w:right w:val="none" w:sz="0" w:space="0" w:color="auto"/>
              </w:divBdr>
            </w:div>
          </w:divsChild>
        </w:div>
        <w:div w:id="290326377">
          <w:marLeft w:val="0"/>
          <w:marRight w:val="0"/>
          <w:marTop w:val="0"/>
          <w:marBottom w:val="0"/>
          <w:divBdr>
            <w:top w:val="none" w:sz="0" w:space="0" w:color="auto"/>
            <w:left w:val="none" w:sz="0" w:space="0" w:color="auto"/>
            <w:bottom w:val="none" w:sz="0" w:space="0" w:color="auto"/>
            <w:right w:val="none" w:sz="0" w:space="0" w:color="auto"/>
          </w:divBdr>
          <w:divsChild>
            <w:div w:id="412243627">
              <w:marLeft w:val="0"/>
              <w:marRight w:val="0"/>
              <w:marTop w:val="0"/>
              <w:marBottom w:val="0"/>
              <w:divBdr>
                <w:top w:val="none" w:sz="0" w:space="0" w:color="auto"/>
                <w:left w:val="none" w:sz="0" w:space="0" w:color="auto"/>
                <w:bottom w:val="none" w:sz="0" w:space="0" w:color="auto"/>
                <w:right w:val="none" w:sz="0" w:space="0" w:color="auto"/>
              </w:divBdr>
            </w:div>
          </w:divsChild>
        </w:div>
        <w:div w:id="290939254">
          <w:marLeft w:val="0"/>
          <w:marRight w:val="0"/>
          <w:marTop w:val="0"/>
          <w:marBottom w:val="0"/>
          <w:divBdr>
            <w:top w:val="none" w:sz="0" w:space="0" w:color="auto"/>
            <w:left w:val="none" w:sz="0" w:space="0" w:color="auto"/>
            <w:bottom w:val="none" w:sz="0" w:space="0" w:color="auto"/>
            <w:right w:val="none" w:sz="0" w:space="0" w:color="auto"/>
          </w:divBdr>
          <w:divsChild>
            <w:div w:id="1158888996">
              <w:marLeft w:val="0"/>
              <w:marRight w:val="0"/>
              <w:marTop w:val="0"/>
              <w:marBottom w:val="0"/>
              <w:divBdr>
                <w:top w:val="none" w:sz="0" w:space="0" w:color="auto"/>
                <w:left w:val="none" w:sz="0" w:space="0" w:color="auto"/>
                <w:bottom w:val="none" w:sz="0" w:space="0" w:color="auto"/>
                <w:right w:val="none" w:sz="0" w:space="0" w:color="auto"/>
              </w:divBdr>
            </w:div>
          </w:divsChild>
        </w:div>
        <w:div w:id="295989930">
          <w:marLeft w:val="0"/>
          <w:marRight w:val="0"/>
          <w:marTop w:val="0"/>
          <w:marBottom w:val="0"/>
          <w:divBdr>
            <w:top w:val="none" w:sz="0" w:space="0" w:color="auto"/>
            <w:left w:val="none" w:sz="0" w:space="0" w:color="auto"/>
            <w:bottom w:val="none" w:sz="0" w:space="0" w:color="auto"/>
            <w:right w:val="none" w:sz="0" w:space="0" w:color="auto"/>
          </w:divBdr>
          <w:divsChild>
            <w:div w:id="2111389861">
              <w:marLeft w:val="0"/>
              <w:marRight w:val="0"/>
              <w:marTop w:val="0"/>
              <w:marBottom w:val="0"/>
              <w:divBdr>
                <w:top w:val="none" w:sz="0" w:space="0" w:color="auto"/>
                <w:left w:val="none" w:sz="0" w:space="0" w:color="auto"/>
                <w:bottom w:val="none" w:sz="0" w:space="0" w:color="auto"/>
                <w:right w:val="none" w:sz="0" w:space="0" w:color="auto"/>
              </w:divBdr>
            </w:div>
          </w:divsChild>
        </w:div>
        <w:div w:id="319892179">
          <w:marLeft w:val="0"/>
          <w:marRight w:val="0"/>
          <w:marTop w:val="0"/>
          <w:marBottom w:val="0"/>
          <w:divBdr>
            <w:top w:val="none" w:sz="0" w:space="0" w:color="auto"/>
            <w:left w:val="none" w:sz="0" w:space="0" w:color="auto"/>
            <w:bottom w:val="none" w:sz="0" w:space="0" w:color="auto"/>
            <w:right w:val="none" w:sz="0" w:space="0" w:color="auto"/>
          </w:divBdr>
          <w:divsChild>
            <w:div w:id="159740920">
              <w:marLeft w:val="0"/>
              <w:marRight w:val="0"/>
              <w:marTop w:val="0"/>
              <w:marBottom w:val="0"/>
              <w:divBdr>
                <w:top w:val="none" w:sz="0" w:space="0" w:color="auto"/>
                <w:left w:val="none" w:sz="0" w:space="0" w:color="auto"/>
                <w:bottom w:val="none" w:sz="0" w:space="0" w:color="auto"/>
                <w:right w:val="none" w:sz="0" w:space="0" w:color="auto"/>
              </w:divBdr>
            </w:div>
          </w:divsChild>
        </w:div>
        <w:div w:id="344945822">
          <w:marLeft w:val="0"/>
          <w:marRight w:val="0"/>
          <w:marTop w:val="0"/>
          <w:marBottom w:val="0"/>
          <w:divBdr>
            <w:top w:val="none" w:sz="0" w:space="0" w:color="auto"/>
            <w:left w:val="none" w:sz="0" w:space="0" w:color="auto"/>
            <w:bottom w:val="none" w:sz="0" w:space="0" w:color="auto"/>
            <w:right w:val="none" w:sz="0" w:space="0" w:color="auto"/>
          </w:divBdr>
          <w:divsChild>
            <w:div w:id="1715695704">
              <w:marLeft w:val="0"/>
              <w:marRight w:val="0"/>
              <w:marTop w:val="0"/>
              <w:marBottom w:val="0"/>
              <w:divBdr>
                <w:top w:val="none" w:sz="0" w:space="0" w:color="auto"/>
                <w:left w:val="none" w:sz="0" w:space="0" w:color="auto"/>
                <w:bottom w:val="none" w:sz="0" w:space="0" w:color="auto"/>
                <w:right w:val="none" w:sz="0" w:space="0" w:color="auto"/>
              </w:divBdr>
            </w:div>
          </w:divsChild>
        </w:div>
        <w:div w:id="518083208">
          <w:marLeft w:val="0"/>
          <w:marRight w:val="0"/>
          <w:marTop w:val="0"/>
          <w:marBottom w:val="0"/>
          <w:divBdr>
            <w:top w:val="none" w:sz="0" w:space="0" w:color="auto"/>
            <w:left w:val="none" w:sz="0" w:space="0" w:color="auto"/>
            <w:bottom w:val="none" w:sz="0" w:space="0" w:color="auto"/>
            <w:right w:val="none" w:sz="0" w:space="0" w:color="auto"/>
          </w:divBdr>
          <w:divsChild>
            <w:div w:id="589579576">
              <w:marLeft w:val="0"/>
              <w:marRight w:val="0"/>
              <w:marTop w:val="0"/>
              <w:marBottom w:val="0"/>
              <w:divBdr>
                <w:top w:val="none" w:sz="0" w:space="0" w:color="auto"/>
                <w:left w:val="none" w:sz="0" w:space="0" w:color="auto"/>
                <w:bottom w:val="none" w:sz="0" w:space="0" w:color="auto"/>
                <w:right w:val="none" w:sz="0" w:space="0" w:color="auto"/>
              </w:divBdr>
            </w:div>
          </w:divsChild>
        </w:div>
        <w:div w:id="522479222">
          <w:marLeft w:val="0"/>
          <w:marRight w:val="0"/>
          <w:marTop w:val="0"/>
          <w:marBottom w:val="0"/>
          <w:divBdr>
            <w:top w:val="none" w:sz="0" w:space="0" w:color="auto"/>
            <w:left w:val="none" w:sz="0" w:space="0" w:color="auto"/>
            <w:bottom w:val="none" w:sz="0" w:space="0" w:color="auto"/>
            <w:right w:val="none" w:sz="0" w:space="0" w:color="auto"/>
          </w:divBdr>
          <w:divsChild>
            <w:div w:id="417867746">
              <w:marLeft w:val="0"/>
              <w:marRight w:val="0"/>
              <w:marTop w:val="0"/>
              <w:marBottom w:val="0"/>
              <w:divBdr>
                <w:top w:val="none" w:sz="0" w:space="0" w:color="auto"/>
                <w:left w:val="none" w:sz="0" w:space="0" w:color="auto"/>
                <w:bottom w:val="none" w:sz="0" w:space="0" w:color="auto"/>
                <w:right w:val="none" w:sz="0" w:space="0" w:color="auto"/>
              </w:divBdr>
            </w:div>
          </w:divsChild>
        </w:div>
        <w:div w:id="541215226">
          <w:marLeft w:val="0"/>
          <w:marRight w:val="0"/>
          <w:marTop w:val="0"/>
          <w:marBottom w:val="0"/>
          <w:divBdr>
            <w:top w:val="none" w:sz="0" w:space="0" w:color="auto"/>
            <w:left w:val="none" w:sz="0" w:space="0" w:color="auto"/>
            <w:bottom w:val="none" w:sz="0" w:space="0" w:color="auto"/>
            <w:right w:val="none" w:sz="0" w:space="0" w:color="auto"/>
          </w:divBdr>
          <w:divsChild>
            <w:div w:id="440345670">
              <w:marLeft w:val="0"/>
              <w:marRight w:val="0"/>
              <w:marTop w:val="0"/>
              <w:marBottom w:val="0"/>
              <w:divBdr>
                <w:top w:val="none" w:sz="0" w:space="0" w:color="auto"/>
                <w:left w:val="none" w:sz="0" w:space="0" w:color="auto"/>
                <w:bottom w:val="none" w:sz="0" w:space="0" w:color="auto"/>
                <w:right w:val="none" w:sz="0" w:space="0" w:color="auto"/>
              </w:divBdr>
            </w:div>
          </w:divsChild>
        </w:div>
        <w:div w:id="552348274">
          <w:marLeft w:val="0"/>
          <w:marRight w:val="0"/>
          <w:marTop w:val="0"/>
          <w:marBottom w:val="0"/>
          <w:divBdr>
            <w:top w:val="none" w:sz="0" w:space="0" w:color="auto"/>
            <w:left w:val="none" w:sz="0" w:space="0" w:color="auto"/>
            <w:bottom w:val="none" w:sz="0" w:space="0" w:color="auto"/>
            <w:right w:val="none" w:sz="0" w:space="0" w:color="auto"/>
          </w:divBdr>
          <w:divsChild>
            <w:div w:id="584072561">
              <w:marLeft w:val="0"/>
              <w:marRight w:val="0"/>
              <w:marTop w:val="0"/>
              <w:marBottom w:val="0"/>
              <w:divBdr>
                <w:top w:val="none" w:sz="0" w:space="0" w:color="auto"/>
                <w:left w:val="none" w:sz="0" w:space="0" w:color="auto"/>
                <w:bottom w:val="none" w:sz="0" w:space="0" w:color="auto"/>
                <w:right w:val="none" w:sz="0" w:space="0" w:color="auto"/>
              </w:divBdr>
            </w:div>
          </w:divsChild>
        </w:div>
        <w:div w:id="1011376399">
          <w:marLeft w:val="0"/>
          <w:marRight w:val="0"/>
          <w:marTop w:val="0"/>
          <w:marBottom w:val="0"/>
          <w:divBdr>
            <w:top w:val="none" w:sz="0" w:space="0" w:color="auto"/>
            <w:left w:val="none" w:sz="0" w:space="0" w:color="auto"/>
            <w:bottom w:val="none" w:sz="0" w:space="0" w:color="auto"/>
            <w:right w:val="none" w:sz="0" w:space="0" w:color="auto"/>
          </w:divBdr>
          <w:divsChild>
            <w:div w:id="1787771536">
              <w:marLeft w:val="0"/>
              <w:marRight w:val="0"/>
              <w:marTop w:val="0"/>
              <w:marBottom w:val="0"/>
              <w:divBdr>
                <w:top w:val="none" w:sz="0" w:space="0" w:color="auto"/>
                <w:left w:val="none" w:sz="0" w:space="0" w:color="auto"/>
                <w:bottom w:val="none" w:sz="0" w:space="0" w:color="auto"/>
                <w:right w:val="none" w:sz="0" w:space="0" w:color="auto"/>
              </w:divBdr>
            </w:div>
          </w:divsChild>
        </w:div>
        <w:div w:id="1038432797">
          <w:marLeft w:val="0"/>
          <w:marRight w:val="0"/>
          <w:marTop w:val="0"/>
          <w:marBottom w:val="0"/>
          <w:divBdr>
            <w:top w:val="none" w:sz="0" w:space="0" w:color="auto"/>
            <w:left w:val="none" w:sz="0" w:space="0" w:color="auto"/>
            <w:bottom w:val="none" w:sz="0" w:space="0" w:color="auto"/>
            <w:right w:val="none" w:sz="0" w:space="0" w:color="auto"/>
          </w:divBdr>
          <w:divsChild>
            <w:div w:id="250313798">
              <w:marLeft w:val="0"/>
              <w:marRight w:val="0"/>
              <w:marTop w:val="0"/>
              <w:marBottom w:val="0"/>
              <w:divBdr>
                <w:top w:val="none" w:sz="0" w:space="0" w:color="auto"/>
                <w:left w:val="none" w:sz="0" w:space="0" w:color="auto"/>
                <w:bottom w:val="none" w:sz="0" w:space="0" w:color="auto"/>
                <w:right w:val="none" w:sz="0" w:space="0" w:color="auto"/>
              </w:divBdr>
            </w:div>
          </w:divsChild>
        </w:div>
        <w:div w:id="1261109405">
          <w:marLeft w:val="0"/>
          <w:marRight w:val="0"/>
          <w:marTop w:val="0"/>
          <w:marBottom w:val="0"/>
          <w:divBdr>
            <w:top w:val="none" w:sz="0" w:space="0" w:color="auto"/>
            <w:left w:val="none" w:sz="0" w:space="0" w:color="auto"/>
            <w:bottom w:val="none" w:sz="0" w:space="0" w:color="auto"/>
            <w:right w:val="none" w:sz="0" w:space="0" w:color="auto"/>
          </w:divBdr>
          <w:divsChild>
            <w:div w:id="524290154">
              <w:marLeft w:val="0"/>
              <w:marRight w:val="0"/>
              <w:marTop w:val="0"/>
              <w:marBottom w:val="0"/>
              <w:divBdr>
                <w:top w:val="none" w:sz="0" w:space="0" w:color="auto"/>
                <w:left w:val="none" w:sz="0" w:space="0" w:color="auto"/>
                <w:bottom w:val="none" w:sz="0" w:space="0" w:color="auto"/>
                <w:right w:val="none" w:sz="0" w:space="0" w:color="auto"/>
              </w:divBdr>
            </w:div>
          </w:divsChild>
        </w:div>
        <w:div w:id="1434007483">
          <w:marLeft w:val="0"/>
          <w:marRight w:val="0"/>
          <w:marTop w:val="0"/>
          <w:marBottom w:val="0"/>
          <w:divBdr>
            <w:top w:val="none" w:sz="0" w:space="0" w:color="auto"/>
            <w:left w:val="none" w:sz="0" w:space="0" w:color="auto"/>
            <w:bottom w:val="none" w:sz="0" w:space="0" w:color="auto"/>
            <w:right w:val="none" w:sz="0" w:space="0" w:color="auto"/>
          </w:divBdr>
          <w:divsChild>
            <w:div w:id="1941644723">
              <w:marLeft w:val="0"/>
              <w:marRight w:val="0"/>
              <w:marTop w:val="0"/>
              <w:marBottom w:val="0"/>
              <w:divBdr>
                <w:top w:val="none" w:sz="0" w:space="0" w:color="auto"/>
                <w:left w:val="none" w:sz="0" w:space="0" w:color="auto"/>
                <w:bottom w:val="none" w:sz="0" w:space="0" w:color="auto"/>
                <w:right w:val="none" w:sz="0" w:space="0" w:color="auto"/>
              </w:divBdr>
            </w:div>
          </w:divsChild>
        </w:div>
        <w:div w:id="1480658740">
          <w:marLeft w:val="0"/>
          <w:marRight w:val="0"/>
          <w:marTop w:val="0"/>
          <w:marBottom w:val="0"/>
          <w:divBdr>
            <w:top w:val="none" w:sz="0" w:space="0" w:color="auto"/>
            <w:left w:val="none" w:sz="0" w:space="0" w:color="auto"/>
            <w:bottom w:val="none" w:sz="0" w:space="0" w:color="auto"/>
            <w:right w:val="none" w:sz="0" w:space="0" w:color="auto"/>
          </w:divBdr>
          <w:divsChild>
            <w:div w:id="450057044">
              <w:marLeft w:val="0"/>
              <w:marRight w:val="0"/>
              <w:marTop w:val="0"/>
              <w:marBottom w:val="0"/>
              <w:divBdr>
                <w:top w:val="none" w:sz="0" w:space="0" w:color="auto"/>
                <w:left w:val="none" w:sz="0" w:space="0" w:color="auto"/>
                <w:bottom w:val="none" w:sz="0" w:space="0" w:color="auto"/>
                <w:right w:val="none" w:sz="0" w:space="0" w:color="auto"/>
              </w:divBdr>
            </w:div>
          </w:divsChild>
        </w:div>
        <w:div w:id="1528521355">
          <w:marLeft w:val="0"/>
          <w:marRight w:val="0"/>
          <w:marTop w:val="0"/>
          <w:marBottom w:val="0"/>
          <w:divBdr>
            <w:top w:val="none" w:sz="0" w:space="0" w:color="auto"/>
            <w:left w:val="none" w:sz="0" w:space="0" w:color="auto"/>
            <w:bottom w:val="none" w:sz="0" w:space="0" w:color="auto"/>
            <w:right w:val="none" w:sz="0" w:space="0" w:color="auto"/>
          </w:divBdr>
          <w:divsChild>
            <w:div w:id="1800610917">
              <w:marLeft w:val="0"/>
              <w:marRight w:val="0"/>
              <w:marTop w:val="0"/>
              <w:marBottom w:val="0"/>
              <w:divBdr>
                <w:top w:val="none" w:sz="0" w:space="0" w:color="auto"/>
                <w:left w:val="none" w:sz="0" w:space="0" w:color="auto"/>
                <w:bottom w:val="none" w:sz="0" w:space="0" w:color="auto"/>
                <w:right w:val="none" w:sz="0" w:space="0" w:color="auto"/>
              </w:divBdr>
            </w:div>
          </w:divsChild>
        </w:div>
        <w:div w:id="1542935017">
          <w:marLeft w:val="0"/>
          <w:marRight w:val="0"/>
          <w:marTop w:val="0"/>
          <w:marBottom w:val="0"/>
          <w:divBdr>
            <w:top w:val="none" w:sz="0" w:space="0" w:color="auto"/>
            <w:left w:val="none" w:sz="0" w:space="0" w:color="auto"/>
            <w:bottom w:val="none" w:sz="0" w:space="0" w:color="auto"/>
            <w:right w:val="none" w:sz="0" w:space="0" w:color="auto"/>
          </w:divBdr>
          <w:divsChild>
            <w:div w:id="1107239707">
              <w:marLeft w:val="0"/>
              <w:marRight w:val="0"/>
              <w:marTop w:val="0"/>
              <w:marBottom w:val="0"/>
              <w:divBdr>
                <w:top w:val="none" w:sz="0" w:space="0" w:color="auto"/>
                <w:left w:val="none" w:sz="0" w:space="0" w:color="auto"/>
                <w:bottom w:val="none" w:sz="0" w:space="0" w:color="auto"/>
                <w:right w:val="none" w:sz="0" w:space="0" w:color="auto"/>
              </w:divBdr>
            </w:div>
          </w:divsChild>
        </w:div>
        <w:div w:id="1921064689">
          <w:marLeft w:val="0"/>
          <w:marRight w:val="0"/>
          <w:marTop w:val="0"/>
          <w:marBottom w:val="0"/>
          <w:divBdr>
            <w:top w:val="none" w:sz="0" w:space="0" w:color="auto"/>
            <w:left w:val="none" w:sz="0" w:space="0" w:color="auto"/>
            <w:bottom w:val="none" w:sz="0" w:space="0" w:color="auto"/>
            <w:right w:val="none" w:sz="0" w:space="0" w:color="auto"/>
          </w:divBdr>
          <w:divsChild>
            <w:div w:id="1156992509">
              <w:marLeft w:val="0"/>
              <w:marRight w:val="0"/>
              <w:marTop w:val="0"/>
              <w:marBottom w:val="0"/>
              <w:divBdr>
                <w:top w:val="none" w:sz="0" w:space="0" w:color="auto"/>
                <w:left w:val="none" w:sz="0" w:space="0" w:color="auto"/>
                <w:bottom w:val="none" w:sz="0" w:space="0" w:color="auto"/>
                <w:right w:val="none" w:sz="0" w:space="0" w:color="auto"/>
              </w:divBdr>
            </w:div>
          </w:divsChild>
        </w:div>
        <w:div w:id="1948003521">
          <w:marLeft w:val="0"/>
          <w:marRight w:val="0"/>
          <w:marTop w:val="0"/>
          <w:marBottom w:val="0"/>
          <w:divBdr>
            <w:top w:val="none" w:sz="0" w:space="0" w:color="auto"/>
            <w:left w:val="none" w:sz="0" w:space="0" w:color="auto"/>
            <w:bottom w:val="none" w:sz="0" w:space="0" w:color="auto"/>
            <w:right w:val="none" w:sz="0" w:space="0" w:color="auto"/>
          </w:divBdr>
          <w:divsChild>
            <w:div w:id="257182491">
              <w:marLeft w:val="0"/>
              <w:marRight w:val="0"/>
              <w:marTop w:val="0"/>
              <w:marBottom w:val="0"/>
              <w:divBdr>
                <w:top w:val="none" w:sz="0" w:space="0" w:color="auto"/>
                <w:left w:val="none" w:sz="0" w:space="0" w:color="auto"/>
                <w:bottom w:val="none" w:sz="0" w:space="0" w:color="auto"/>
                <w:right w:val="none" w:sz="0" w:space="0" w:color="auto"/>
              </w:divBdr>
            </w:div>
          </w:divsChild>
        </w:div>
        <w:div w:id="1981690318">
          <w:marLeft w:val="0"/>
          <w:marRight w:val="0"/>
          <w:marTop w:val="0"/>
          <w:marBottom w:val="0"/>
          <w:divBdr>
            <w:top w:val="none" w:sz="0" w:space="0" w:color="auto"/>
            <w:left w:val="none" w:sz="0" w:space="0" w:color="auto"/>
            <w:bottom w:val="none" w:sz="0" w:space="0" w:color="auto"/>
            <w:right w:val="none" w:sz="0" w:space="0" w:color="auto"/>
          </w:divBdr>
          <w:divsChild>
            <w:div w:id="542209882">
              <w:marLeft w:val="0"/>
              <w:marRight w:val="0"/>
              <w:marTop w:val="0"/>
              <w:marBottom w:val="0"/>
              <w:divBdr>
                <w:top w:val="none" w:sz="0" w:space="0" w:color="auto"/>
                <w:left w:val="none" w:sz="0" w:space="0" w:color="auto"/>
                <w:bottom w:val="none" w:sz="0" w:space="0" w:color="auto"/>
                <w:right w:val="none" w:sz="0" w:space="0" w:color="auto"/>
              </w:divBdr>
            </w:div>
          </w:divsChild>
        </w:div>
        <w:div w:id="2042238901">
          <w:marLeft w:val="0"/>
          <w:marRight w:val="0"/>
          <w:marTop w:val="0"/>
          <w:marBottom w:val="0"/>
          <w:divBdr>
            <w:top w:val="none" w:sz="0" w:space="0" w:color="auto"/>
            <w:left w:val="none" w:sz="0" w:space="0" w:color="auto"/>
            <w:bottom w:val="none" w:sz="0" w:space="0" w:color="auto"/>
            <w:right w:val="none" w:sz="0" w:space="0" w:color="auto"/>
          </w:divBdr>
          <w:divsChild>
            <w:div w:id="1494570443">
              <w:marLeft w:val="0"/>
              <w:marRight w:val="0"/>
              <w:marTop w:val="0"/>
              <w:marBottom w:val="0"/>
              <w:divBdr>
                <w:top w:val="none" w:sz="0" w:space="0" w:color="auto"/>
                <w:left w:val="none" w:sz="0" w:space="0" w:color="auto"/>
                <w:bottom w:val="none" w:sz="0" w:space="0" w:color="auto"/>
                <w:right w:val="none" w:sz="0" w:space="0" w:color="auto"/>
              </w:divBdr>
            </w:div>
          </w:divsChild>
        </w:div>
        <w:div w:id="2054496568">
          <w:marLeft w:val="0"/>
          <w:marRight w:val="0"/>
          <w:marTop w:val="0"/>
          <w:marBottom w:val="0"/>
          <w:divBdr>
            <w:top w:val="none" w:sz="0" w:space="0" w:color="auto"/>
            <w:left w:val="none" w:sz="0" w:space="0" w:color="auto"/>
            <w:bottom w:val="none" w:sz="0" w:space="0" w:color="auto"/>
            <w:right w:val="none" w:sz="0" w:space="0" w:color="auto"/>
          </w:divBdr>
          <w:divsChild>
            <w:div w:id="30608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719493">
      <w:bodyDiv w:val="1"/>
      <w:marLeft w:val="0"/>
      <w:marRight w:val="0"/>
      <w:marTop w:val="0"/>
      <w:marBottom w:val="0"/>
      <w:divBdr>
        <w:top w:val="none" w:sz="0" w:space="0" w:color="auto"/>
        <w:left w:val="none" w:sz="0" w:space="0" w:color="auto"/>
        <w:bottom w:val="none" w:sz="0" w:space="0" w:color="auto"/>
        <w:right w:val="none" w:sz="0" w:space="0" w:color="auto"/>
      </w:divBdr>
    </w:div>
    <w:div w:id="1198926566">
      <w:bodyDiv w:val="1"/>
      <w:marLeft w:val="0"/>
      <w:marRight w:val="0"/>
      <w:marTop w:val="0"/>
      <w:marBottom w:val="0"/>
      <w:divBdr>
        <w:top w:val="none" w:sz="0" w:space="0" w:color="auto"/>
        <w:left w:val="none" w:sz="0" w:space="0" w:color="auto"/>
        <w:bottom w:val="none" w:sz="0" w:space="0" w:color="auto"/>
        <w:right w:val="none" w:sz="0" w:space="0" w:color="auto"/>
      </w:divBdr>
      <w:divsChild>
        <w:div w:id="21909148">
          <w:marLeft w:val="0"/>
          <w:marRight w:val="0"/>
          <w:marTop w:val="0"/>
          <w:marBottom w:val="0"/>
          <w:divBdr>
            <w:top w:val="none" w:sz="0" w:space="0" w:color="auto"/>
            <w:left w:val="none" w:sz="0" w:space="0" w:color="auto"/>
            <w:bottom w:val="none" w:sz="0" w:space="0" w:color="auto"/>
            <w:right w:val="none" w:sz="0" w:space="0" w:color="auto"/>
          </w:divBdr>
          <w:divsChild>
            <w:div w:id="1064640778">
              <w:marLeft w:val="0"/>
              <w:marRight w:val="0"/>
              <w:marTop w:val="0"/>
              <w:marBottom w:val="0"/>
              <w:divBdr>
                <w:top w:val="none" w:sz="0" w:space="0" w:color="auto"/>
                <w:left w:val="none" w:sz="0" w:space="0" w:color="auto"/>
                <w:bottom w:val="none" w:sz="0" w:space="0" w:color="auto"/>
                <w:right w:val="none" w:sz="0" w:space="0" w:color="auto"/>
              </w:divBdr>
            </w:div>
          </w:divsChild>
        </w:div>
        <w:div w:id="70197193">
          <w:marLeft w:val="0"/>
          <w:marRight w:val="0"/>
          <w:marTop w:val="0"/>
          <w:marBottom w:val="0"/>
          <w:divBdr>
            <w:top w:val="none" w:sz="0" w:space="0" w:color="auto"/>
            <w:left w:val="none" w:sz="0" w:space="0" w:color="auto"/>
            <w:bottom w:val="none" w:sz="0" w:space="0" w:color="auto"/>
            <w:right w:val="none" w:sz="0" w:space="0" w:color="auto"/>
          </w:divBdr>
          <w:divsChild>
            <w:div w:id="1704985270">
              <w:marLeft w:val="0"/>
              <w:marRight w:val="0"/>
              <w:marTop w:val="0"/>
              <w:marBottom w:val="0"/>
              <w:divBdr>
                <w:top w:val="none" w:sz="0" w:space="0" w:color="auto"/>
                <w:left w:val="none" w:sz="0" w:space="0" w:color="auto"/>
                <w:bottom w:val="none" w:sz="0" w:space="0" w:color="auto"/>
                <w:right w:val="none" w:sz="0" w:space="0" w:color="auto"/>
              </w:divBdr>
            </w:div>
          </w:divsChild>
        </w:div>
        <w:div w:id="362363254">
          <w:marLeft w:val="0"/>
          <w:marRight w:val="0"/>
          <w:marTop w:val="0"/>
          <w:marBottom w:val="0"/>
          <w:divBdr>
            <w:top w:val="none" w:sz="0" w:space="0" w:color="auto"/>
            <w:left w:val="none" w:sz="0" w:space="0" w:color="auto"/>
            <w:bottom w:val="none" w:sz="0" w:space="0" w:color="auto"/>
            <w:right w:val="none" w:sz="0" w:space="0" w:color="auto"/>
          </w:divBdr>
          <w:divsChild>
            <w:div w:id="97990927">
              <w:marLeft w:val="0"/>
              <w:marRight w:val="0"/>
              <w:marTop w:val="0"/>
              <w:marBottom w:val="0"/>
              <w:divBdr>
                <w:top w:val="none" w:sz="0" w:space="0" w:color="auto"/>
                <w:left w:val="none" w:sz="0" w:space="0" w:color="auto"/>
                <w:bottom w:val="none" w:sz="0" w:space="0" w:color="auto"/>
                <w:right w:val="none" w:sz="0" w:space="0" w:color="auto"/>
              </w:divBdr>
            </w:div>
          </w:divsChild>
        </w:div>
        <w:div w:id="455299349">
          <w:marLeft w:val="0"/>
          <w:marRight w:val="0"/>
          <w:marTop w:val="0"/>
          <w:marBottom w:val="0"/>
          <w:divBdr>
            <w:top w:val="none" w:sz="0" w:space="0" w:color="auto"/>
            <w:left w:val="none" w:sz="0" w:space="0" w:color="auto"/>
            <w:bottom w:val="none" w:sz="0" w:space="0" w:color="auto"/>
            <w:right w:val="none" w:sz="0" w:space="0" w:color="auto"/>
          </w:divBdr>
          <w:divsChild>
            <w:div w:id="1886060624">
              <w:marLeft w:val="0"/>
              <w:marRight w:val="0"/>
              <w:marTop w:val="0"/>
              <w:marBottom w:val="0"/>
              <w:divBdr>
                <w:top w:val="none" w:sz="0" w:space="0" w:color="auto"/>
                <w:left w:val="none" w:sz="0" w:space="0" w:color="auto"/>
                <w:bottom w:val="none" w:sz="0" w:space="0" w:color="auto"/>
                <w:right w:val="none" w:sz="0" w:space="0" w:color="auto"/>
              </w:divBdr>
            </w:div>
            <w:div w:id="2076001569">
              <w:marLeft w:val="0"/>
              <w:marRight w:val="0"/>
              <w:marTop w:val="0"/>
              <w:marBottom w:val="0"/>
              <w:divBdr>
                <w:top w:val="none" w:sz="0" w:space="0" w:color="auto"/>
                <w:left w:val="none" w:sz="0" w:space="0" w:color="auto"/>
                <w:bottom w:val="none" w:sz="0" w:space="0" w:color="auto"/>
                <w:right w:val="none" w:sz="0" w:space="0" w:color="auto"/>
              </w:divBdr>
            </w:div>
          </w:divsChild>
        </w:div>
        <w:div w:id="562371796">
          <w:marLeft w:val="0"/>
          <w:marRight w:val="0"/>
          <w:marTop w:val="0"/>
          <w:marBottom w:val="0"/>
          <w:divBdr>
            <w:top w:val="none" w:sz="0" w:space="0" w:color="auto"/>
            <w:left w:val="none" w:sz="0" w:space="0" w:color="auto"/>
            <w:bottom w:val="none" w:sz="0" w:space="0" w:color="auto"/>
            <w:right w:val="none" w:sz="0" w:space="0" w:color="auto"/>
          </w:divBdr>
          <w:divsChild>
            <w:div w:id="1869951744">
              <w:marLeft w:val="0"/>
              <w:marRight w:val="0"/>
              <w:marTop w:val="0"/>
              <w:marBottom w:val="0"/>
              <w:divBdr>
                <w:top w:val="none" w:sz="0" w:space="0" w:color="auto"/>
                <w:left w:val="none" w:sz="0" w:space="0" w:color="auto"/>
                <w:bottom w:val="none" w:sz="0" w:space="0" w:color="auto"/>
                <w:right w:val="none" w:sz="0" w:space="0" w:color="auto"/>
              </w:divBdr>
            </w:div>
          </w:divsChild>
        </w:div>
        <w:div w:id="628321332">
          <w:marLeft w:val="0"/>
          <w:marRight w:val="0"/>
          <w:marTop w:val="0"/>
          <w:marBottom w:val="0"/>
          <w:divBdr>
            <w:top w:val="none" w:sz="0" w:space="0" w:color="auto"/>
            <w:left w:val="none" w:sz="0" w:space="0" w:color="auto"/>
            <w:bottom w:val="none" w:sz="0" w:space="0" w:color="auto"/>
            <w:right w:val="none" w:sz="0" w:space="0" w:color="auto"/>
          </w:divBdr>
          <w:divsChild>
            <w:div w:id="1287588385">
              <w:marLeft w:val="0"/>
              <w:marRight w:val="0"/>
              <w:marTop w:val="0"/>
              <w:marBottom w:val="0"/>
              <w:divBdr>
                <w:top w:val="none" w:sz="0" w:space="0" w:color="auto"/>
                <w:left w:val="none" w:sz="0" w:space="0" w:color="auto"/>
                <w:bottom w:val="none" w:sz="0" w:space="0" w:color="auto"/>
                <w:right w:val="none" w:sz="0" w:space="0" w:color="auto"/>
              </w:divBdr>
            </w:div>
          </w:divsChild>
        </w:div>
        <w:div w:id="674453689">
          <w:marLeft w:val="0"/>
          <w:marRight w:val="0"/>
          <w:marTop w:val="0"/>
          <w:marBottom w:val="0"/>
          <w:divBdr>
            <w:top w:val="none" w:sz="0" w:space="0" w:color="auto"/>
            <w:left w:val="none" w:sz="0" w:space="0" w:color="auto"/>
            <w:bottom w:val="none" w:sz="0" w:space="0" w:color="auto"/>
            <w:right w:val="none" w:sz="0" w:space="0" w:color="auto"/>
          </w:divBdr>
          <w:divsChild>
            <w:div w:id="465204930">
              <w:marLeft w:val="0"/>
              <w:marRight w:val="0"/>
              <w:marTop w:val="0"/>
              <w:marBottom w:val="0"/>
              <w:divBdr>
                <w:top w:val="none" w:sz="0" w:space="0" w:color="auto"/>
                <w:left w:val="none" w:sz="0" w:space="0" w:color="auto"/>
                <w:bottom w:val="none" w:sz="0" w:space="0" w:color="auto"/>
                <w:right w:val="none" w:sz="0" w:space="0" w:color="auto"/>
              </w:divBdr>
            </w:div>
          </w:divsChild>
        </w:div>
        <w:div w:id="729381053">
          <w:marLeft w:val="0"/>
          <w:marRight w:val="0"/>
          <w:marTop w:val="0"/>
          <w:marBottom w:val="0"/>
          <w:divBdr>
            <w:top w:val="none" w:sz="0" w:space="0" w:color="auto"/>
            <w:left w:val="none" w:sz="0" w:space="0" w:color="auto"/>
            <w:bottom w:val="none" w:sz="0" w:space="0" w:color="auto"/>
            <w:right w:val="none" w:sz="0" w:space="0" w:color="auto"/>
          </w:divBdr>
          <w:divsChild>
            <w:div w:id="1637099067">
              <w:marLeft w:val="0"/>
              <w:marRight w:val="0"/>
              <w:marTop w:val="0"/>
              <w:marBottom w:val="0"/>
              <w:divBdr>
                <w:top w:val="none" w:sz="0" w:space="0" w:color="auto"/>
                <w:left w:val="none" w:sz="0" w:space="0" w:color="auto"/>
                <w:bottom w:val="none" w:sz="0" w:space="0" w:color="auto"/>
                <w:right w:val="none" w:sz="0" w:space="0" w:color="auto"/>
              </w:divBdr>
            </w:div>
          </w:divsChild>
        </w:div>
        <w:div w:id="1073815550">
          <w:marLeft w:val="0"/>
          <w:marRight w:val="0"/>
          <w:marTop w:val="0"/>
          <w:marBottom w:val="0"/>
          <w:divBdr>
            <w:top w:val="none" w:sz="0" w:space="0" w:color="auto"/>
            <w:left w:val="none" w:sz="0" w:space="0" w:color="auto"/>
            <w:bottom w:val="none" w:sz="0" w:space="0" w:color="auto"/>
            <w:right w:val="none" w:sz="0" w:space="0" w:color="auto"/>
          </w:divBdr>
          <w:divsChild>
            <w:div w:id="1070614314">
              <w:marLeft w:val="0"/>
              <w:marRight w:val="0"/>
              <w:marTop w:val="0"/>
              <w:marBottom w:val="0"/>
              <w:divBdr>
                <w:top w:val="none" w:sz="0" w:space="0" w:color="auto"/>
                <w:left w:val="none" w:sz="0" w:space="0" w:color="auto"/>
                <w:bottom w:val="none" w:sz="0" w:space="0" w:color="auto"/>
                <w:right w:val="none" w:sz="0" w:space="0" w:color="auto"/>
              </w:divBdr>
            </w:div>
          </w:divsChild>
        </w:div>
        <w:div w:id="1155493361">
          <w:marLeft w:val="0"/>
          <w:marRight w:val="0"/>
          <w:marTop w:val="0"/>
          <w:marBottom w:val="0"/>
          <w:divBdr>
            <w:top w:val="none" w:sz="0" w:space="0" w:color="auto"/>
            <w:left w:val="none" w:sz="0" w:space="0" w:color="auto"/>
            <w:bottom w:val="none" w:sz="0" w:space="0" w:color="auto"/>
            <w:right w:val="none" w:sz="0" w:space="0" w:color="auto"/>
          </w:divBdr>
          <w:divsChild>
            <w:div w:id="1623416550">
              <w:marLeft w:val="0"/>
              <w:marRight w:val="0"/>
              <w:marTop w:val="0"/>
              <w:marBottom w:val="0"/>
              <w:divBdr>
                <w:top w:val="none" w:sz="0" w:space="0" w:color="auto"/>
                <w:left w:val="none" w:sz="0" w:space="0" w:color="auto"/>
                <w:bottom w:val="none" w:sz="0" w:space="0" w:color="auto"/>
                <w:right w:val="none" w:sz="0" w:space="0" w:color="auto"/>
              </w:divBdr>
            </w:div>
          </w:divsChild>
        </w:div>
        <w:div w:id="1260986182">
          <w:marLeft w:val="0"/>
          <w:marRight w:val="0"/>
          <w:marTop w:val="0"/>
          <w:marBottom w:val="0"/>
          <w:divBdr>
            <w:top w:val="none" w:sz="0" w:space="0" w:color="auto"/>
            <w:left w:val="none" w:sz="0" w:space="0" w:color="auto"/>
            <w:bottom w:val="none" w:sz="0" w:space="0" w:color="auto"/>
            <w:right w:val="none" w:sz="0" w:space="0" w:color="auto"/>
          </w:divBdr>
          <w:divsChild>
            <w:div w:id="517818101">
              <w:marLeft w:val="0"/>
              <w:marRight w:val="0"/>
              <w:marTop w:val="0"/>
              <w:marBottom w:val="0"/>
              <w:divBdr>
                <w:top w:val="none" w:sz="0" w:space="0" w:color="auto"/>
                <w:left w:val="none" w:sz="0" w:space="0" w:color="auto"/>
                <w:bottom w:val="none" w:sz="0" w:space="0" w:color="auto"/>
                <w:right w:val="none" w:sz="0" w:space="0" w:color="auto"/>
              </w:divBdr>
            </w:div>
          </w:divsChild>
        </w:div>
        <w:div w:id="1764104961">
          <w:marLeft w:val="0"/>
          <w:marRight w:val="0"/>
          <w:marTop w:val="0"/>
          <w:marBottom w:val="0"/>
          <w:divBdr>
            <w:top w:val="none" w:sz="0" w:space="0" w:color="auto"/>
            <w:left w:val="none" w:sz="0" w:space="0" w:color="auto"/>
            <w:bottom w:val="none" w:sz="0" w:space="0" w:color="auto"/>
            <w:right w:val="none" w:sz="0" w:space="0" w:color="auto"/>
          </w:divBdr>
          <w:divsChild>
            <w:div w:id="209158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209597">
      <w:bodyDiv w:val="1"/>
      <w:marLeft w:val="0"/>
      <w:marRight w:val="0"/>
      <w:marTop w:val="0"/>
      <w:marBottom w:val="0"/>
      <w:divBdr>
        <w:top w:val="none" w:sz="0" w:space="0" w:color="auto"/>
        <w:left w:val="none" w:sz="0" w:space="0" w:color="auto"/>
        <w:bottom w:val="none" w:sz="0" w:space="0" w:color="auto"/>
        <w:right w:val="none" w:sz="0" w:space="0" w:color="auto"/>
      </w:divBdr>
    </w:div>
    <w:div w:id="1231648573">
      <w:bodyDiv w:val="1"/>
      <w:marLeft w:val="0"/>
      <w:marRight w:val="0"/>
      <w:marTop w:val="0"/>
      <w:marBottom w:val="0"/>
      <w:divBdr>
        <w:top w:val="none" w:sz="0" w:space="0" w:color="auto"/>
        <w:left w:val="none" w:sz="0" w:space="0" w:color="auto"/>
        <w:bottom w:val="none" w:sz="0" w:space="0" w:color="auto"/>
        <w:right w:val="none" w:sz="0" w:space="0" w:color="auto"/>
      </w:divBdr>
    </w:div>
    <w:div w:id="1256016584">
      <w:bodyDiv w:val="1"/>
      <w:marLeft w:val="0"/>
      <w:marRight w:val="0"/>
      <w:marTop w:val="0"/>
      <w:marBottom w:val="0"/>
      <w:divBdr>
        <w:top w:val="none" w:sz="0" w:space="0" w:color="auto"/>
        <w:left w:val="none" w:sz="0" w:space="0" w:color="auto"/>
        <w:bottom w:val="none" w:sz="0" w:space="0" w:color="auto"/>
        <w:right w:val="none" w:sz="0" w:space="0" w:color="auto"/>
      </w:divBdr>
      <w:divsChild>
        <w:div w:id="43066295">
          <w:marLeft w:val="0"/>
          <w:marRight w:val="0"/>
          <w:marTop w:val="0"/>
          <w:marBottom w:val="0"/>
          <w:divBdr>
            <w:top w:val="none" w:sz="0" w:space="0" w:color="auto"/>
            <w:left w:val="none" w:sz="0" w:space="0" w:color="auto"/>
            <w:bottom w:val="none" w:sz="0" w:space="0" w:color="auto"/>
            <w:right w:val="none" w:sz="0" w:space="0" w:color="auto"/>
          </w:divBdr>
          <w:divsChild>
            <w:div w:id="1083797652">
              <w:marLeft w:val="0"/>
              <w:marRight w:val="0"/>
              <w:marTop w:val="0"/>
              <w:marBottom w:val="0"/>
              <w:divBdr>
                <w:top w:val="none" w:sz="0" w:space="0" w:color="auto"/>
                <w:left w:val="none" w:sz="0" w:space="0" w:color="auto"/>
                <w:bottom w:val="none" w:sz="0" w:space="0" w:color="auto"/>
                <w:right w:val="none" w:sz="0" w:space="0" w:color="auto"/>
              </w:divBdr>
            </w:div>
          </w:divsChild>
        </w:div>
        <w:div w:id="65882609">
          <w:marLeft w:val="0"/>
          <w:marRight w:val="0"/>
          <w:marTop w:val="0"/>
          <w:marBottom w:val="0"/>
          <w:divBdr>
            <w:top w:val="none" w:sz="0" w:space="0" w:color="auto"/>
            <w:left w:val="none" w:sz="0" w:space="0" w:color="auto"/>
            <w:bottom w:val="none" w:sz="0" w:space="0" w:color="auto"/>
            <w:right w:val="none" w:sz="0" w:space="0" w:color="auto"/>
          </w:divBdr>
          <w:divsChild>
            <w:div w:id="1248539898">
              <w:marLeft w:val="0"/>
              <w:marRight w:val="0"/>
              <w:marTop w:val="0"/>
              <w:marBottom w:val="0"/>
              <w:divBdr>
                <w:top w:val="none" w:sz="0" w:space="0" w:color="auto"/>
                <w:left w:val="none" w:sz="0" w:space="0" w:color="auto"/>
                <w:bottom w:val="none" w:sz="0" w:space="0" w:color="auto"/>
                <w:right w:val="none" w:sz="0" w:space="0" w:color="auto"/>
              </w:divBdr>
            </w:div>
          </w:divsChild>
        </w:div>
        <w:div w:id="85200879">
          <w:marLeft w:val="0"/>
          <w:marRight w:val="0"/>
          <w:marTop w:val="0"/>
          <w:marBottom w:val="0"/>
          <w:divBdr>
            <w:top w:val="none" w:sz="0" w:space="0" w:color="auto"/>
            <w:left w:val="none" w:sz="0" w:space="0" w:color="auto"/>
            <w:bottom w:val="none" w:sz="0" w:space="0" w:color="auto"/>
            <w:right w:val="none" w:sz="0" w:space="0" w:color="auto"/>
          </w:divBdr>
          <w:divsChild>
            <w:div w:id="31348095">
              <w:marLeft w:val="0"/>
              <w:marRight w:val="0"/>
              <w:marTop w:val="0"/>
              <w:marBottom w:val="0"/>
              <w:divBdr>
                <w:top w:val="none" w:sz="0" w:space="0" w:color="auto"/>
                <w:left w:val="none" w:sz="0" w:space="0" w:color="auto"/>
                <w:bottom w:val="none" w:sz="0" w:space="0" w:color="auto"/>
                <w:right w:val="none" w:sz="0" w:space="0" w:color="auto"/>
              </w:divBdr>
            </w:div>
          </w:divsChild>
        </w:div>
        <w:div w:id="90857775">
          <w:marLeft w:val="0"/>
          <w:marRight w:val="0"/>
          <w:marTop w:val="0"/>
          <w:marBottom w:val="0"/>
          <w:divBdr>
            <w:top w:val="none" w:sz="0" w:space="0" w:color="auto"/>
            <w:left w:val="none" w:sz="0" w:space="0" w:color="auto"/>
            <w:bottom w:val="none" w:sz="0" w:space="0" w:color="auto"/>
            <w:right w:val="none" w:sz="0" w:space="0" w:color="auto"/>
          </w:divBdr>
          <w:divsChild>
            <w:div w:id="1007250229">
              <w:marLeft w:val="0"/>
              <w:marRight w:val="0"/>
              <w:marTop w:val="0"/>
              <w:marBottom w:val="0"/>
              <w:divBdr>
                <w:top w:val="none" w:sz="0" w:space="0" w:color="auto"/>
                <w:left w:val="none" w:sz="0" w:space="0" w:color="auto"/>
                <w:bottom w:val="none" w:sz="0" w:space="0" w:color="auto"/>
                <w:right w:val="none" w:sz="0" w:space="0" w:color="auto"/>
              </w:divBdr>
            </w:div>
          </w:divsChild>
        </w:div>
        <w:div w:id="114064080">
          <w:marLeft w:val="0"/>
          <w:marRight w:val="0"/>
          <w:marTop w:val="0"/>
          <w:marBottom w:val="0"/>
          <w:divBdr>
            <w:top w:val="none" w:sz="0" w:space="0" w:color="auto"/>
            <w:left w:val="none" w:sz="0" w:space="0" w:color="auto"/>
            <w:bottom w:val="none" w:sz="0" w:space="0" w:color="auto"/>
            <w:right w:val="none" w:sz="0" w:space="0" w:color="auto"/>
          </w:divBdr>
          <w:divsChild>
            <w:div w:id="1537504184">
              <w:marLeft w:val="0"/>
              <w:marRight w:val="0"/>
              <w:marTop w:val="0"/>
              <w:marBottom w:val="0"/>
              <w:divBdr>
                <w:top w:val="none" w:sz="0" w:space="0" w:color="auto"/>
                <w:left w:val="none" w:sz="0" w:space="0" w:color="auto"/>
                <w:bottom w:val="none" w:sz="0" w:space="0" w:color="auto"/>
                <w:right w:val="none" w:sz="0" w:space="0" w:color="auto"/>
              </w:divBdr>
            </w:div>
          </w:divsChild>
        </w:div>
        <w:div w:id="120804257">
          <w:marLeft w:val="0"/>
          <w:marRight w:val="0"/>
          <w:marTop w:val="0"/>
          <w:marBottom w:val="0"/>
          <w:divBdr>
            <w:top w:val="none" w:sz="0" w:space="0" w:color="auto"/>
            <w:left w:val="none" w:sz="0" w:space="0" w:color="auto"/>
            <w:bottom w:val="none" w:sz="0" w:space="0" w:color="auto"/>
            <w:right w:val="none" w:sz="0" w:space="0" w:color="auto"/>
          </w:divBdr>
          <w:divsChild>
            <w:div w:id="793721083">
              <w:marLeft w:val="0"/>
              <w:marRight w:val="0"/>
              <w:marTop w:val="0"/>
              <w:marBottom w:val="0"/>
              <w:divBdr>
                <w:top w:val="none" w:sz="0" w:space="0" w:color="auto"/>
                <w:left w:val="none" w:sz="0" w:space="0" w:color="auto"/>
                <w:bottom w:val="none" w:sz="0" w:space="0" w:color="auto"/>
                <w:right w:val="none" w:sz="0" w:space="0" w:color="auto"/>
              </w:divBdr>
            </w:div>
          </w:divsChild>
        </w:div>
        <w:div w:id="129592712">
          <w:marLeft w:val="0"/>
          <w:marRight w:val="0"/>
          <w:marTop w:val="0"/>
          <w:marBottom w:val="0"/>
          <w:divBdr>
            <w:top w:val="none" w:sz="0" w:space="0" w:color="auto"/>
            <w:left w:val="none" w:sz="0" w:space="0" w:color="auto"/>
            <w:bottom w:val="none" w:sz="0" w:space="0" w:color="auto"/>
            <w:right w:val="none" w:sz="0" w:space="0" w:color="auto"/>
          </w:divBdr>
          <w:divsChild>
            <w:div w:id="30570641">
              <w:marLeft w:val="0"/>
              <w:marRight w:val="0"/>
              <w:marTop w:val="0"/>
              <w:marBottom w:val="0"/>
              <w:divBdr>
                <w:top w:val="none" w:sz="0" w:space="0" w:color="auto"/>
                <w:left w:val="none" w:sz="0" w:space="0" w:color="auto"/>
                <w:bottom w:val="none" w:sz="0" w:space="0" w:color="auto"/>
                <w:right w:val="none" w:sz="0" w:space="0" w:color="auto"/>
              </w:divBdr>
            </w:div>
          </w:divsChild>
        </w:div>
        <w:div w:id="152721127">
          <w:marLeft w:val="0"/>
          <w:marRight w:val="0"/>
          <w:marTop w:val="0"/>
          <w:marBottom w:val="0"/>
          <w:divBdr>
            <w:top w:val="none" w:sz="0" w:space="0" w:color="auto"/>
            <w:left w:val="none" w:sz="0" w:space="0" w:color="auto"/>
            <w:bottom w:val="none" w:sz="0" w:space="0" w:color="auto"/>
            <w:right w:val="none" w:sz="0" w:space="0" w:color="auto"/>
          </w:divBdr>
          <w:divsChild>
            <w:div w:id="1986156947">
              <w:marLeft w:val="0"/>
              <w:marRight w:val="0"/>
              <w:marTop w:val="0"/>
              <w:marBottom w:val="0"/>
              <w:divBdr>
                <w:top w:val="none" w:sz="0" w:space="0" w:color="auto"/>
                <w:left w:val="none" w:sz="0" w:space="0" w:color="auto"/>
                <w:bottom w:val="none" w:sz="0" w:space="0" w:color="auto"/>
                <w:right w:val="none" w:sz="0" w:space="0" w:color="auto"/>
              </w:divBdr>
            </w:div>
          </w:divsChild>
        </w:div>
        <w:div w:id="152911592">
          <w:marLeft w:val="0"/>
          <w:marRight w:val="0"/>
          <w:marTop w:val="0"/>
          <w:marBottom w:val="0"/>
          <w:divBdr>
            <w:top w:val="none" w:sz="0" w:space="0" w:color="auto"/>
            <w:left w:val="none" w:sz="0" w:space="0" w:color="auto"/>
            <w:bottom w:val="none" w:sz="0" w:space="0" w:color="auto"/>
            <w:right w:val="none" w:sz="0" w:space="0" w:color="auto"/>
          </w:divBdr>
          <w:divsChild>
            <w:div w:id="1668286585">
              <w:marLeft w:val="0"/>
              <w:marRight w:val="0"/>
              <w:marTop w:val="0"/>
              <w:marBottom w:val="0"/>
              <w:divBdr>
                <w:top w:val="none" w:sz="0" w:space="0" w:color="auto"/>
                <w:left w:val="none" w:sz="0" w:space="0" w:color="auto"/>
                <w:bottom w:val="none" w:sz="0" w:space="0" w:color="auto"/>
                <w:right w:val="none" w:sz="0" w:space="0" w:color="auto"/>
              </w:divBdr>
            </w:div>
          </w:divsChild>
        </w:div>
        <w:div w:id="215238019">
          <w:marLeft w:val="0"/>
          <w:marRight w:val="0"/>
          <w:marTop w:val="0"/>
          <w:marBottom w:val="0"/>
          <w:divBdr>
            <w:top w:val="none" w:sz="0" w:space="0" w:color="auto"/>
            <w:left w:val="none" w:sz="0" w:space="0" w:color="auto"/>
            <w:bottom w:val="none" w:sz="0" w:space="0" w:color="auto"/>
            <w:right w:val="none" w:sz="0" w:space="0" w:color="auto"/>
          </w:divBdr>
          <w:divsChild>
            <w:div w:id="40905905">
              <w:marLeft w:val="0"/>
              <w:marRight w:val="0"/>
              <w:marTop w:val="0"/>
              <w:marBottom w:val="0"/>
              <w:divBdr>
                <w:top w:val="none" w:sz="0" w:space="0" w:color="auto"/>
                <w:left w:val="none" w:sz="0" w:space="0" w:color="auto"/>
                <w:bottom w:val="none" w:sz="0" w:space="0" w:color="auto"/>
                <w:right w:val="none" w:sz="0" w:space="0" w:color="auto"/>
              </w:divBdr>
            </w:div>
          </w:divsChild>
        </w:div>
        <w:div w:id="216405949">
          <w:marLeft w:val="0"/>
          <w:marRight w:val="0"/>
          <w:marTop w:val="0"/>
          <w:marBottom w:val="0"/>
          <w:divBdr>
            <w:top w:val="none" w:sz="0" w:space="0" w:color="auto"/>
            <w:left w:val="none" w:sz="0" w:space="0" w:color="auto"/>
            <w:bottom w:val="none" w:sz="0" w:space="0" w:color="auto"/>
            <w:right w:val="none" w:sz="0" w:space="0" w:color="auto"/>
          </w:divBdr>
          <w:divsChild>
            <w:div w:id="710149404">
              <w:marLeft w:val="0"/>
              <w:marRight w:val="0"/>
              <w:marTop w:val="0"/>
              <w:marBottom w:val="0"/>
              <w:divBdr>
                <w:top w:val="none" w:sz="0" w:space="0" w:color="auto"/>
                <w:left w:val="none" w:sz="0" w:space="0" w:color="auto"/>
                <w:bottom w:val="none" w:sz="0" w:space="0" w:color="auto"/>
                <w:right w:val="none" w:sz="0" w:space="0" w:color="auto"/>
              </w:divBdr>
            </w:div>
          </w:divsChild>
        </w:div>
        <w:div w:id="220406354">
          <w:marLeft w:val="0"/>
          <w:marRight w:val="0"/>
          <w:marTop w:val="0"/>
          <w:marBottom w:val="0"/>
          <w:divBdr>
            <w:top w:val="none" w:sz="0" w:space="0" w:color="auto"/>
            <w:left w:val="none" w:sz="0" w:space="0" w:color="auto"/>
            <w:bottom w:val="none" w:sz="0" w:space="0" w:color="auto"/>
            <w:right w:val="none" w:sz="0" w:space="0" w:color="auto"/>
          </w:divBdr>
          <w:divsChild>
            <w:div w:id="361714541">
              <w:marLeft w:val="0"/>
              <w:marRight w:val="0"/>
              <w:marTop w:val="0"/>
              <w:marBottom w:val="0"/>
              <w:divBdr>
                <w:top w:val="none" w:sz="0" w:space="0" w:color="auto"/>
                <w:left w:val="none" w:sz="0" w:space="0" w:color="auto"/>
                <w:bottom w:val="none" w:sz="0" w:space="0" w:color="auto"/>
                <w:right w:val="none" w:sz="0" w:space="0" w:color="auto"/>
              </w:divBdr>
            </w:div>
          </w:divsChild>
        </w:div>
        <w:div w:id="231820533">
          <w:marLeft w:val="0"/>
          <w:marRight w:val="0"/>
          <w:marTop w:val="0"/>
          <w:marBottom w:val="0"/>
          <w:divBdr>
            <w:top w:val="none" w:sz="0" w:space="0" w:color="auto"/>
            <w:left w:val="none" w:sz="0" w:space="0" w:color="auto"/>
            <w:bottom w:val="none" w:sz="0" w:space="0" w:color="auto"/>
            <w:right w:val="none" w:sz="0" w:space="0" w:color="auto"/>
          </w:divBdr>
          <w:divsChild>
            <w:div w:id="195240079">
              <w:marLeft w:val="0"/>
              <w:marRight w:val="0"/>
              <w:marTop w:val="0"/>
              <w:marBottom w:val="0"/>
              <w:divBdr>
                <w:top w:val="none" w:sz="0" w:space="0" w:color="auto"/>
                <w:left w:val="none" w:sz="0" w:space="0" w:color="auto"/>
                <w:bottom w:val="none" w:sz="0" w:space="0" w:color="auto"/>
                <w:right w:val="none" w:sz="0" w:space="0" w:color="auto"/>
              </w:divBdr>
            </w:div>
          </w:divsChild>
        </w:div>
        <w:div w:id="252248467">
          <w:marLeft w:val="0"/>
          <w:marRight w:val="0"/>
          <w:marTop w:val="0"/>
          <w:marBottom w:val="0"/>
          <w:divBdr>
            <w:top w:val="none" w:sz="0" w:space="0" w:color="auto"/>
            <w:left w:val="none" w:sz="0" w:space="0" w:color="auto"/>
            <w:bottom w:val="none" w:sz="0" w:space="0" w:color="auto"/>
            <w:right w:val="none" w:sz="0" w:space="0" w:color="auto"/>
          </w:divBdr>
          <w:divsChild>
            <w:div w:id="1657764506">
              <w:marLeft w:val="0"/>
              <w:marRight w:val="0"/>
              <w:marTop w:val="0"/>
              <w:marBottom w:val="0"/>
              <w:divBdr>
                <w:top w:val="none" w:sz="0" w:space="0" w:color="auto"/>
                <w:left w:val="none" w:sz="0" w:space="0" w:color="auto"/>
                <w:bottom w:val="none" w:sz="0" w:space="0" w:color="auto"/>
                <w:right w:val="none" w:sz="0" w:space="0" w:color="auto"/>
              </w:divBdr>
            </w:div>
          </w:divsChild>
        </w:div>
        <w:div w:id="264044651">
          <w:marLeft w:val="0"/>
          <w:marRight w:val="0"/>
          <w:marTop w:val="0"/>
          <w:marBottom w:val="0"/>
          <w:divBdr>
            <w:top w:val="none" w:sz="0" w:space="0" w:color="auto"/>
            <w:left w:val="none" w:sz="0" w:space="0" w:color="auto"/>
            <w:bottom w:val="none" w:sz="0" w:space="0" w:color="auto"/>
            <w:right w:val="none" w:sz="0" w:space="0" w:color="auto"/>
          </w:divBdr>
          <w:divsChild>
            <w:div w:id="1906337126">
              <w:marLeft w:val="0"/>
              <w:marRight w:val="0"/>
              <w:marTop w:val="0"/>
              <w:marBottom w:val="0"/>
              <w:divBdr>
                <w:top w:val="none" w:sz="0" w:space="0" w:color="auto"/>
                <w:left w:val="none" w:sz="0" w:space="0" w:color="auto"/>
                <w:bottom w:val="none" w:sz="0" w:space="0" w:color="auto"/>
                <w:right w:val="none" w:sz="0" w:space="0" w:color="auto"/>
              </w:divBdr>
            </w:div>
          </w:divsChild>
        </w:div>
        <w:div w:id="283998986">
          <w:marLeft w:val="0"/>
          <w:marRight w:val="0"/>
          <w:marTop w:val="0"/>
          <w:marBottom w:val="0"/>
          <w:divBdr>
            <w:top w:val="none" w:sz="0" w:space="0" w:color="auto"/>
            <w:left w:val="none" w:sz="0" w:space="0" w:color="auto"/>
            <w:bottom w:val="none" w:sz="0" w:space="0" w:color="auto"/>
            <w:right w:val="none" w:sz="0" w:space="0" w:color="auto"/>
          </w:divBdr>
          <w:divsChild>
            <w:div w:id="1933395483">
              <w:marLeft w:val="0"/>
              <w:marRight w:val="0"/>
              <w:marTop w:val="0"/>
              <w:marBottom w:val="0"/>
              <w:divBdr>
                <w:top w:val="none" w:sz="0" w:space="0" w:color="auto"/>
                <w:left w:val="none" w:sz="0" w:space="0" w:color="auto"/>
                <w:bottom w:val="none" w:sz="0" w:space="0" w:color="auto"/>
                <w:right w:val="none" w:sz="0" w:space="0" w:color="auto"/>
              </w:divBdr>
            </w:div>
          </w:divsChild>
        </w:div>
        <w:div w:id="299845427">
          <w:marLeft w:val="0"/>
          <w:marRight w:val="0"/>
          <w:marTop w:val="0"/>
          <w:marBottom w:val="0"/>
          <w:divBdr>
            <w:top w:val="none" w:sz="0" w:space="0" w:color="auto"/>
            <w:left w:val="none" w:sz="0" w:space="0" w:color="auto"/>
            <w:bottom w:val="none" w:sz="0" w:space="0" w:color="auto"/>
            <w:right w:val="none" w:sz="0" w:space="0" w:color="auto"/>
          </w:divBdr>
          <w:divsChild>
            <w:div w:id="2067489045">
              <w:marLeft w:val="0"/>
              <w:marRight w:val="0"/>
              <w:marTop w:val="0"/>
              <w:marBottom w:val="0"/>
              <w:divBdr>
                <w:top w:val="none" w:sz="0" w:space="0" w:color="auto"/>
                <w:left w:val="none" w:sz="0" w:space="0" w:color="auto"/>
                <w:bottom w:val="none" w:sz="0" w:space="0" w:color="auto"/>
                <w:right w:val="none" w:sz="0" w:space="0" w:color="auto"/>
              </w:divBdr>
            </w:div>
          </w:divsChild>
        </w:div>
        <w:div w:id="370761969">
          <w:marLeft w:val="0"/>
          <w:marRight w:val="0"/>
          <w:marTop w:val="0"/>
          <w:marBottom w:val="0"/>
          <w:divBdr>
            <w:top w:val="none" w:sz="0" w:space="0" w:color="auto"/>
            <w:left w:val="none" w:sz="0" w:space="0" w:color="auto"/>
            <w:bottom w:val="none" w:sz="0" w:space="0" w:color="auto"/>
            <w:right w:val="none" w:sz="0" w:space="0" w:color="auto"/>
          </w:divBdr>
          <w:divsChild>
            <w:div w:id="1141650132">
              <w:marLeft w:val="0"/>
              <w:marRight w:val="0"/>
              <w:marTop w:val="0"/>
              <w:marBottom w:val="0"/>
              <w:divBdr>
                <w:top w:val="none" w:sz="0" w:space="0" w:color="auto"/>
                <w:left w:val="none" w:sz="0" w:space="0" w:color="auto"/>
                <w:bottom w:val="none" w:sz="0" w:space="0" w:color="auto"/>
                <w:right w:val="none" w:sz="0" w:space="0" w:color="auto"/>
              </w:divBdr>
            </w:div>
          </w:divsChild>
        </w:div>
        <w:div w:id="378819420">
          <w:marLeft w:val="0"/>
          <w:marRight w:val="0"/>
          <w:marTop w:val="0"/>
          <w:marBottom w:val="0"/>
          <w:divBdr>
            <w:top w:val="none" w:sz="0" w:space="0" w:color="auto"/>
            <w:left w:val="none" w:sz="0" w:space="0" w:color="auto"/>
            <w:bottom w:val="none" w:sz="0" w:space="0" w:color="auto"/>
            <w:right w:val="none" w:sz="0" w:space="0" w:color="auto"/>
          </w:divBdr>
          <w:divsChild>
            <w:div w:id="590286269">
              <w:marLeft w:val="0"/>
              <w:marRight w:val="0"/>
              <w:marTop w:val="0"/>
              <w:marBottom w:val="0"/>
              <w:divBdr>
                <w:top w:val="none" w:sz="0" w:space="0" w:color="auto"/>
                <w:left w:val="none" w:sz="0" w:space="0" w:color="auto"/>
                <w:bottom w:val="none" w:sz="0" w:space="0" w:color="auto"/>
                <w:right w:val="none" w:sz="0" w:space="0" w:color="auto"/>
              </w:divBdr>
            </w:div>
          </w:divsChild>
        </w:div>
        <w:div w:id="392196541">
          <w:marLeft w:val="0"/>
          <w:marRight w:val="0"/>
          <w:marTop w:val="0"/>
          <w:marBottom w:val="0"/>
          <w:divBdr>
            <w:top w:val="none" w:sz="0" w:space="0" w:color="auto"/>
            <w:left w:val="none" w:sz="0" w:space="0" w:color="auto"/>
            <w:bottom w:val="none" w:sz="0" w:space="0" w:color="auto"/>
            <w:right w:val="none" w:sz="0" w:space="0" w:color="auto"/>
          </w:divBdr>
          <w:divsChild>
            <w:div w:id="317653173">
              <w:marLeft w:val="0"/>
              <w:marRight w:val="0"/>
              <w:marTop w:val="0"/>
              <w:marBottom w:val="0"/>
              <w:divBdr>
                <w:top w:val="none" w:sz="0" w:space="0" w:color="auto"/>
                <w:left w:val="none" w:sz="0" w:space="0" w:color="auto"/>
                <w:bottom w:val="none" w:sz="0" w:space="0" w:color="auto"/>
                <w:right w:val="none" w:sz="0" w:space="0" w:color="auto"/>
              </w:divBdr>
            </w:div>
          </w:divsChild>
        </w:div>
        <w:div w:id="451747877">
          <w:marLeft w:val="0"/>
          <w:marRight w:val="0"/>
          <w:marTop w:val="0"/>
          <w:marBottom w:val="0"/>
          <w:divBdr>
            <w:top w:val="none" w:sz="0" w:space="0" w:color="auto"/>
            <w:left w:val="none" w:sz="0" w:space="0" w:color="auto"/>
            <w:bottom w:val="none" w:sz="0" w:space="0" w:color="auto"/>
            <w:right w:val="none" w:sz="0" w:space="0" w:color="auto"/>
          </w:divBdr>
          <w:divsChild>
            <w:div w:id="70322357">
              <w:marLeft w:val="0"/>
              <w:marRight w:val="0"/>
              <w:marTop w:val="0"/>
              <w:marBottom w:val="0"/>
              <w:divBdr>
                <w:top w:val="none" w:sz="0" w:space="0" w:color="auto"/>
                <w:left w:val="none" w:sz="0" w:space="0" w:color="auto"/>
                <w:bottom w:val="none" w:sz="0" w:space="0" w:color="auto"/>
                <w:right w:val="none" w:sz="0" w:space="0" w:color="auto"/>
              </w:divBdr>
            </w:div>
          </w:divsChild>
        </w:div>
        <w:div w:id="471485717">
          <w:marLeft w:val="0"/>
          <w:marRight w:val="0"/>
          <w:marTop w:val="0"/>
          <w:marBottom w:val="0"/>
          <w:divBdr>
            <w:top w:val="none" w:sz="0" w:space="0" w:color="auto"/>
            <w:left w:val="none" w:sz="0" w:space="0" w:color="auto"/>
            <w:bottom w:val="none" w:sz="0" w:space="0" w:color="auto"/>
            <w:right w:val="none" w:sz="0" w:space="0" w:color="auto"/>
          </w:divBdr>
          <w:divsChild>
            <w:div w:id="1195997033">
              <w:marLeft w:val="0"/>
              <w:marRight w:val="0"/>
              <w:marTop w:val="0"/>
              <w:marBottom w:val="0"/>
              <w:divBdr>
                <w:top w:val="none" w:sz="0" w:space="0" w:color="auto"/>
                <w:left w:val="none" w:sz="0" w:space="0" w:color="auto"/>
                <w:bottom w:val="none" w:sz="0" w:space="0" w:color="auto"/>
                <w:right w:val="none" w:sz="0" w:space="0" w:color="auto"/>
              </w:divBdr>
            </w:div>
          </w:divsChild>
        </w:div>
        <w:div w:id="477888565">
          <w:marLeft w:val="0"/>
          <w:marRight w:val="0"/>
          <w:marTop w:val="0"/>
          <w:marBottom w:val="0"/>
          <w:divBdr>
            <w:top w:val="none" w:sz="0" w:space="0" w:color="auto"/>
            <w:left w:val="none" w:sz="0" w:space="0" w:color="auto"/>
            <w:bottom w:val="none" w:sz="0" w:space="0" w:color="auto"/>
            <w:right w:val="none" w:sz="0" w:space="0" w:color="auto"/>
          </w:divBdr>
          <w:divsChild>
            <w:div w:id="567306124">
              <w:marLeft w:val="0"/>
              <w:marRight w:val="0"/>
              <w:marTop w:val="0"/>
              <w:marBottom w:val="0"/>
              <w:divBdr>
                <w:top w:val="none" w:sz="0" w:space="0" w:color="auto"/>
                <w:left w:val="none" w:sz="0" w:space="0" w:color="auto"/>
                <w:bottom w:val="none" w:sz="0" w:space="0" w:color="auto"/>
                <w:right w:val="none" w:sz="0" w:space="0" w:color="auto"/>
              </w:divBdr>
            </w:div>
          </w:divsChild>
        </w:div>
        <w:div w:id="479925324">
          <w:marLeft w:val="0"/>
          <w:marRight w:val="0"/>
          <w:marTop w:val="0"/>
          <w:marBottom w:val="0"/>
          <w:divBdr>
            <w:top w:val="none" w:sz="0" w:space="0" w:color="auto"/>
            <w:left w:val="none" w:sz="0" w:space="0" w:color="auto"/>
            <w:bottom w:val="none" w:sz="0" w:space="0" w:color="auto"/>
            <w:right w:val="none" w:sz="0" w:space="0" w:color="auto"/>
          </w:divBdr>
          <w:divsChild>
            <w:div w:id="1161627622">
              <w:marLeft w:val="0"/>
              <w:marRight w:val="0"/>
              <w:marTop w:val="0"/>
              <w:marBottom w:val="0"/>
              <w:divBdr>
                <w:top w:val="none" w:sz="0" w:space="0" w:color="auto"/>
                <w:left w:val="none" w:sz="0" w:space="0" w:color="auto"/>
                <w:bottom w:val="none" w:sz="0" w:space="0" w:color="auto"/>
                <w:right w:val="none" w:sz="0" w:space="0" w:color="auto"/>
              </w:divBdr>
            </w:div>
          </w:divsChild>
        </w:div>
        <w:div w:id="604310853">
          <w:marLeft w:val="0"/>
          <w:marRight w:val="0"/>
          <w:marTop w:val="0"/>
          <w:marBottom w:val="0"/>
          <w:divBdr>
            <w:top w:val="none" w:sz="0" w:space="0" w:color="auto"/>
            <w:left w:val="none" w:sz="0" w:space="0" w:color="auto"/>
            <w:bottom w:val="none" w:sz="0" w:space="0" w:color="auto"/>
            <w:right w:val="none" w:sz="0" w:space="0" w:color="auto"/>
          </w:divBdr>
          <w:divsChild>
            <w:div w:id="107745042">
              <w:marLeft w:val="0"/>
              <w:marRight w:val="0"/>
              <w:marTop w:val="0"/>
              <w:marBottom w:val="0"/>
              <w:divBdr>
                <w:top w:val="none" w:sz="0" w:space="0" w:color="auto"/>
                <w:left w:val="none" w:sz="0" w:space="0" w:color="auto"/>
                <w:bottom w:val="none" w:sz="0" w:space="0" w:color="auto"/>
                <w:right w:val="none" w:sz="0" w:space="0" w:color="auto"/>
              </w:divBdr>
            </w:div>
          </w:divsChild>
        </w:div>
        <w:div w:id="672807355">
          <w:marLeft w:val="0"/>
          <w:marRight w:val="0"/>
          <w:marTop w:val="0"/>
          <w:marBottom w:val="0"/>
          <w:divBdr>
            <w:top w:val="none" w:sz="0" w:space="0" w:color="auto"/>
            <w:left w:val="none" w:sz="0" w:space="0" w:color="auto"/>
            <w:bottom w:val="none" w:sz="0" w:space="0" w:color="auto"/>
            <w:right w:val="none" w:sz="0" w:space="0" w:color="auto"/>
          </w:divBdr>
          <w:divsChild>
            <w:div w:id="518852404">
              <w:marLeft w:val="0"/>
              <w:marRight w:val="0"/>
              <w:marTop w:val="0"/>
              <w:marBottom w:val="0"/>
              <w:divBdr>
                <w:top w:val="none" w:sz="0" w:space="0" w:color="auto"/>
                <w:left w:val="none" w:sz="0" w:space="0" w:color="auto"/>
                <w:bottom w:val="none" w:sz="0" w:space="0" w:color="auto"/>
                <w:right w:val="none" w:sz="0" w:space="0" w:color="auto"/>
              </w:divBdr>
            </w:div>
            <w:div w:id="999506285">
              <w:marLeft w:val="0"/>
              <w:marRight w:val="0"/>
              <w:marTop w:val="0"/>
              <w:marBottom w:val="0"/>
              <w:divBdr>
                <w:top w:val="none" w:sz="0" w:space="0" w:color="auto"/>
                <w:left w:val="none" w:sz="0" w:space="0" w:color="auto"/>
                <w:bottom w:val="none" w:sz="0" w:space="0" w:color="auto"/>
                <w:right w:val="none" w:sz="0" w:space="0" w:color="auto"/>
              </w:divBdr>
            </w:div>
            <w:div w:id="1223979079">
              <w:marLeft w:val="0"/>
              <w:marRight w:val="0"/>
              <w:marTop w:val="0"/>
              <w:marBottom w:val="0"/>
              <w:divBdr>
                <w:top w:val="none" w:sz="0" w:space="0" w:color="auto"/>
                <w:left w:val="none" w:sz="0" w:space="0" w:color="auto"/>
                <w:bottom w:val="none" w:sz="0" w:space="0" w:color="auto"/>
                <w:right w:val="none" w:sz="0" w:space="0" w:color="auto"/>
              </w:divBdr>
            </w:div>
            <w:div w:id="1908225322">
              <w:marLeft w:val="0"/>
              <w:marRight w:val="0"/>
              <w:marTop w:val="0"/>
              <w:marBottom w:val="0"/>
              <w:divBdr>
                <w:top w:val="none" w:sz="0" w:space="0" w:color="auto"/>
                <w:left w:val="none" w:sz="0" w:space="0" w:color="auto"/>
                <w:bottom w:val="none" w:sz="0" w:space="0" w:color="auto"/>
                <w:right w:val="none" w:sz="0" w:space="0" w:color="auto"/>
              </w:divBdr>
            </w:div>
          </w:divsChild>
        </w:div>
        <w:div w:id="674264270">
          <w:marLeft w:val="0"/>
          <w:marRight w:val="0"/>
          <w:marTop w:val="0"/>
          <w:marBottom w:val="0"/>
          <w:divBdr>
            <w:top w:val="none" w:sz="0" w:space="0" w:color="auto"/>
            <w:left w:val="none" w:sz="0" w:space="0" w:color="auto"/>
            <w:bottom w:val="none" w:sz="0" w:space="0" w:color="auto"/>
            <w:right w:val="none" w:sz="0" w:space="0" w:color="auto"/>
          </w:divBdr>
          <w:divsChild>
            <w:div w:id="1143347550">
              <w:marLeft w:val="0"/>
              <w:marRight w:val="0"/>
              <w:marTop w:val="0"/>
              <w:marBottom w:val="0"/>
              <w:divBdr>
                <w:top w:val="none" w:sz="0" w:space="0" w:color="auto"/>
                <w:left w:val="none" w:sz="0" w:space="0" w:color="auto"/>
                <w:bottom w:val="none" w:sz="0" w:space="0" w:color="auto"/>
                <w:right w:val="none" w:sz="0" w:space="0" w:color="auto"/>
              </w:divBdr>
            </w:div>
          </w:divsChild>
        </w:div>
        <w:div w:id="698548865">
          <w:marLeft w:val="0"/>
          <w:marRight w:val="0"/>
          <w:marTop w:val="0"/>
          <w:marBottom w:val="0"/>
          <w:divBdr>
            <w:top w:val="none" w:sz="0" w:space="0" w:color="auto"/>
            <w:left w:val="none" w:sz="0" w:space="0" w:color="auto"/>
            <w:bottom w:val="none" w:sz="0" w:space="0" w:color="auto"/>
            <w:right w:val="none" w:sz="0" w:space="0" w:color="auto"/>
          </w:divBdr>
          <w:divsChild>
            <w:div w:id="2069300535">
              <w:marLeft w:val="0"/>
              <w:marRight w:val="0"/>
              <w:marTop w:val="0"/>
              <w:marBottom w:val="0"/>
              <w:divBdr>
                <w:top w:val="none" w:sz="0" w:space="0" w:color="auto"/>
                <w:left w:val="none" w:sz="0" w:space="0" w:color="auto"/>
                <w:bottom w:val="none" w:sz="0" w:space="0" w:color="auto"/>
                <w:right w:val="none" w:sz="0" w:space="0" w:color="auto"/>
              </w:divBdr>
            </w:div>
          </w:divsChild>
        </w:div>
        <w:div w:id="741366629">
          <w:marLeft w:val="0"/>
          <w:marRight w:val="0"/>
          <w:marTop w:val="0"/>
          <w:marBottom w:val="0"/>
          <w:divBdr>
            <w:top w:val="none" w:sz="0" w:space="0" w:color="auto"/>
            <w:left w:val="none" w:sz="0" w:space="0" w:color="auto"/>
            <w:bottom w:val="none" w:sz="0" w:space="0" w:color="auto"/>
            <w:right w:val="none" w:sz="0" w:space="0" w:color="auto"/>
          </w:divBdr>
          <w:divsChild>
            <w:div w:id="2004039161">
              <w:marLeft w:val="0"/>
              <w:marRight w:val="0"/>
              <w:marTop w:val="0"/>
              <w:marBottom w:val="0"/>
              <w:divBdr>
                <w:top w:val="none" w:sz="0" w:space="0" w:color="auto"/>
                <w:left w:val="none" w:sz="0" w:space="0" w:color="auto"/>
                <w:bottom w:val="none" w:sz="0" w:space="0" w:color="auto"/>
                <w:right w:val="none" w:sz="0" w:space="0" w:color="auto"/>
              </w:divBdr>
            </w:div>
          </w:divsChild>
        </w:div>
        <w:div w:id="745342888">
          <w:marLeft w:val="0"/>
          <w:marRight w:val="0"/>
          <w:marTop w:val="0"/>
          <w:marBottom w:val="0"/>
          <w:divBdr>
            <w:top w:val="none" w:sz="0" w:space="0" w:color="auto"/>
            <w:left w:val="none" w:sz="0" w:space="0" w:color="auto"/>
            <w:bottom w:val="none" w:sz="0" w:space="0" w:color="auto"/>
            <w:right w:val="none" w:sz="0" w:space="0" w:color="auto"/>
          </w:divBdr>
          <w:divsChild>
            <w:div w:id="1643999214">
              <w:marLeft w:val="0"/>
              <w:marRight w:val="0"/>
              <w:marTop w:val="0"/>
              <w:marBottom w:val="0"/>
              <w:divBdr>
                <w:top w:val="none" w:sz="0" w:space="0" w:color="auto"/>
                <w:left w:val="none" w:sz="0" w:space="0" w:color="auto"/>
                <w:bottom w:val="none" w:sz="0" w:space="0" w:color="auto"/>
                <w:right w:val="none" w:sz="0" w:space="0" w:color="auto"/>
              </w:divBdr>
            </w:div>
          </w:divsChild>
        </w:div>
        <w:div w:id="757596349">
          <w:marLeft w:val="0"/>
          <w:marRight w:val="0"/>
          <w:marTop w:val="0"/>
          <w:marBottom w:val="0"/>
          <w:divBdr>
            <w:top w:val="none" w:sz="0" w:space="0" w:color="auto"/>
            <w:left w:val="none" w:sz="0" w:space="0" w:color="auto"/>
            <w:bottom w:val="none" w:sz="0" w:space="0" w:color="auto"/>
            <w:right w:val="none" w:sz="0" w:space="0" w:color="auto"/>
          </w:divBdr>
          <w:divsChild>
            <w:div w:id="1802571044">
              <w:marLeft w:val="0"/>
              <w:marRight w:val="0"/>
              <w:marTop w:val="0"/>
              <w:marBottom w:val="0"/>
              <w:divBdr>
                <w:top w:val="none" w:sz="0" w:space="0" w:color="auto"/>
                <w:left w:val="none" w:sz="0" w:space="0" w:color="auto"/>
                <w:bottom w:val="none" w:sz="0" w:space="0" w:color="auto"/>
                <w:right w:val="none" w:sz="0" w:space="0" w:color="auto"/>
              </w:divBdr>
            </w:div>
          </w:divsChild>
        </w:div>
        <w:div w:id="834420701">
          <w:marLeft w:val="0"/>
          <w:marRight w:val="0"/>
          <w:marTop w:val="0"/>
          <w:marBottom w:val="0"/>
          <w:divBdr>
            <w:top w:val="none" w:sz="0" w:space="0" w:color="auto"/>
            <w:left w:val="none" w:sz="0" w:space="0" w:color="auto"/>
            <w:bottom w:val="none" w:sz="0" w:space="0" w:color="auto"/>
            <w:right w:val="none" w:sz="0" w:space="0" w:color="auto"/>
          </w:divBdr>
          <w:divsChild>
            <w:div w:id="143203869">
              <w:marLeft w:val="0"/>
              <w:marRight w:val="0"/>
              <w:marTop w:val="0"/>
              <w:marBottom w:val="0"/>
              <w:divBdr>
                <w:top w:val="none" w:sz="0" w:space="0" w:color="auto"/>
                <w:left w:val="none" w:sz="0" w:space="0" w:color="auto"/>
                <w:bottom w:val="none" w:sz="0" w:space="0" w:color="auto"/>
                <w:right w:val="none" w:sz="0" w:space="0" w:color="auto"/>
              </w:divBdr>
            </w:div>
            <w:div w:id="904409853">
              <w:marLeft w:val="0"/>
              <w:marRight w:val="0"/>
              <w:marTop w:val="0"/>
              <w:marBottom w:val="0"/>
              <w:divBdr>
                <w:top w:val="none" w:sz="0" w:space="0" w:color="auto"/>
                <w:left w:val="none" w:sz="0" w:space="0" w:color="auto"/>
                <w:bottom w:val="none" w:sz="0" w:space="0" w:color="auto"/>
                <w:right w:val="none" w:sz="0" w:space="0" w:color="auto"/>
              </w:divBdr>
            </w:div>
            <w:div w:id="1041324474">
              <w:marLeft w:val="0"/>
              <w:marRight w:val="0"/>
              <w:marTop w:val="0"/>
              <w:marBottom w:val="0"/>
              <w:divBdr>
                <w:top w:val="none" w:sz="0" w:space="0" w:color="auto"/>
                <w:left w:val="none" w:sz="0" w:space="0" w:color="auto"/>
                <w:bottom w:val="none" w:sz="0" w:space="0" w:color="auto"/>
                <w:right w:val="none" w:sz="0" w:space="0" w:color="auto"/>
              </w:divBdr>
            </w:div>
            <w:div w:id="1253930944">
              <w:marLeft w:val="0"/>
              <w:marRight w:val="0"/>
              <w:marTop w:val="0"/>
              <w:marBottom w:val="0"/>
              <w:divBdr>
                <w:top w:val="none" w:sz="0" w:space="0" w:color="auto"/>
                <w:left w:val="none" w:sz="0" w:space="0" w:color="auto"/>
                <w:bottom w:val="none" w:sz="0" w:space="0" w:color="auto"/>
                <w:right w:val="none" w:sz="0" w:space="0" w:color="auto"/>
              </w:divBdr>
            </w:div>
          </w:divsChild>
        </w:div>
        <w:div w:id="849559982">
          <w:marLeft w:val="0"/>
          <w:marRight w:val="0"/>
          <w:marTop w:val="0"/>
          <w:marBottom w:val="0"/>
          <w:divBdr>
            <w:top w:val="none" w:sz="0" w:space="0" w:color="auto"/>
            <w:left w:val="none" w:sz="0" w:space="0" w:color="auto"/>
            <w:bottom w:val="none" w:sz="0" w:space="0" w:color="auto"/>
            <w:right w:val="none" w:sz="0" w:space="0" w:color="auto"/>
          </w:divBdr>
          <w:divsChild>
            <w:div w:id="1872912359">
              <w:marLeft w:val="0"/>
              <w:marRight w:val="0"/>
              <w:marTop w:val="0"/>
              <w:marBottom w:val="0"/>
              <w:divBdr>
                <w:top w:val="none" w:sz="0" w:space="0" w:color="auto"/>
                <w:left w:val="none" w:sz="0" w:space="0" w:color="auto"/>
                <w:bottom w:val="none" w:sz="0" w:space="0" w:color="auto"/>
                <w:right w:val="none" w:sz="0" w:space="0" w:color="auto"/>
              </w:divBdr>
            </w:div>
          </w:divsChild>
        </w:div>
        <w:div w:id="856698826">
          <w:marLeft w:val="0"/>
          <w:marRight w:val="0"/>
          <w:marTop w:val="0"/>
          <w:marBottom w:val="0"/>
          <w:divBdr>
            <w:top w:val="none" w:sz="0" w:space="0" w:color="auto"/>
            <w:left w:val="none" w:sz="0" w:space="0" w:color="auto"/>
            <w:bottom w:val="none" w:sz="0" w:space="0" w:color="auto"/>
            <w:right w:val="none" w:sz="0" w:space="0" w:color="auto"/>
          </w:divBdr>
          <w:divsChild>
            <w:div w:id="1455900772">
              <w:marLeft w:val="0"/>
              <w:marRight w:val="0"/>
              <w:marTop w:val="0"/>
              <w:marBottom w:val="0"/>
              <w:divBdr>
                <w:top w:val="none" w:sz="0" w:space="0" w:color="auto"/>
                <w:left w:val="none" w:sz="0" w:space="0" w:color="auto"/>
                <w:bottom w:val="none" w:sz="0" w:space="0" w:color="auto"/>
                <w:right w:val="none" w:sz="0" w:space="0" w:color="auto"/>
              </w:divBdr>
            </w:div>
          </w:divsChild>
        </w:div>
        <w:div w:id="859776118">
          <w:marLeft w:val="0"/>
          <w:marRight w:val="0"/>
          <w:marTop w:val="0"/>
          <w:marBottom w:val="0"/>
          <w:divBdr>
            <w:top w:val="none" w:sz="0" w:space="0" w:color="auto"/>
            <w:left w:val="none" w:sz="0" w:space="0" w:color="auto"/>
            <w:bottom w:val="none" w:sz="0" w:space="0" w:color="auto"/>
            <w:right w:val="none" w:sz="0" w:space="0" w:color="auto"/>
          </w:divBdr>
          <w:divsChild>
            <w:div w:id="905722368">
              <w:marLeft w:val="0"/>
              <w:marRight w:val="0"/>
              <w:marTop w:val="0"/>
              <w:marBottom w:val="0"/>
              <w:divBdr>
                <w:top w:val="none" w:sz="0" w:space="0" w:color="auto"/>
                <w:left w:val="none" w:sz="0" w:space="0" w:color="auto"/>
                <w:bottom w:val="none" w:sz="0" w:space="0" w:color="auto"/>
                <w:right w:val="none" w:sz="0" w:space="0" w:color="auto"/>
              </w:divBdr>
            </w:div>
          </w:divsChild>
        </w:div>
        <w:div w:id="865945428">
          <w:marLeft w:val="0"/>
          <w:marRight w:val="0"/>
          <w:marTop w:val="0"/>
          <w:marBottom w:val="0"/>
          <w:divBdr>
            <w:top w:val="none" w:sz="0" w:space="0" w:color="auto"/>
            <w:left w:val="none" w:sz="0" w:space="0" w:color="auto"/>
            <w:bottom w:val="none" w:sz="0" w:space="0" w:color="auto"/>
            <w:right w:val="none" w:sz="0" w:space="0" w:color="auto"/>
          </w:divBdr>
          <w:divsChild>
            <w:div w:id="1092123381">
              <w:marLeft w:val="0"/>
              <w:marRight w:val="0"/>
              <w:marTop w:val="0"/>
              <w:marBottom w:val="0"/>
              <w:divBdr>
                <w:top w:val="none" w:sz="0" w:space="0" w:color="auto"/>
                <w:left w:val="none" w:sz="0" w:space="0" w:color="auto"/>
                <w:bottom w:val="none" w:sz="0" w:space="0" w:color="auto"/>
                <w:right w:val="none" w:sz="0" w:space="0" w:color="auto"/>
              </w:divBdr>
            </w:div>
          </w:divsChild>
        </w:div>
        <w:div w:id="955138940">
          <w:marLeft w:val="0"/>
          <w:marRight w:val="0"/>
          <w:marTop w:val="0"/>
          <w:marBottom w:val="0"/>
          <w:divBdr>
            <w:top w:val="none" w:sz="0" w:space="0" w:color="auto"/>
            <w:left w:val="none" w:sz="0" w:space="0" w:color="auto"/>
            <w:bottom w:val="none" w:sz="0" w:space="0" w:color="auto"/>
            <w:right w:val="none" w:sz="0" w:space="0" w:color="auto"/>
          </w:divBdr>
          <w:divsChild>
            <w:div w:id="721446016">
              <w:marLeft w:val="0"/>
              <w:marRight w:val="0"/>
              <w:marTop w:val="0"/>
              <w:marBottom w:val="0"/>
              <w:divBdr>
                <w:top w:val="none" w:sz="0" w:space="0" w:color="auto"/>
                <w:left w:val="none" w:sz="0" w:space="0" w:color="auto"/>
                <w:bottom w:val="none" w:sz="0" w:space="0" w:color="auto"/>
                <w:right w:val="none" w:sz="0" w:space="0" w:color="auto"/>
              </w:divBdr>
            </w:div>
          </w:divsChild>
        </w:div>
        <w:div w:id="974915854">
          <w:marLeft w:val="0"/>
          <w:marRight w:val="0"/>
          <w:marTop w:val="0"/>
          <w:marBottom w:val="0"/>
          <w:divBdr>
            <w:top w:val="none" w:sz="0" w:space="0" w:color="auto"/>
            <w:left w:val="none" w:sz="0" w:space="0" w:color="auto"/>
            <w:bottom w:val="none" w:sz="0" w:space="0" w:color="auto"/>
            <w:right w:val="none" w:sz="0" w:space="0" w:color="auto"/>
          </w:divBdr>
          <w:divsChild>
            <w:div w:id="85659223">
              <w:marLeft w:val="0"/>
              <w:marRight w:val="0"/>
              <w:marTop w:val="0"/>
              <w:marBottom w:val="0"/>
              <w:divBdr>
                <w:top w:val="none" w:sz="0" w:space="0" w:color="auto"/>
                <w:left w:val="none" w:sz="0" w:space="0" w:color="auto"/>
                <w:bottom w:val="none" w:sz="0" w:space="0" w:color="auto"/>
                <w:right w:val="none" w:sz="0" w:space="0" w:color="auto"/>
              </w:divBdr>
            </w:div>
          </w:divsChild>
        </w:div>
        <w:div w:id="984119097">
          <w:marLeft w:val="0"/>
          <w:marRight w:val="0"/>
          <w:marTop w:val="0"/>
          <w:marBottom w:val="0"/>
          <w:divBdr>
            <w:top w:val="none" w:sz="0" w:space="0" w:color="auto"/>
            <w:left w:val="none" w:sz="0" w:space="0" w:color="auto"/>
            <w:bottom w:val="none" w:sz="0" w:space="0" w:color="auto"/>
            <w:right w:val="none" w:sz="0" w:space="0" w:color="auto"/>
          </w:divBdr>
          <w:divsChild>
            <w:div w:id="1881551844">
              <w:marLeft w:val="0"/>
              <w:marRight w:val="0"/>
              <w:marTop w:val="0"/>
              <w:marBottom w:val="0"/>
              <w:divBdr>
                <w:top w:val="none" w:sz="0" w:space="0" w:color="auto"/>
                <w:left w:val="none" w:sz="0" w:space="0" w:color="auto"/>
                <w:bottom w:val="none" w:sz="0" w:space="0" w:color="auto"/>
                <w:right w:val="none" w:sz="0" w:space="0" w:color="auto"/>
              </w:divBdr>
            </w:div>
          </w:divsChild>
        </w:div>
        <w:div w:id="1008826710">
          <w:marLeft w:val="0"/>
          <w:marRight w:val="0"/>
          <w:marTop w:val="0"/>
          <w:marBottom w:val="0"/>
          <w:divBdr>
            <w:top w:val="none" w:sz="0" w:space="0" w:color="auto"/>
            <w:left w:val="none" w:sz="0" w:space="0" w:color="auto"/>
            <w:bottom w:val="none" w:sz="0" w:space="0" w:color="auto"/>
            <w:right w:val="none" w:sz="0" w:space="0" w:color="auto"/>
          </w:divBdr>
          <w:divsChild>
            <w:div w:id="618226923">
              <w:marLeft w:val="0"/>
              <w:marRight w:val="0"/>
              <w:marTop w:val="0"/>
              <w:marBottom w:val="0"/>
              <w:divBdr>
                <w:top w:val="none" w:sz="0" w:space="0" w:color="auto"/>
                <w:left w:val="none" w:sz="0" w:space="0" w:color="auto"/>
                <w:bottom w:val="none" w:sz="0" w:space="0" w:color="auto"/>
                <w:right w:val="none" w:sz="0" w:space="0" w:color="auto"/>
              </w:divBdr>
            </w:div>
          </w:divsChild>
        </w:div>
        <w:div w:id="1018393163">
          <w:marLeft w:val="0"/>
          <w:marRight w:val="0"/>
          <w:marTop w:val="0"/>
          <w:marBottom w:val="0"/>
          <w:divBdr>
            <w:top w:val="none" w:sz="0" w:space="0" w:color="auto"/>
            <w:left w:val="none" w:sz="0" w:space="0" w:color="auto"/>
            <w:bottom w:val="none" w:sz="0" w:space="0" w:color="auto"/>
            <w:right w:val="none" w:sz="0" w:space="0" w:color="auto"/>
          </w:divBdr>
          <w:divsChild>
            <w:div w:id="1391463103">
              <w:marLeft w:val="0"/>
              <w:marRight w:val="0"/>
              <w:marTop w:val="0"/>
              <w:marBottom w:val="0"/>
              <w:divBdr>
                <w:top w:val="none" w:sz="0" w:space="0" w:color="auto"/>
                <w:left w:val="none" w:sz="0" w:space="0" w:color="auto"/>
                <w:bottom w:val="none" w:sz="0" w:space="0" w:color="auto"/>
                <w:right w:val="none" w:sz="0" w:space="0" w:color="auto"/>
              </w:divBdr>
            </w:div>
          </w:divsChild>
        </w:div>
        <w:div w:id="1082096151">
          <w:marLeft w:val="0"/>
          <w:marRight w:val="0"/>
          <w:marTop w:val="0"/>
          <w:marBottom w:val="0"/>
          <w:divBdr>
            <w:top w:val="none" w:sz="0" w:space="0" w:color="auto"/>
            <w:left w:val="none" w:sz="0" w:space="0" w:color="auto"/>
            <w:bottom w:val="none" w:sz="0" w:space="0" w:color="auto"/>
            <w:right w:val="none" w:sz="0" w:space="0" w:color="auto"/>
          </w:divBdr>
          <w:divsChild>
            <w:div w:id="1469974053">
              <w:marLeft w:val="0"/>
              <w:marRight w:val="0"/>
              <w:marTop w:val="0"/>
              <w:marBottom w:val="0"/>
              <w:divBdr>
                <w:top w:val="none" w:sz="0" w:space="0" w:color="auto"/>
                <w:left w:val="none" w:sz="0" w:space="0" w:color="auto"/>
                <w:bottom w:val="none" w:sz="0" w:space="0" w:color="auto"/>
                <w:right w:val="none" w:sz="0" w:space="0" w:color="auto"/>
              </w:divBdr>
            </w:div>
          </w:divsChild>
        </w:div>
        <w:div w:id="1094014231">
          <w:marLeft w:val="0"/>
          <w:marRight w:val="0"/>
          <w:marTop w:val="0"/>
          <w:marBottom w:val="0"/>
          <w:divBdr>
            <w:top w:val="none" w:sz="0" w:space="0" w:color="auto"/>
            <w:left w:val="none" w:sz="0" w:space="0" w:color="auto"/>
            <w:bottom w:val="none" w:sz="0" w:space="0" w:color="auto"/>
            <w:right w:val="none" w:sz="0" w:space="0" w:color="auto"/>
          </w:divBdr>
          <w:divsChild>
            <w:div w:id="853035805">
              <w:marLeft w:val="0"/>
              <w:marRight w:val="0"/>
              <w:marTop w:val="0"/>
              <w:marBottom w:val="0"/>
              <w:divBdr>
                <w:top w:val="none" w:sz="0" w:space="0" w:color="auto"/>
                <w:left w:val="none" w:sz="0" w:space="0" w:color="auto"/>
                <w:bottom w:val="none" w:sz="0" w:space="0" w:color="auto"/>
                <w:right w:val="none" w:sz="0" w:space="0" w:color="auto"/>
              </w:divBdr>
            </w:div>
          </w:divsChild>
        </w:div>
        <w:div w:id="1100445938">
          <w:marLeft w:val="0"/>
          <w:marRight w:val="0"/>
          <w:marTop w:val="0"/>
          <w:marBottom w:val="0"/>
          <w:divBdr>
            <w:top w:val="none" w:sz="0" w:space="0" w:color="auto"/>
            <w:left w:val="none" w:sz="0" w:space="0" w:color="auto"/>
            <w:bottom w:val="none" w:sz="0" w:space="0" w:color="auto"/>
            <w:right w:val="none" w:sz="0" w:space="0" w:color="auto"/>
          </w:divBdr>
          <w:divsChild>
            <w:div w:id="465781229">
              <w:marLeft w:val="0"/>
              <w:marRight w:val="0"/>
              <w:marTop w:val="0"/>
              <w:marBottom w:val="0"/>
              <w:divBdr>
                <w:top w:val="none" w:sz="0" w:space="0" w:color="auto"/>
                <w:left w:val="none" w:sz="0" w:space="0" w:color="auto"/>
                <w:bottom w:val="none" w:sz="0" w:space="0" w:color="auto"/>
                <w:right w:val="none" w:sz="0" w:space="0" w:color="auto"/>
              </w:divBdr>
            </w:div>
          </w:divsChild>
        </w:div>
        <w:div w:id="1128276059">
          <w:marLeft w:val="0"/>
          <w:marRight w:val="0"/>
          <w:marTop w:val="0"/>
          <w:marBottom w:val="0"/>
          <w:divBdr>
            <w:top w:val="none" w:sz="0" w:space="0" w:color="auto"/>
            <w:left w:val="none" w:sz="0" w:space="0" w:color="auto"/>
            <w:bottom w:val="none" w:sz="0" w:space="0" w:color="auto"/>
            <w:right w:val="none" w:sz="0" w:space="0" w:color="auto"/>
          </w:divBdr>
          <w:divsChild>
            <w:div w:id="2047292555">
              <w:marLeft w:val="0"/>
              <w:marRight w:val="0"/>
              <w:marTop w:val="0"/>
              <w:marBottom w:val="0"/>
              <w:divBdr>
                <w:top w:val="none" w:sz="0" w:space="0" w:color="auto"/>
                <w:left w:val="none" w:sz="0" w:space="0" w:color="auto"/>
                <w:bottom w:val="none" w:sz="0" w:space="0" w:color="auto"/>
                <w:right w:val="none" w:sz="0" w:space="0" w:color="auto"/>
              </w:divBdr>
            </w:div>
          </w:divsChild>
        </w:div>
        <w:div w:id="1143816268">
          <w:marLeft w:val="0"/>
          <w:marRight w:val="0"/>
          <w:marTop w:val="0"/>
          <w:marBottom w:val="0"/>
          <w:divBdr>
            <w:top w:val="none" w:sz="0" w:space="0" w:color="auto"/>
            <w:left w:val="none" w:sz="0" w:space="0" w:color="auto"/>
            <w:bottom w:val="none" w:sz="0" w:space="0" w:color="auto"/>
            <w:right w:val="none" w:sz="0" w:space="0" w:color="auto"/>
          </w:divBdr>
          <w:divsChild>
            <w:div w:id="853567410">
              <w:marLeft w:val="0"/>
              <w:marRight w:val="0"/>
              <w:marTop w:val="0"/>
              <w:marBottom w:val="0"/>
              <w:divBdr>
                <w:top w:val="none" w:sz="0" w:space="0" w:color="auto"/>
                <w:left w:val="none" w:sz="0" w:space="0" w:color="auto"/>
                <w:bottom w:val="none" w:sz="0" w:space="0" w:color="auto"/>
                <w:right w:val="none" w:sz="0" w:space="0" w:color="auto"/>
              </w:divBdr>
            </w:div>
          </w:divsChild>
        </w:div>
        <w:div w:id="1150247295">
          <w:marLeft w:val="0"/>
          <w:marRight w:val="0"/>
          <w:marTop w:val="0"/>
          <w:marBottom w:val="0"/>
          <w:divBdr>
            <w:top w:val="none" w:sz="0" w:space="0" w:color="auto"/>
            <w:left w:val="none" w:sz="0" w:space="0" w:color="auto"/>
            <w:bottom w:val="none" w:sz="0" w:space="0" w:color="auto"/>
            <w:right w:val="none" w:sz="0" w:space="0" w:color="auto"/>
          </w:divBdr>
          <w:divsChild>
            <w:div w:id="868686411">
              <w:marLeft w:val="0"/>
              <w:marRight w:val="0"/>
              <w:marTop w:val="0"/>
              <w:marBottom w:val="0"/>
              <w:divBdr>
                <w:top w:val="none" w:sz="0" w:space="0" w:color="auto"/>
                <w:left w:val="none" w:sz="0" w:space="0" w:color="auto"/>
                <w:bottom w:val="none" w:sz="0" w:space="0" w:color="auto"/>
                <w:right w:val="none" w:sz="0" w:space="0" w:color="auto"/>
              </w:divBdr>
            </w:div>
          </w:divsChild>
        </w:div>
        <w:div w:id="1237782672">
          <w:marLeft w:val="0"/>
          <w:marRight w:val="0"/>
          <w:marTop w:val="0"/>
          <w:marBottom w:val="0"/>
          <w:divBdr>
            <w:top w:val="none" w:sz="0" w:space="0" w:color="auto"/>
            <w:left w:val="none" w:sz="0" w:space="0" w:color="auto"/>
            <w:bottom w:val="none" w:sz="0" w:space="0" w:color="auto"/>
            <w:right w:val="none" w:sz="0" w:space="0" w:color="auto"/>
          </w:divBdr>
          <w:divsChild>
            <w:div w:id="1025905107">
              <w:marLeft w:val="0"/>
              <w:marRight w:val="0"/>
              <w:marTop w:val="0"/>
              <w:marBottom w:val="0"/>
              <w:divBdr>
                <w:top w:val="none" w:sz="0" w:space="0" w:color="auto"/>
                <w:left w:val="none" w:sz="0" w:space="0" w:color="auto"/>
                <w:bottom w:val="none" w:sz="0" w:space="0" w:color="auto"/>
                <w:right w:val="none" w:sz="0" w:space="0" w:color="auto"/>
              </w:divBdr>
            </w:div>
          </w:divsChild>
        </w:div>
        <w:div w:id="1254826169">
          <w:marLeft w:val="0"/>
          <w:marRight w:val="0"/>
          <w:marTop w:val="0"/>
          <w:marBottom w:val="0"/>
          <w:divBdr>
            <w:top w:val="none" w:sz="0" w:space="0" w:color="auto"/>
            <w:left w:val="none" w:sz="0" w:space="0" w:color="auto"/>
            <w:bottom w:val="none" w:sz="0" w:space="0" w:color="auto"/>
            <w:right w:val="none" w:sz="0" w:space="0" w:color="auto"/>
          </w:divBdr>
          <w:divsChild>
            <w:div w:id="1347754288">
              <w:marLeft w:val="0"/>
              <w:marRight w:val="0"/>
              <w:marTop w:val="0"/>
              <w:marBottom w:val="0"/>
              <w:divBdr>
                <w:top w:val="none" w:sz="0" w:space="0" w:color="auto"/>
                <w:left w:val="none" w:sz="0" w:space="0" w:color="auto"/>
                <w:bottom w:val="none" w:sz="0" w:space="0" w:color="auto"/>
                <w:right w:val="none" w:sz="0" w:space="0" w:color="auto"/>
              </w:divBdr>
            </w:div>
          </w:divsChild>
        </w:div>
        <w:div w:id="1295597230">
          <w:marLeft w:val="0"/>
          <w:marRight w:val="0"/>
          <w:marTop w:val="0"/>
          <w:marBottom w:val="0"/>
          <w:divBdr>
            <w:top w:val="none" w:sz="0" w:space="0" w:color="auto"/>
            <w:left w:val="none" w:sz="0" w:space="0" w:color="auto"/>
            <w:bottom w:val="none" w:sz="0" w:space="0" w:color="auto"/>
            <w:right w:val="none" w:sz="0" w:space="0" w:color="auto"/>
          </w:divBdr>
          <w:divsChild>
            <w:div w:id="2043361683">
              <w:marLeft w:val="0"/>
              <w:marRight w:val="0"/>
              <w:marTop w:val="0"/>
              <w:marBottom w:val="0"/>
              <w:divBdr>
                <w:top w:val="none" w:sz="0" w:space="0" w:color="auto"/>
                <w:left w:val="none" w:sz="0" w:space="0" w:color="auto"/>
                <w:bottom w:val="none" w:sz="0" w:space="0" w:color="auto"/>
                <w:right w:val="none" w:sz="0" w:space="0" w:color="auto"/>
              </w:divBdr>
            </w:div>
          </w:divsChild>
        </w:div>
        <w:div w:id="1311206799">
          <w:marLeft w:val="0"/>
          <w:marRight w:val="0"/>
          <w:marTop w:val="0"/>
          <w:marBottom w:val="0"/>
          <w:divBdr>
            <w:top w:val="none" w:sz="0" w:space="0" w:color="auto"/>
            <w:left w:val="none" w:sz="0" w:space="0" w:color="auto"/>
            <w:bottom w:val="none" w:sz="0" w:space="0" w:color="auto"/>
            <w:right w:val="none" w:sz="0" w:space="0" w:color="auto"/>
          </w:divBdr>
          <w:divsChild>
            <w:div w:id="137235152">
              <w:marLeft w:val="0"/>
              <w:marRight w:val="0"/>
              <w:marTop w:val="0"/>
              <w:marBottom w:val="0"/>
              <w:divBdr>
                <w:top w:val="none" w:sz="0" w:space="0" w:color="auto"/>
                <w:left w:val="none" w:sz="0" w:space="0" w:color="auto"/>
                <w:bottom w:val="none" w:sz="0" w:space="0" w:color="auto"/>
                <w:right w:val="none" w:sz="0" w:space="0" w:color="auto"/>
              </w:divBdr>
            </w:div>
          </w:divsChild>
        </w:div>
        <w:div w:id="1313408801">
          <w:marLeft w:val="0"/>
          <w:marRight w:val="0"/>
          <w:marTop w:val="0"/>
          <w:marBottom w:val="0"/>
          <w:divBdr>
            <w:top w:val="none" w:sz="0" w:space="0" w:color="auto"/>
            <w:left w:val="none" w:sz="0" w:space="0" w:color="auto"/>
            <w:bottom w:val="none" w:sz="0" w:space="0" w:color="auto"/>
            <w:right w:val="none" w:sz="0" w:space="0" w:color="auto"/>
          </w:divBdr>
          <w:divsChild>
            <w:div w:id="296687369">
              <w:marLeft w:val="0"/>
              <w:marRight w:val="0"/>
              <w:marTop w:val="0"/>
              <w:marBottom w:val="0"/>
              <w:divBdr>
                <w:top w:val="none" w:sz="0" w:space="0" w:color="auto"/>
                <w:left w:val="none" w:sz="0" w:space="0" w:color="auto"/>
                <w:bottom w:val="none" w:sz="0" w:space="0" w:color="auto"/>
                <w:right w:val="none" w:sz="0" w:space="0" w:color="auto"/>
              </w:divBdr>
            </w:div>
          </w:divsChild>
        </w:div>
        <w:div w:id="1336036957">
          <w:marLeft w:val="0"/>
          <w:marRight w:val="0"/>
          <w:marTop w:val="0"/>
          <w:marBottom w:val="0"/>
          <w:divBdr>
            <w:top w:val="none" w:sz="0" w:space="0" w:color="auto"/>
            <w:left w:val="none" w:sz="0" w:space="0" w:color="auto"/>
            <w:bottom w:val="none" w:sz="0" w:space="0" w:color="auto"/>
            <w:right w:val="none" w:sz="0" w:space="0" w:color="auto"/>
          </w:divBdr>
          <w:divsChild>
            <w:div w:id="1214386202">
              <w:marLeft w:val="0"/>
              <w:marRight w:val="0"/>
              <w:marTop w:val="0"/>
              <w:marBottom w:val="0"/>
              <w:divBdr>
                <w:top w:val="none" w:sz="0" w:space="0" w:color="auto"/>
                <w:left w:val="none" w:sz="0" w:space="0" w:color="auto"/>
                <w:bottom w:val="none" w:sz="0" w:space="0" w:color="auto"/>
                <w:right w:val="none" w:sz="0" w:space="0" w:color="auto"/>
              </w:divBdr>
            </w:div>
          </w:divsChild>
        </w:div>
        <w:div w:id="1359576040">
          <w:marLeft w:val="0"/>
          <w:marRight w:val="0"/>
          <w:marTop w:val="0"/>
          <w:marBottom w:val="0"/>
          <w:divBdr>
            <w:top w:val="none" w:sz="0" w:space="0" w:color="auto"/>
            <w:left w:val="none" w:sz="0" w:space="0" w:color="auto"/>
            <w:bottom w:val="none" w:sz="0" w:space="0" w:color="auto"/>
            <w:right w:val="none" w:sz="0" w:space="0" w:color="auto"/>
          </w:divBdr>
          <w:divsChild>
            <w:div w:id="2074157798">
              <w:marLeft w:val="0"/>
              <w:marRight w:val="0"/>
              <w:marTop w:val="0"/>
              <w:marBottom w:val="0"/>
              <w:divBdr>
                <w:top w:val="none" w:sz="0" w:space="0" w:color="auto"/>
                <w:left w:val="none" w:sz="0" w:space="0" w:color="auto"/>
                <w:bottom w:val="none" w:sz="0" w:space="0" w:color="auto"/>
                <w:right w:val="none" w:sz="0" w:space="0" w:color="auto"/>
              </w:divBdr>
            </w:div>
          </w:divsChild>
        </w:div>
        <w:div w:id="1405761278">
          <w:marLeft w:val="0"/>
          <w:marRight w:val="0"/>
          <w:marTop w:val="0"/>
          <w:marBottom w:val="0"/>
          <w:divBdr>
            <w:top w:val="none" w:sz="0" w:space="0" w:color="auto"/>
            <w:left w:val="none" w:sz="0" w:space="0" w:color="auto"/>
            <w:bottom w:val="none" w:sz="0" w:space="0" w:color="auto"/>
            <w:right w:val="none" w:sz="0" w:space="0" w:color="auto"/>
          </w:divBdr>
          <w:divsChild>
            <w:div w:id="1446079818">
              <w:marLeft w:val="0"/>
              <w:marRight w:val="0"/>
              <w:marTop w:val="0"/>
              <w:marBottom w:val="0"/>
              <w:divBdr>
                <w:top w:val="none" w:sz="0" w:space="0" w:color="auto"/>
                <w:left w:val="none" w:sz="0" w:space="0" w:color="auto"/>
                <w:bottom w:val="none" w:sz="0" w:space="0" w:color="auto"/>
                <w:right w:val="none" w:sz="0" w:space="0" w:color="auto"/>
              </w:divBdr>
            </w:div>
          </w:divsChild>
        </w:div>
        <w:div w:id="1406611132">
          <w:marLeft w:val="0"/>
          <w:marRight w:val="0"/>
          <w:marTop w:val="0"/>
          <w:marBottom w:val="0"/>
          <w:divBdr>
            <w:top w:val="none" w:sz="0" w:space="0" w:color="auto"/>
            <w:left w:val="none" w:sz="0" w:space="0" w:color="auto"/>
            <w:bottom w:val="none" w:sz="0" w:space="0" w:color="auto"/>
            <w:right w:val="none" w:sz="0" w:space="0" w:color="auto"/>
          </w:divBdr>
          <w:divsChild>
            <w:div w:id="2012103777">
              <w:marLeft w:val="0"/>
              <w:marRight w:val="0"/>
              <w:marTop w:val="0"/>
              <w:marBottom w:val="0"/>
              <w:divBdr>
                <w:top w:val="none" w:sz="0" w:space="0" w:color="auto"/>
                <w:left w:val="none" w:sz="0" w:space="0" w:color="auto"/>
                <w:bottom w:val="none" w:sz="0" w:space="0" w:color="auto"/>
                <w:right w:val="none" w:sz="0" w:space="0" w:color="auto"/>
              </w:divBdr>
            </w:div>
          </w:divsChild>
        </w:div>
        <w:div w:id="1419789896">
          <w:marLeft w:val="0"/>
          <w:marRight w:val="0"/>
          <w:marTop w:val="0"/>
          <w:marBottom w:val="0"/>
          <w:divBdr>
            <w:top w:val="none" w:sz="0" w:space="0" w:color="auto"/>
            <w:left w:val="none" w:sz="0" w:space="0" w:color="auto"/>
            <w:bottom w:val="none" w:sz="0" w:space="0" w:color="auto"/>
            <w:right w:val="none" w:sz="0" w:space="0" w:color="auto"/>
          </w:divBdr>
          <w:divsChild>
            <w:div w:id="90393084">
              <w:marLeft w:val="0"/>
              <w:marRight w:val="0"/>
              <w:marTop w:val="0"/>
              <w:marBottom w:val="0"/>
              <w:divBdr>
                <w:top w:val="none" w:sz="0" w:space="0" w:color="auto"/>
                <w:left w:val="none" w:sz="0" w:space="0" w:color="auto"/>
                <w:bottom w:val="none" w:sz="0" w:space="0" w:color="auto"/>
                <w:right w:val="none" w:sz="0" w:space="0" w:color="auto"/>
              </w:divBdr>
            </w:div>
          </w:divsChild>
        </w:div>
        <w:div w:id="1424761565">
          <w:marLeft w:val="0"/>
          <w:marRight w:val="0"/>
          <w:marTop w:val="0"/>
          <w:marBottom w:val="0"/>
          <w:divBdr>
            <w:top w:val="none" w:sz="0" w:space="0" w:color="auto"/>
            <w:left w:val="none" w:sz="0" w:space="0" w:color="auto"/>
            <w:bottom w:val="none" w:sz="0" w:space="0" w:color="auto"/>
            <w:right w:val="none" w:sz="0" w:space="0" w:color="auto"/>
          </w:divBdr>
          <w:divsChild>
            <w:div w:id="214506283">
              <w:marLeft w:val="0"/>
              <w:marRight w:val="0"/>
              <w:marTop w:val="0"/>
              <w:marBottom w:val="0"/>
              <w:divBdr>
                <w:top w:val="none" w:sz="0" w:space="0" w:color="auto"/>
                <w:left w:val="none" w:sz="0" w:space="0" w:color="auto"/>
                <w:bottom w:val="none" w:sz="0" w:space="0" w:color="auto"/>
                <w:right w:val="none" w:sz="0" w:space="0" w:color="auto"/>
              </w:divBdr>
            </w:div>
          </w:divsChild>
        </w:div>
        <w:div w:id="1429153639">
          <w:marLeft w:val="0"/>
          <w:marRight w:val="0"/>
          <w:marTop w:val="0"/>
          <w:marBottom w:val="0"/>
          <w:divBdr>
            <w:top w:val="none" w:sz="0" w:space="0" w:color="auto"/>
            <w:left w:val="none" w:sz="0" w:space="0" w:color="auto"/>
            <w:bottom w:val="none" w:sz="0" w:space="0" w:color="auto"/>
            <w:right w:val="none" w:sz="0" w:space="0" w:color="auto"/>
          </w:divBdr>
          <w:divsChild>
            <w:div w:id="2055421898">
              <w:marLeft w:val="0"/>
              <w:marRight w:val="0"/>
              <w:marTop w:val="0"/>
              <w:marBottom w:val="0"/>
              <w:divBdr>
                <w:top w:val="none" w:sz="0" w:space="0" w:color="auto"/>
                <w:left w:val="none" w:sz="0" w:space="0" w:color="auto"/>
                <w:bottom w:val="none" w:sz="0" w:space="0" w:color="auto"/>
                <w:right w:val="none" w:sz="0" w:space="0" w:color="auto"/>
              </w:divBdr>
            </w:div>
          </w:divsChild>
        </w:div>
        <w:div w:id="1450662014">
          <w:marLeft w:val="0"/>
          <w:marRight w:val="0"/>
          <w:marTop w:val="0"/>
          <w:marBottom w:val="0"/>
          <w:divBdr>
            <w:top w:val="none" w:sz="0" w:space="0" w:color="auto"/>
            <w:left w:val="none" w:sz="0" w:space="0" w:color="auto"/>
            <w:bottom w:val="none" w:sz="0" w:space="0" w:color="auto"/>
            <w:right w:val="none" w:sz="0" w:space="0" w:color="auto"/>
          </w:divBdr>
          <w:divsChild>
            <w:div w:id="362246034">
              <w:marLeft w:val="0"/>
              <w:marRight w:val="0"/>
              <w:marTop w:val="0"/>
              <w:marBottom w:val="0"/>
              <w:divBdr>
                <w:top w:val="none" w:sz="0" w:space="0" w:color="auto"/>
                <w:left w:val="none" w:sz="0" w:space="0" w:color="auto"/>
                <w:bottom w:val="none" w:sz="0" w:space="0" w:color="auto"/>
                <w:right w:val="none" w:sz="0" w:space="0" w:color="auto"/>
              </w:divBdr>
            </w:div>
          </w:divsChild>
        </w:div>
        <w:div w:id="1459372127">
          <w:marLeft w:val="0"/>
          <w:marRight w:val="0"/>
          <w:marTop w:val="0"/>
          <w:marBottom w:val="0"/>
          <w:divBdr>
            <w:top w:val="none" w:sz="0" w:space="0" w:color="auto"/>
            <w:left w:val="none" w:sz="0" w:space="0" w:color="auto"/>
            <w:bottom w:val="none" w:sz="0" w:space="0" w:color="auto"/>
            <w:right w:val="none" w:sz="0" w:space="0" w:color="auto"/>
          </w:divBdr>
          <w:divsChild>
            <w:div w:id="29184552">
              <w:marLeft w:val="0"/>
              <w:marRight w:val="0"/>
              <w:marTop w:val="0"/>
              <w:marBottom w:val="0"/>
              <w:divBdr>
                <w:top w:val="none" w:sz="0" w:space="0" w:color="auto"/>
                <w:left w:val="none" w:sz="0" w:space="0" w:color="auto"/>
                <w:bottom w:val="none" w:sz="0" w:space="0" w:color="auto"/>
                <w:right w:val="none" w:sz="0" w:space="0" w:color="auto"/>
              </w:divBdr>
            </w:div>
          </w:divsChild>
        </w:div>
        <w:div w:id="1460806659">
          <w:marLeft w:val="0"/>
          <w:marRight w:val="0"/>
          <w:marTop w:val="0"/>
          <w:marBottom w:val="0"/>
          <w:divBdr>
            <w:top w:val="none" w:sz="0" w:space="0" w:color="auto"/>
            <w:left w:val="none" w:sz="0" w:space="0" w:color="auto"/>
            <w:bottom w:val="none" w:sz="0" w:space="0" w:color="auto"/>
            <w:right w:val="none" w:sz="0" w:space="0" w:color="auto"/>
          </w:divBdr>
          <w:divsChild>
            <w:div w:id="1482426944">
              <w:marLeft w:val="0"/>
              <w:marRight w:val="0"/>
              <w:marTop w:val="0"/>
              <w:marBottom w:val="0"/>
              <w:divBdr>
                <w:top w:val="none" w:sz="0" w:space="0" w:color="auto"/>
                <w:left w:val="none" w:sz="0" w:space="0" w:color="auto"/>
                <w:bottom w:val="none" w:sz="0" w:space="0" w:color="auto"/>
                <w:right w:val="none" w:sz="0" w:space="0" w:color="auto"/>
              </w:divBdr>
            </w:div>
          </w:divsChild>
        </w:div>
        <w:div w:id="1483351674">
          <w:marLeft w:val="0"/>
          <w:marRight w:val="0"/>
          <w:marTop w:val="0"/>
          <w:marBottom w:val="0"/>
          <w:divBdr>
            <w:top w:val="none" w:sz="0" w:space="0" w:color="auto"/>
            <w:left w:val="none" w:sz="0" w:space="0" w:color="auto"/>
            <w:bottom w:val="none" w:sz="0" w:space="0" w:color="auto"/>
            <w:right w:val="none" w:sz="0" w:space="0" w:color="auto"/>
          </w:divBdr>
          <w:divsChild>
            <w:div w:id="1050151902">
              <w:marLeft w:val="0"/>
              <w:marRight w:val="0"/>
              <w:marTop w:val="0"/>
              <w:marBottom w:val="0"/>
              <w:divBdr>
                <w:top w:val="none" w:sz="0" w:space="0" w:color="auto"/>
                <w:left w:val="none" w:sz="0" w:space="0" w:color="auto"/>
                <w:bottom w:val="none" w:sz="0" w:space="0" w:color="auto"/>
                <w:right w:val="none" w:sz="0" w:space="0" w:color="auto"/>
              </w:divBdr>
            </w:div>
          </w:divsChild>
        </w:div>
        <w:div w:id="1519808116">
          <w:marLeft w:val="0"/>
          <w:marRight w:val="0"/>
          <w:marTop w:val="0"/>
          <w:marBottom w:val="0"/>
          <w:divBdr>
            <w:top w:val="none" w:sz="0" w:space="0" w:color="auto"/>
            <w:left w:val="none" w:sz="0" w:space="0" w:color="auto"/>
            <w:bottom w:val="none" w:sz="0" w:space="0" w:color="auto"/>
            <w:right w:val="none" w:sz="0" w:space="0" w:color="auto"/>
          </w:divBdr>
          <w:divsChild>
            <w:div w:id="1188251605">
              <w:marLeft w:val="0"/>
              <w:marRight w:val="0"/>
              <w:marTop w:val="0"/>
              <w:marBottom w:val="0"/>
              <w:divBdr>
                <w:top w:val="none" w:sz="0" w:space="0" w:color="auto"/>
                <w:left w:val="none" w:sz="0" w:space="0" w:color="auto"/>
                <w:bottom w:val="none" w:sz="0" w:space="0" w:color="auto"/>
                <w:right w:val="none" w:sz="0" w:space="0" w:color="auto"/>
              </w:divBdr>
            </w:div>
          </w:divsChild>
        </w:div>
        <w:div w:id="1587686163">
          <w:marLeft w:val="0"/>
          <w:marRight w:val="0"/>
          <w:marTop w:val="0"/>
          <w:marBottom w:val="0"/>
          <w:divBdr>
            <w:top w:val="none" w:sz="0" w:space="0" w:color="auto"/>
            <w:left w:val="none" w:sz="0" w:space="0" w:color="auto"/>
            <w:bottom w:val="none" w:sz="0" w:space="0" w:color="auto"/>
            <w:right w:val="none" w:sz="0" w:space="0" w:color="auto"/>
          </w:divBdr>
          <w:divsChild>
            <w:div w:id="569579087">
              <w:marLeft w:val="0"/>
              <w:marRight w:val="0"/>
              <w:marTop w:val="0"/>
              <w:marBottom w:val="0"/>
              <w:divBdr>
                <w:top w:val="none" w:sz="0" w:space="0" w:color="auto"/>
                <w:left w:val="none" w:sz="0" w:space="0" w:color="auto"/>
                <w:bottom w:val="none" w:sz="0" w:space="0" w:color="auto"/>
                <w:right w:val="none" w:sz="0" w:space="0" w:color="auto"/>
              </w:divBdr>
            </w:div>
          </w:divsChild>
        </w:div>
        <w:div w:id="1590045658">
          <w:marLeft w:val="0"/>
          <w:marRight w:val="0"/>
          <w:marTop w:val="0"/>
          <w:marBottom w:val="0"/>
          <w:divBdr>
            <w:top w:val="none" w:sz="0" w:space="0" w:color="auto"/>
            <w:left w:val="none" w:sz="0" w:space="0" w:color="auto"/>
            <w:bottom w:val="none" w:sz="0" w:space="0" w:color="auto"/>
            <w:right w:val="none" w:sz="0" w:space="0" w:color="auto"/>
          </w:divBdr>
          <w:divsChild>
            <w:div w:id="1401513653">
              <w:marLeft w:val="0"/>
              <w:marRight w:val="0"/>
              <w:marTop w:val="0"/>
              <w:marBottom w:val="0"/>
              <w:divBdr>
                <w:top w:val="none" w:sz="0" w:space="0" w:color="auto"/>
                <w:left w:val="none" w:sz="0" w:space="0" w:color="auto"/>
                <w:bottom w:val="none" w:sz="0" w:space="0" w:color="auto"/>
                <w:right w:val="none" w:sz="0" w:space="0" w:color="auto"/>
              </w:divBdr>
            </w:div>
          </w:divsChild>
        </w:div>
        <w:div w:id="1632251053">
          <w:marLeft w:val="0"/>
          <w:marRight w:val="0"/>
          <w:marTop w:val="0"/>
          <w:marBottom w:val="0"/>
          <w:divBdr>
            <w:top w:val="none" w:sz="0" w:space="0" w:color="auto"/>
            <w:left w:val="none" w:sz="0" w:space="0" w:color="auto"/>
            <w:bottom w:val="none" w:sz="0" w:space="0" w:color="auto"/>
            <w:right w:val="none" w:sz="0" w:space="0" w:color="auto"/>
          </w:divBdr>
          <w:divsChild>
            <w:div w:id="2130852437">
              <w:marLeft w:val="0"/>
              <w:marRight w:val="0"/>
              <w:marTop w:val="0"/>
              <w:marBottom w:val="0"/>
              <w:divBdr>
                <w:top w:val="none" w:sz="0" w:space="0" w:color="auto"/>
                <w:left w:val="none" w:sz="0" w:space="0" w:color="auto"/>
                <w:bottom w:val="none" w:sz="0" w:space="0" w:color="auto"/>
                <w:right w:val="none" w:sz="0" w:space="0" w:color="auto"/>
              </w:divBdr>
            </w:div>
          </w:divsChild>
        </w:div>
        <w:div w:id="1640305673">
          <w:marLeft w:val="0"/>
          <w:marRight w:val="0"/>
          <w:marTop w:val="0"/>
          <w:marBottom w:val="0"/>
          <w:divBdr>
            <w:top w:val="none" w:sz="0" w:space="0" w:color="auto"/>
            <w:left w:val="none" w:sz="0" w:space="0" w:color="auto"/>
            <w:bottom w:val="none" w:sz="0" w:space="0" w:color="auto"/>
            <w:right w:val="none" w:sz="0" w:space="0" w:color="auto"/>
          </w:divBdr>
          <w:divsChild>
            <w:div w:id="1862471093">
              <w:marLeft w:val="0"/>
              <w:marRight w:val="0"/>
              <w:marTop w:val="0"/>
              <w:marBottom w:val="0"/>
              <w:divBdr>
                <w:top w:val="none" w:sz="0" w:space="0" w:color="auto"/>
                <w:left w:val="none" w:sz="0" w:space="0" w:color="auto"/>
                <w:bottom w:val="none" w:sz="0" w:space="0" w:color="auto"/>
                <w:right w:val="none" w:sz="0" w:space="0" w:color="auto"/>
              </w:divBdr>
            </w:div>
          </w:divsChild>
        </w:div>
        <w:div w:id="1652756938">
          <w:marLeft w:val="0"/>
          <w:marRight w:val="0"/>
          <w:marTop w:val="0"/>
          <w:marBottom w:val="0"/>
          <w:divBdr>
            <w:top w:val="none" w:sz="0" w:space="0" w:color="auto"/>
            <w:left w:val="none" w:sz="0" w:space="0" w:color="auto"/>
            <w:bottom w:val="none" w:sz="0" w:space="0" w:color="auto"/>
            <w:right w:val="none" w:sz="0" w:space="0" w:color="auto"/>
          </w:divBdr>
          <w:divsChild>
            <w:div w:id="1693452054">
              <w:marLeft w:val="0"/>
              <w:marRight w:val="0"/>
              <w:marTop w:val="0"/>
              <w:marBottom w:val="0"/>
              <w:divBdr>
                <w:top w:val="none" w:sz="0" w:space="0" w:color="auto"/>
                <w:left w:val="none" w:sz="0" w:space="0" w:color="auto"/>
                <w:bottom w:val="none" w:sz="0" w:space="0" w:color="auto"/>
                <w:right w:val="none" w:sz="0" w:space="0" w:color="auto"/>
              </w:divBdr>
            </w:div>
          </w:divsChild>
        </w:div>
        <w:div w:id="1674458136">
          <w:marLeft w:val="0"/>
          <w:marRight w:val="0"/>
          <w:marTop w:val="0"/>
          <w:marBottom w:val="0"/>
          <w:divBdr>
            <w:top w:val="none" w:sz="0" w:space="0" w:color="auto"/>
            <w:left w:val="none" w:sz="0" w:space="0" w:color="auto"/>
            <w:bottom w:val="none" w:sz="0" w:space="0" w:color="auto"/>
            <w:right w:val="none" w:sz="0" w:space="0" w:color="auto"/>
          </w:divBdr>
          <w:divsChild>
            <w:div w:id="1777286404">
              <w:marLeft w:val="0"/>
              <w:marRight w:val="0"/>
              <w:marTop w:val="0"/>
              <w:marBottom w:val="0"/>
              <w:divBdr>
                <w:top w:val="none" w:sz="0" w:space="0" w:color="auto"/>
                <w:left w:val="none" w:sz="0" w:space="0" w:color="auto"/>
                <w:bottom w:val="none" w:sz="0" w:space="0" w:color="auto"/>
                <w:right w:val="none" w:sz="0" w:space="0" w:color="auto"/>
              </w:divBdr>
            </w:div>
          </w:divsChild>
        </w:div>
        <w:div w:id="1753316055">
          <w:marLeft w:val="0"/>
          <w:marRight w:val="0"/>
          <w:marTop w:val="0"/>
          <w:marBottom w:val="0"/>
          <w:divBdr>
            <w:top w:val="none" w:sz="0" w:space="0" w:color="auto"/>
            <w:left w:val="none" w:sz="0" w:space="0" w:color="auto"/>
            <w:bottom w:val="none" w:sz="0" w:space="0" w:color="auto"/>
            <w:right w:val="none" w:sz="0" w:space="0" w:color="auto"/>
          </w:divBdr>
          <w:divsChild>
            <w:div w:id="1891767557">
              <w:marLeft w:val="0"/>
              <w:marRight w:val="0"/>
              <w:marTop w:val="0"/>
              <w:marBottom w:val="0"/>
              <w:divBdr>
                <w:top w:val="none" w:sz="0" w:space="0" w:color="auto"/>
                <w:left w:val="none" w:sz="0" w:space="0" w:color="auto"/>
                <w:bottom w:val="none" w:sz="0" w:space="0" w:color="auto"/>
                <w:right w:val="none" w:sz="0" w:space="0" w:color="auto"/>
              </w:divBdr>
            </w:div>
          </w:divsChild>
        </w:div>
        <w:div w:id="1829245872">
          <w:marLeft w:val="0"/>
          <w:marRight w:val="0"/>
          <w:marTop w:val="0"/>
          <w:marBottom w:val="0"/>
          <w:divBdr>
            <w:top w:val="none" w:sz="0" w:space="0" w:color="auto"/>
            <w:left w:val="none" w:sz="0" w:space="0" w:color="auto"/>
            <w:bottom w:val="none" w:sz="0" w:space="0" w:color="auto"/>
            <w:right w:val="none" w:sz="0" w:space="0" w:color="auto"/>
          </w:divBdr>
          <w:divsChild>
            <w:div w:id="691955882">
              <w:marLeft w:val="0"/>
              <w:marRight w:val="0"/>
              <w:marTop w:val="0"/>
              <w:marBottom w:val="0"/>
              <w:divBdr>
                <w:top w:val="none" w:sz="0" w:space="0" w:color="auto"/>
                <w:left w:val="none" w:sz="0" w:space="0" w:color="auto"/>
                <w:bottom w:val="none" w:sz="0" w:space="0" w:color="auto"/>
                <w:right w:val="none" w:sz="0" w:space="0" w:color="auto"/>
              </w:divBdr>
            </w:div>
          </w:divsChild>
        </w:div>
        <w:div w:id="1830903903">
          <w:marLeft w:val="0"/>
          <w:marRight w:val="0"/>
          <w:marTop w:val="0"/>
          <w:marBottom w:val="0"/>
          <w:divBdr>
            <w:top w:val="none" w:sz="0" w:space="0" w:color="auto"/>
            <w:left w:val="none" w:sz="0" w:space="0" w:color="auto"/>
            <w:bottom w:val="none" w:sz="0" w:space="0" w:color="auto"/>
            <w:right w:val="none" w:sz="0" w:space="0" w:color="auto"/>
          </w:divBdr>
          <w:divsChild>
            <w:div w:id="370419564">
              <w:marLeft w:val="0"/>
              <w:marRight w:val="0"/>
              <w:marTop w:val="0"/>
              <w:marBottom w:val="0"/>
              <w:divBdr>
                <w:top w:val="none" w:sz="0" w:space="0" w:color="auto"/>
                <w:left w:val="none" w:sz="0" w:space="0" w:color="auto"/>
                <w:bottom w:val="none" w:sz="0" w:space="0" w:color="auto"/>
                <w:right w:val="none" w:sz="0" w:space="0" w:color="auto"/>
              </w:divBdr>
            </w:div>
          </w:divsChild>
        </w:div>
        <w:div w:id="1840845755">
          <w:marLeft w:val="0"/>
          <w:marRight w:val="0"/>
          <w:marTop w:val="0"/>
          <w:marBottom w:val="0"/>
          <w:divBdr>
            <w:top w:val="none" w:sz="0" w:space="0" w:color="auto"/>
            <w:left w:val="none" w:sz="0" w:space="0" w:color="auto"/>
            <w:bottom w:val="none" w:sz="0" w:space="0" w:color="auto"/>
            <w:right w:val="none" w:sz="0" w:space="0" w:color="auto"/>
          </w:divBdr>
          <w:divsChild>
            <w:div w:id="607002876">
              <w:marLeft w:val="0"/>
              <w:marRight w:val="0"/>
              <w:marTop w:val="0"/>
              <w:marBottom w:val="0"/>
              <w:divBdr>
                <w:top w:val="none" w:sz="0" w:space="0" w:color="auto"/>
                <w:left w:val="none" w:sz="0" w:space="0" w:color="auto"/>
                <w:bottom w:val="none" w:sz="0" w:space="0" w:color="auto"/>
                <w:right w:val="none" w:sz="0" w:space="0" w:color="auto"/>
              </w:divBdr>
            </w:div>
          </w:divsChild>
        </w:div>
        <w:div w:id="1871188010">
          <w:marLeft w:val="0"/>
          <w:marRight w:val="0"/>
          <w:marTop w:val="0"/>
          <w:marBottom w:val="0"/>
          <w:divBdr>
            <w:top w:val="none" w:sz="0" w:space="0" w:color="auto"/>
            <w:left w:val="none" w:sz="0" w:space="0" w:color="auto"/>
            <w:bottom w:val="none" w:sz="0" w:space="0" w:color="auto"/>
            <w:right w:val="none" w:sz="0" w:space="0" w:color="auto"/>
          </w:divBdr>
          <w:divsChild>
            <w:div w:id="1291786445">
              <w:marLeft w:val="0"/>
              <w:marRight w:val="0"/>
              <w:marTop w:val="0"/>
              <w:marBottom w:val="0"/>
              <w:divBdr>
                <w:top w:val="none" w:sz="0" w:space="0" w:color="auto"/>
                <w:left w:val="none" w:sz="0" w:space="0" w:color="auto"/>
                <w:bottom w:val="none" w:sz="0" w:space="0" w:color="auto"/>
                <w:right w:val="none" w:sz="0" w:space="0" w:color="auto"/>
              </w:divBdr>
            </w:div>
          </w:divsChild>
        </w:div>
        <w:div w:id="1877039110">
          <w:marLeft w:val="0"/>
          <w:marRight w:val="0"/>
          <w:marTop w:val="0"/>
          <w:marBottom w:val="0"/>
          <w:divBdr>
            <w:top w:val="none" w:sz="0" w:space="0" w:color="auto"/>
            <w:left w:val="none" w:sz="0" w:space="0" w:color="auto"/>
            <w:bottom w:val="none" w:sz="0" w:space="0" w:color="auto"/>
            <w:right w:val="none" w:sz="0" w:space="0" w:color="auto"/>
          </w:divBdr>
          <w:divsChild>
            <w:div w:id="1476602158">
              <w:marLeft w:val="0"/>
              <w:marRight w:val="0"/>
              <w:marTop w:val="0"/>
              <w:marBottom w:val="0"/>
              <w:divBdr>
                <w:top w:val="none" w:sz="0" w:space="0" w:color="auto"/>
                <w:left w:val="none" w:sz="0" w:space="0" w:color="auto"/>
                <w:bottom w:val="none" w:sz="0" w:space="0" w:color="auto"/>
                <w:right w:val="none" w:sz="0" w:space="0" w:color="auto"/>
              </w:divBdr>
            </w:div>
          </w:divsChild>
        </w:div>
        <w:div w:id="1906719100">
          <w:marLeft w:val="0"/>
          <w:marRight w:val="0"/>
          <w:marTop w:val="0"/>
          <w:marBottom w:val="0"/>
          <w:divBdr>
            <w:top w:val="none" w:sz="0" w:space="0" w:color="auto"/>
            <w:left w:val="none" w:sz="0" w:space="0" w:color="auto"/>
            <w:bottom w:val="none" w:sz="0" w:space="0" w:color="auto"/>
            <w:right w:val="none" w:sz="0" w:space="0" w:color="auto"/>
          </w:divBdr>
          <w:divsChild>
            <w:div w:id="914359903">
              <w:marLeft w:val="0"/>
              <w:marRight w:val="0"/>
              <w:marTop w:val="0"/>
              <w:marBottom w:val="0"/>
              <w:divBdr>
                <w:top w:val="none" w:sz="0" w:space="0" w:color="auto"/>
                <w:left w:val="none" w:sz="0" w:space="0" w:color="auto"/>
                <w:bottom w:val="none" w:sz="0" w:space="0" w:color="auto"/>
                <w:right w:val="none" w:sz="0" w:space="0" w:color="auto"/>
              </w:divBdr>
            </w:div>
          </w:divsChild>
        </w:div>
        <w:div w:id="1911227754">
          <w:marLeft w:val="0"/>
          <w:marRight w:val="0"/>
          <w:marTop w:val="0"/>
          <w:marBottom w:val="0"/>
          <w:divBdr>
            <w:top w:val="none" w:sz="0" w:space="0" w:color="auto"/>
            <w:left w:val="none" w:sz="0" w:space="0" w:color="auto"/>
            <w:bottom w:val="none" w:sz="0" w:space="0" w:color="auto"/>
            <w:right w:val="none" w:sz="0" w:space="0" w:color="auto"/>
          </w:divBdr>
          <w:divsChild>
            <w:div w:id="556890630">
              <w:marLeft w:val="0"/>
              <w:marRight w:val="0"/>
              <w:marTop w:val="0"/>
              <w:marBottom w:val="0"/>
              <w:divBdr>
                <w:top w:val="none" w:sz="0" w:space="0" w:color="auto"/>
                <w:left w:val="none" w:sz="0" w:space="0" w:color="auto"/>
                <w:bottom w:val="none" w:sz="0" w:space="0" w:color="auto"/>
                <w:right w:val="none" w:sz="0" w:space="0" w:color="auto"/>
              </w:divBdr>
            </w:div>
          </w:divsChild>
        </w:div>
        <w:div w:id="1914850207">
          <w:marLeft w:val="0"/>
          <w:marRight w:val="0"/>
          <w:marTop w:val="0"/>
          <w:marBottom w:val="0"/>
          <w:divBdr>
            <w:top w:val="none" w:sz="0" w:space="0" w:color="auto"/>
            <w:left w:val="none" w:sz="0" w:space="0" w:color="auto"/>
            <w:bottom w:val="none" w:sz="0" w:space="0" w:color="auto"/>
            <w:right w:val="none" w:sz="0" w:space="0" w:color="auto"/>
          </w:divBdr>
          <w:divsChild>
            <w:div w:id="1689678792">
              <w:marLeft w:val="0"/>
              <w:marRight w:val="0"/>
              <w:marTop w:val="0"/>
              <w:marBottom w:val="0"/>
              <w:divBdr>
                <w:top w:val="none" w:sz="0" w:space="0" w:color="auto"/>
                <w:left w:val="none" w:sz="0" w:space="0" w:color="auto"/>
                <w:bottom w:val="none" w:sz="0" w:space="0" w:color="auto"/>
                <w:right w:val="none" w:sz="0" w:space="0" w:color="auto"/>
              </w:divBdr>
            </w:div>
          </w:divsChild>
        </w:div>
        <w:div w:id="1923905614">
          <w:marLeft w:val="0"/>
          <w:marRight w:val="0"/>
          <w:marTop w:val="0"/>
          <w:marBottom w:val="0"/>
          <w:divBdr>
            <w:top w:val="none" w:sz="0" w:space="0" w:color="auto"/>
            <w:left w:val="none" w:sz="0" w:space="0" w:color="auto"/>
            <w:bottom w:val="none" w:sz="0" w:space="0" w:color="auto"/>
            <w:right w:val="none" w:sz="0" w:space="0" w:color="auto"/>
          </w:divBdr>
          <w:divsChild>
            <w:div w:id="1221551978">
              <w:marLeft w:val="0"/>
              <w:marRight w:val="0"/>
              <w:marTop w:val="0"/>
              <w:marBottom w:val="0"/>
              <w:divBdr>
                <w:top w:val="none" w:sz="0" w:space="0" w:color="auto"/>
                <w:left w:val="none" w:sz="0" w:space="0" w:color="auto"/>
                <w:bottom w:val="none" w:sz="0" w:space="0" w:color="auto"/>
                <w:right w:val="none" w:sz="0" w:space="0" w:color="auto"/>
              </w:divBdr>
            </w:div>
          </w:divsChild>
        </w:div>
        <w:div w:id="1931884984">
          <w:marLeft w:val="0"/>
          <w:marRight w:val="0"/>
          <w:marTop w:val="0"/>
          <w:marBottom w:val="0"/>
          <w:divBdr>
            <w:top w:val="none" w:sz="0" w:space="0" w:color="auto"/>
            <w:left w:val="none" w:sz="0" w:space="0" w:color="auto"/>
            <w:bottom w:val="none" w:sz="0" w:space="0" w:color="auto"/>
            <w:right w:val="none" w:sz="0" w:space="0" w:color="auto"/>
          </w:divBdr>
          <w:divsChild>
            <w:div w:id="1046875974">
              <w:marLeft w:val="0"/>
              <w:marRight w:val="0"/>
              <w:marTop w:val="0"/>
              <w:marBottom w:val="0"/>
              <w:divBdr>
                <w:top w:val="none" w:sz="0" w:space="0" w:color="auto"/>
                <w:left w:val="none" w:sz="0" w:space="0" w:color="auto"/>
                <w:bottom w:val="none" w:sz="0" w:space="0" w:color="auto"/>
                <w:right w:val="none" w:sz="0" w:space="0" w:color="auto"/>
              </w:divBdr>
            </w:div>
          </w:divsChild>
        </w:div>
        <w:div w:id="1998143076">
          <w:marLeft w:val="0"/>
          <w:marRight w:val="0"/>
          <w:marTop w:val="0"/>
          <w:marBottom w:val="0"/>
          <w:divBdr>
            <w:top w:val="none" w:sz="0" w:space="0" w:color="auto"/>
            <w:left w:val="none" w:sz="0" w:space="0" w:color="auto"/>
            <w:bottom w:val="none" w:sz="0" w:space="0" w:color="auto"/>
            <w:right w:val="none" w:sz="0" w:space="0" w:color="auto"/>
          </w:divBdr>
          <w:divsChild>
            <w:div w:id="2008316696">
              <w:marLeft w:val="0"/>
              <w:marRight w:val="0"/>
              <w:marTop w:val="0"/>
              <w:marBottom w:val="0"/>
              <w:divBdr>
                <w:top w:val="none" w:sz="0" w:space="0" w:color="auto"/>
                <w:left w:val="none" w:sz="0" w:space="0" w:color="auto"/>
                <w:bottom w:val="none" w:sz="0" w:space="0" w:color="auto"/>
                <w:right w:val="none" w:sz="0" w:space="0" w:color="auto"/>
              </w:divBdr>
            </w:div>
          </w:divsChild>
        </w:div>
        <w:div w:id="2020161628">
          <w:marLeft w:val="0"/>
          <w:marRight w:val="0"/>
          <w:marTop w:val="0"/>
          <w:marBottom w:val="0"/>
          <w:divBdr>
            <w:top w:val="none" w:sz="0" w:space="0" w:color="auto"/>
            <w:left w:val="none" w:sz="0" w:space="0" w:color="auto"/>
            <w:bottom w:val="none" w:sz="0" w:space="0" w:color="auto"/>
            <w:right w:val="none" w:sz="0" w:space="0" w:color="auto"/>
          </w:divBdr>
          <w:divsChild>
            <w:div w:id="1915698146">
              <w:marLeft w:val="0"/>
              <w:marRight w:val="0"/>
              <w:marTop w:val="0"/>
              <w:marBottom w:val="0"/>
              <w:divBdr>
                <w:top w:val="none" w:sz="0" w:space="0" w:color="auto"/>
                <w:left w:val="none" w:sz="0" w:space="0" w:color="auto"/>
                <w:bottom w:val="none" w:sz="0" w:space="0" w:color="auto"/>
                <w:right w:val="none" w:sz="0" w:space="0" w:color="auto"/>
              </w:divBdr>
            </w:div>
          </w:divsChild>
        </w:div>
        <w:div w:id="2066028695">
          <w:marLeft w:val="0"/>
          <w:marRight w:val="0"/>
          <w:marTop w:val="0"/>
          <w:marBottom w:val="0"/>
          <w:divBdr>
            <w:top w:val="none" w:sz="0" w:space="0" w:color="auto"/>
            <w:left w:val="none" w:sz="0" w:space="0" w:color="auto"/>
            <w:bottom w:val="none" w:sz="0" w:space="0" w:color="auto"/>
            <w:right w:val="none" w:sz="0" w:space="0" w:color="auto"/>
          </w:divBdr>
          <w:divsChild>
            <w:div w:id="855726823">
              <w:marLeft w:val="0"/>
              <w:marRight w:val="0"/>
              <w:marTop w:val="0"/>
              <w:marBottom w:val="0"/>
              <w:divBdr>
                <w:top w:val="none" w:sz="0" w:space="0" w:color="auto"/>
                <w:left w:val="none" w:sz="0" w:space="0" w:color="auto"/>
                <w:bottom w:val="none" w:sz="0" w:space="0" w:color="auto"/>
                <w:right w:val="none" w:sz="0" w:space="0" w:color="auto"/>
              </w:divBdr>
            </w:div>
          </w:divsChild>
        </w:div>
        <w:div w:id="2075077453">
          <w:marLeft w:val="0"/>
          <w:marRight w:val="0"/>
          <w:marTop w:val="0"/>
          <w:marBottom w:val="0"/>
          <w:divBdr>
            <w:top w:val="none" w:sz="0" w:space="0" w:color="auto"/>
            <w:left w:val="none" w:sz="0" w:space="0" w:color="auto"/>
            <w:bottom w:val="none" w:sz="0" w:space="0" w:color="auto"/>
            <w:right w:val="none" w:sz="0" w:space="0" w:color="auto"/>
          </w:divBdr>
          <w:divsChild>
            <w:div w:id="984511553">
              <w:marLeft w:val="0"/>
              <w:marRight w:val="0"/>
              <w:marTop w:val="0"/>
              <w:marBottom w:val="0"/>
              <w:divBdr>
                <w:top w:val="none" w:sz="0" w:space="0" w:color="auto"/>
                <w:left w:val="none" w:sz="0" w:space="0" w:color="auto"/>
                <w:bottom w:val="none" w:sz="0" w:space="0" w:color="auto"/>
                <w:right w:val="none" w:sz="0" w:space="0" w:color="auto"/>
              </w:divBdr>
            </w:div>
          </w:divsChild>
        </w:div>
        <w:div w:id="2086100191">
          <w:marLeft w:val="0"/>
          <w:marRight w:val="0"/>
          <w:marTop w:val="0"/>
          <w:marBottom w:val="0"/>
          <w:divBdr>
            <w:top w:val="none" w:sz="0" w:space="0" w:color="auto"/>
            <w:left w:val="none" w:sz="0" w:space="0" w:color="auto"/>
            <w:bottom w:val="none" w:sz="0" w:space="0" w:color="auto"/>
            <w:right w:val="none" w:sz="0" w:space="0" w:color="auto"/>
          </w:divBdr>
          <w:divsChild>
            <w:div w:id="176118643">
              <w:marLeft w:val="0"/>
              <w:marRight w:val="0"/>
              <w:marTop w:val="0"/>
              <w:marBottom w:val="0"/>
              <w:divBdr>
                <w:top w:val="none" w:sz="0" w:space="0" w:color="auto"/>
                <w:left w:val="none" w:sz="0" w:space="0" w:color="auto"/>
                <w:bottom w:val="none" w:sz="0" w:space="0" w:color="auto"/>
                <w:right w:val="none" w:sz="0" w:space="0" w:color="auto"/>
              </w:divBdr>
            </w:div>
          </w:divsChild>
        </w:div>
        <w:div w:id="2090928343">
          <w:marLeft w:val="0"/>
          <w:marRight w:val="0"/>
          <w:marTop w:val="0"/>
          <w:marBottom w:val="0"/>
          <w:divBdr>
            <w:top w:val="none" w:sz="0" w:space="0" w:color="auto"/>
            <w:left w:val="none" w:sz="0" w:space="0" w:color="auto"/>
            <w:bottom w:val="none" w:sz="0" w:space="0" w:color="auto"/>
            <w:right w:val="none" w:sz="0" w:space="0" w:color="auto"/>
          </w:divBdr>
          <w:divsChild>
            <w:div w:id="770399809">
              <w:marLeft w:val="0"/>
              <w:marRight w:val="0"/>
              <w:marTop w:val="0"/>
              <w:marBottom w:val="0"/>
              <w:divBdr>
                <w:top w:val="none" w:sz="0" w:space="0" w:color="auto"/>
                <w:left w:val="none" w:sz="0" w:space="0" w:color="auto"/>
                <w:bottom w:val="none" w:sz="0" w:space="0" w:color="auto"/>
                <w:right w:val="none" w:sz="0" w:space="0" w:color="auto"/>
              </w:divBdr>
            </w:div>
          </w:divsChild>
        </w:div>
        <w:div w:id="2100170861">
          <w:marLeft w:val="0"/>
          <w:marRight w:val="0"/>
          <w:marTop w:val="0"/>
          <w:marBottom w:val="0"/>
          <w:divBdr>
            <w:top w:val="none" w:sz="0" w:space="0" w:color="auto"/>
            <w:left w:val="none" w:sz="0" w:space="0" w:color="auto"/>
            <w:bottom w:val="none" w:sz="0" w:space="0" w:color="auto"/>
            <w:right w:val="none" w:sz="0" w:space="0" w:color="auto"/>
          </w:divBdr>
          <w:divsChild>
            <w:div w:id="159463788">
              <w:marLeft w:val="0"/>
              <w:marRight w:val="0"/>
              <w:marTop w:val="0"/>
              <w:marBottom w:val="0"/>
              <w:divBdr>
                <w:top w:val="none" w:sz="0" w:space="0" w:color="auto"/>
                <w:left w:val="none" w:sz="0" w:space="0" w:color="auto"/>
                <w:bottom w:val="none" w:sz="0" w:space="0" w:color="auto"/>
                <w:right w:val="none" w:sz="0" w:space="0" w:color="auto"/>
              </w:divBdr>
            </w:div>
          </w:divsChild>
        </w:div>
        <w:div w:id="2108454131">
          <w:marLeft w:val="0"/>
          <w:marRight w:val="0"/>
          <w:marTop w:val="0"/>
          <w:marBottom w:val="0"/>
          <w:divBdr>
            <w:top w:val="none" w:sz="0" w:space="0" w:color="auto"/>
            <w:left w:val="none" w:sz="0" w:space="0" w:color="auto"/>
            <w:bottom w:val="none" w:sz="0" w:space="0" w:color="auto"/>
            <w:right w:val="none" w:sz="0" w:space="0" w:color="auto"/>
          </w:divBdr>
          <w:divsChild>
            <w:div w:id="674960689">
              <w:marLeft w:val="0"/>
              <w:marRight w:val="0"/>
              <w:marTop w:val="0"/>
              <w:marBottom w:val="0"/>
              <w:divBdr>
                <w:top w:val="none" w:sz="0" w:space="0" w:color="auto"/>
                <w:left w:val="none" w:sz="0" w:space="0" w:color="auto"/>
                <w:bottom w:val="none" w:sz="0" w:space="0" w:color="auto"/>
                <w:right w:val="none" w:sz="0" w:space="0" w:color="auto"/>
              </w:divBdr>
            </w:div>
          </w:divsChild>
        </w:div>
        <w:div w:id="2110543721">
          <w:marLeft w:val="0"/>
          <w:marRight w:val="0"/>
          <w:marTop w:val="0"/>
          <w:marBottom w:val="0"/>
          <w:divBdr>
            <w:top w:val="none" w:sz="0" w:space="0" w:color="auto"/>
            <w:left w:val="none" w:sz="0" w:space="0" w:color="auto"/>
            <w:bottom w:val="none" w:sz="0" w:space="0" w:color="auto"/>
            <w:right w:val="none" w:sz="0" w:space="0" w:color="auto"/>
          </w:divBdr>
          <w:divsChild>
            <w:div w:id="1821533027">
              <w:marLeft w:val="0"/>
              <w:marRight w:val="0"/>
              <w:marTop w:val="0"/>
              <w:marBottom w:val="0"/>
              <w:divBdr>
                <w:top w:val="none" w:sz="0" w:space="0" w:color="auto"/>
                <w:left w:val="none" w:sz="0" w:space="0" w:color="auto"/>
                <w:bottom w:val="none" w:sz="0" w:space="0" w:color="auto"/>
                <w:right w:val="none" w:sz="0" w:space="0" w:color="auto"/>
              </w:divBdr>
            </w:div>
          </w:divsChild>
        </w:div>
        <w:div w:id="2128351717">
          <w:marLeft w:val="0"/>
          <w:marRight w:val="0"/>
          <w:marTop w:val="0"/>
          <w:marBottom w:val="0"/>
          <w:divBdr>
            <w:top w:val="none" w:sz="0" w:space="0" w:color="auto"/>
            <w:left w:val="none" w:sz="0" w:space="0" w:color="auto"/>
            <w:bottom w:val="none" w:sz="0" w:space="0" w:color="auto"/>
            <w:right w:val="none" w:sz="0" w:space="0" w:color="auto"/>
          </w:divBdr>
          <w:divsChild>
            <w:div w:id="1867673207">
              <w:marLeft w:val="0"/>
              <w:marRight w:val="0"/>
              <w:marTop w:val="0"/>
              <w:marBottom w:val="0"/>
              <w:divBdr>
                <w:top w:val="none" w:sz="0" w:space="0" w:color="auto"/>
                <w:left w:val="none" w:sz="0" w:space="0" w:color="auto"/>
                <w:bottom w:val="none" w:sz="0" w:space="0" w:color="auto"/>
                <w:right w:val="none" w:sz="0" w:space="0" w:color="auto"/>
              </w:divBdr>
            </w:div>
          </w:divsChild>
        </w:div>
        <w:div w:id="2129544402">
          <w:marLeft w:val="0"/>
          <w:marRight w:val="0"/>
          <w:marTop w:val="0"/>
          <w:marBottom w:val="0"/>
          <w:divBdr>
            <w:top w:val="none" w:sz="0" w:space="0" w:color="auto"/>
            <w:left w:val="none" w:sz="0" w:space="0" w:color="auto"/>
            <w:bottom w:val="none" w:sz="0" w:space="0" w:color="auto"/>
            <w:right w:val="none" w:sz="0" w:space="0" w:color="auto"/>
          </w:divBdr>
          <w:divsChild>
            <w:div w:id="101627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138">
      <w:bodyDiv w:val="1"/>
      <w:marLeft w:val="0"/>
      <w:marRight w:val="0"/>
      <w:marTop w:val="0"/>
      <w:marBottom w:val="0"/>
      <w:divBdr>
        <w:top w:val="none" w:sz="0" w:space="0" w:color="auto"/>
        <w:left w:val="none" w:sz="0" w:space="0" w:color="auto"/>
        <w:bottom w:val="none" w:sz="0" w:space="0" w:color="auto"/>
        <w:right w:val="none" w:sz="0" w:space="0" w:color="auto"/>
      </w:divBdr>
    </w:div>
    <w:div w:id="1281180431">
      <w:bodyDiv w:val="1"/>
      <w:marLeft w:val="0"/>
      <w:marRight w:val="0"/>
      <w:marTop w:val="0"/>
      <w:marBottom w:val="0"/>
      <w:divBdr>
        <w:top w:val="none" w:sz="0" w:space="0" w:color="auto"/>
        <w:left w:val="none" w:sz="0" w:space="0" w:color="auto"/>
        <w:bottom w:val="none" w:sz="0" w:space="0" w:color="auto"/>
        <w:right w:val="none" w:sz="0" w:space="0" w:color="auto"/>
      </w:divBdr>
      <w:divsChild>
        <w:div w:id="138155938">
          <w:marLeft w:val="0"/>
          <w:marRight w:val="0"/>
          <w:marTop w:val="0"/>
          <w:marBottom w:val="0"/>
          <w:divBdr>
            <w:top w:val="none" w:sz="0" w:space="0" w:color="auto"/>
            <w:left w:val="none" w:sz="0" w:space="0" w:color="auto"/>
            <w:bottom w:val="none" w:sz="0" w:space="0" w:color="auto"/>
            <w:right w:val="none" w:sz="0" w:space="0" w:color="auto"/>
          </w:divBdr>
          <w:divsChild>
            <w:div w:id="1714383890">
              <w:marLeft w:val="0"/>
              <w:marRight w:val="0"/>
              <w:marTop w:val="0"/>
              <w:marBottom w:val="0"/>
              <w:divBdr>
                <w:top w:val="none" w:sz="0" w:space="0" w:color="auto"/>
                <w:left w:val="none" w:sz="0" w:space="0" w:color="auto"/>
                <w:bottom w:val="none" w:sz="0" w:space="0" w:color="auto"/>
                <w:right w:val="none" w:sz="0" w:space="0" w:color="auto"/>
              </w:divBdr>
            </w:div>
          </w:divsChild>
        </w:div>
        <w:div w:id="139687828">
          <w:marLeft w:val="0"/>
          <w:marRight w:val="0"/>
          <w:marTop w:val="0"/>
          <w:marBottom w:val="0"/>
          <w:divBdr>
            <w:top w:val="none" w:sz="0" w:space="0" w:color="auto"/>
            <w:left w:val="none" w:sz="0" w:space="0" w:color="auto"/>
            <w:bottom w:val="none" w:sz="0" w:space="0" w:color="auto"/>
            <w:right w:val="none" w:sz="0" w:space="0" w:color="auto"/>
          </w:divBdr>
          <w:divsChild>
            <w:div w:id="802768908">
              <w:marLeft w:val="0"/>
              <w:marRight w:val="0"/>
              <w:marTop w:val="0"/>
              <w:marBottom w:val="0"/>
              <w:divBdr>
                <w:top w:val="none" w:sz="0" w:space="0" w:color="auto"/>
                <w:left w:val="none" w:sz="0" w:space="0" w:color="auto"/>
                <w:bottom w:val="none" w:sz="0" w:space="0" w:color="auto"/>
                <w:right w:val="none" w:sz="0" w:space="0" w:color="auto"/>
              </w:divBdr>
            </w:div>
          </w:divsChild>
        </w:div>
        <w:div w:id="240258953">
          <w:marLeft w:val="0"/>
          <w:marRight w:val="0"/>
          <w:marTop w:val="0"/>
          <w:marBottom w:val="0"/>
          <w:divBdr>
            <w:top w:val="none" w:sz="0" w:space="0" w:color="auto"/>
            <w:left w:val="none" w:sz="0" w:space="0" w:color="auto"/>
            <w:bottom w:val="none" w:sz="0" w:space="0" w:color="auto"/>
            <w:right w:val="none" w:sz="0" w:space="0" w:color="auto"/>
          </w:divBdr>
          <w:divsChild>
            <w:div w:id="1997147444">
              <w:marLeft w:val="0"/>
              <w:marRight w:val="0"/>
              <w:marTop w:val="0"/>
              <w:marBottom w:val="0"/>
              <w:divBdr>
                <w:top w:val="none" w:sz="0" w:space="0" w:color="auto"/>
                <w:left w:val="none" w:sz="0" w:space="0" w:color="auto"/>
                <w:bottom w:val="none" w:sz="0" w:space="0" w:color="auto"/>
                <w:right w:val="none" w:sz="0" w:space="0" w:color="auto"/>
              </w:divBdr>
            </w:div>
          </w:divsChild>
        </w:div>
        <w:div w:id="296760220">
          <w:marLeft w:val="0"/>
          <w:marRight w:val="0"/>
          <w:marTop w:val="0"/>
          <w:marBottom w:val="0"/>
          <w:divBdr>
            <w:top w:val="none" w:sz="0" w:space="0" w:color="auto"/>
            <w:left w:val="none" w:sz="0" w:space="0" w:color="auto"/>
            <w:bottom w:val="none" w:sz="0" w:space="0" w:color="auto"/>
            <w:right w:val="none" w:sz="0" w:space="0" w:color="auto"/>
          </w:divBdr>
          <w:divsChild>
            <w:div w:id="251596631">
              <w:marLeft w:val="0"/>
              <w:marRight w:val="0"/>
              <w:marTop w:val="0"/>
              <w:marBottom w:val="0"/>
              <w:divBdr>
                <w:top w:val="none" w:sz="0" w:space="0" w:color="auto"/>
                <w:left w:val="none" w:sz="0" w:space="0" w:color="auto"/>
                <w:bottom w:val="none" w:sz="0" w:space="0" w:color="auto"/>
                <w:right w:val="none" w:sz="0" w:space="0" w:color="auto"/>
              </w:divBdr>
            </w:div>
          </w:divsChild>
        </w:div>
        <w:div w:id="322508695">
          <w:marLeft w:val="0"/>
          <w:marRight w:val="0"/>
          <w:marTop w:val="0"/>
          <w:marBottom w:val="0"/>
          <w:divBdr>
            <w:top w:val="none" w:sz="0" w:space="0" w:color="auto"/>
            <w:left w:val="none" w:sz="0" w:space="0" w:color="auto"/>
            <w:bottom w:val="none" w:sz="0" w:space="0" w:color="auto"/>
            <w:right w:val="none" w:sz="0" w:space="0" w:color="auto"/>
          </w:divBdr>
          <w:divsChild>
            <w:div w:id="307440487">
              <w:marLeft w:val="0"/>
              <w:marRight w:val="0"/>
              <w:marTop w:val="0"/>
              <w:marBottom w:val="0"/>
              <w:divBdr>
                <w:top w:val="none" w:sz="0" w:space="0" w:color="auto"/>
                <w:left w:val="none" w:sz="0" w:space="0" w:color="auto"/>
                <w:bottom w:val="none" w:sz="0" w:space="0" w:color="auto"/>
                <w:right w:val="none" w:sz="0" w:space="0" w:color="auto"/>
              </w:divBdr>
            </w:div>
          </w:divsChild>
        </w:div>
        <w:div w:id="374934837">
          <w:marLeft w:val="0"/>
          <w:marRight w:val="0"/>
          <w:marTop w:val="0"/>
          <w:marBottom w:val="0"/>
          <w:divBdr>
            <w:top w:val="none" w:sz="0" w:space="0" w:color="auto"/>
            <w:left w:val="none" w:sz="0" w:space="0" w:color="auto"/>
            <w:bottom w:val="none" w:sz="0" w:space="0" w:color="auto"/>
            <w:right w:val="none" w:sz="0" w:space="0" w:color="auto"/>
          </w:divBdr>
          <w:divsChild>
            <w:div w:id="318576729">
              <w:marLeft w:val="0"/>
              <w:marRight w:val="0"/>
              <w:marTop w:val="0"/>
              <w:marBottom w:val="0"/>
              <w:divBdr>
                <w:top w:val="none" w:sz="0" w:space="0" w:color="auto"/>
                <w:left w:val="none" w:sz="0" w:space="0" w:color="auto"/>
                <w:bottom w:val="none" w:sz="0" w:space="0" w:color="auto"/>
                <w:right w:val="none" w:sz="0" w:space="0" w:color="auto"/>
              </w:divBdr>
            </w:div>
          </w:divsChild>
        </w:div>
        <w:div w:id="622662497">
          <w:marLeft w:val="0"/>
          <w:marRight w:val="0"/>
          <w:marTop w:val="0"/>
          <w:marBottom w:val="0"/>
          <w:divBdr>
            <w:top w:val="none" w:sz="0" w:space="0" w:color="auto"/>
            <w:left w:val="none" w:sz="0" w:space="0" w:color="auto"/>
            <w:bottom w:val="none" w:sz="0" w:space="0" w:color="auto"/>
            <w:right w:val="none" w:sz="0" w:space="0" w:color="auto"/>
          </w:divBdr>
          <w:divsChild>
            <w:div w:id="474227425">
              <w:marLeft w:val="0"/>
              <w:marRight w:val="0"/>
              <w:marTop w:val="0"/>
              <w:marBottom w:val="0"/>
              <w:divBdr>
                <w:top w:val="none" w:sz="0" w:space="0" w:color="auto"/>
                <w:left w:val="none" w:sz="0" w:space="0" w:color="auto"/>
                <w:bottom w:val="none" w:sz="0" w:space="0" w:color="auto"/>
                <w:right w:val="none" w:sz="0" w:space="0" w:color="auto"/>
              </w:divBdr>
            </w:div>
          </w:divsChild>
        </w:div>
        <w:div w:id="653532241">
          <w:marLeft w:val="0"/>
          <w:marRight w:val="0"/>
          <w:marTop w:val="0"/>
          <w:marBottom w:val="0"/>
          <w:divBdr>
            <w:top w:val="none" w:sz="0" w:space="0" w:color="auto"/>
            <w:left w:val="none" w:sz="0" w:space="0" w:color="auto"/>
            <w:bottom w:val="none" w:sz="0" w:space="0" w:color="auto"/>
            <w:right w:val="none" w:sz="0" w:space="0" w:color="auto"/>
          </w:divBdr>
          <w:divsChild>
            <w:div w:id="1321347750">
              <w:marLeft w:val="0"/>
              <w:marRight w:val="0"/>
              <w:marTop w:val="0"/>
              <w:marBottom w:val="0"/>
              <w:divBdr>
                <w:top w:val="none" w:sz="0" w:space="0" w:color="auto"/>
                <w:left w:val="none" w:sz="0" w:space="0" w:color="auto"/>
                <w:bottom w:val="none" w:sz="0" w:space="0" w:color="auto"/>
                <w:right w:val="none" w:sz="0" w:space="0" w:color="auto"/>
              </w:divBdr>
            </w:div>
          </w:divsChild>
        </w:div>
        <w:div w:id="701903681">
          <w:marLeft w:val="0"/>
          <w:marRight w:val="0"/>
          <w:marTop w:val="0"/>
          <w:marBottom w:val="0"/>
          <w:divBdr>
            <w:top w:val="none" w:sz="0" w:space="0" w:color="auto"/>
            <w:left w:val="none" w:sz="0" w:space="0" w:color="auto"/>
            <w:bottom w:val="none" w:sz="0" w:space="0" w:color="auto"/>
            <w:right w:val="none" w:sz="0" w:space="0" w:color="auto"/>
          </w:divBdr>
          <w:divsChild>
            <w:div w:id="2005627649">
              <w:marLeft w:val="0"/>
              <w:marRight w:val="0"/>
              <w:marTop w:val="0"/>
              <w:marBottom w:val="0"/>
              <w:divBdr>
                <w:top w:val="none" w:sz="0" w:space="0" w:color="auto"/>
                <w:left w:val="none" w:sz="0" w:space="0" w:color="auto"/>
                <w:bottom w:val="none" w:sz="0" w:space="0" w:color="auto"/>
                <w:right w:val="none" w:sz="0" w:space="0" w:color="auto"/>
              </w:divBdr>
            </w:div>
          </w:divsChild>
        </w:div>
        <w:div w:id="831793045">
          <w:marLeft w:val="0"/>
          <w:marRight w:val="0"/>
          <w:marTop w:val="0"/>
          <w:marBottom w:val="0"/>
          <w:divBdr>
            <w:top w:val="none" w:sz="0" w:space="0" w:color="auto"/>
            <w:left w:val="none" w:sz="0" w:space="0" w:color="auto"/>
            <w:bottom w:val="none" w:sz="0" w:space="0" w:color="auto"/>
            <w:right w:val="none" w:sz="0" w:space="0" w:color="auto"/>
          </w:divBdr>
          <w:divsChild>
            <w:div w:id="1701394474">
              <w:marLeft w:val="0"/>
              <w:marRight w:val="0"/>
              <w:marTop w:val="0"/>
              <w:marBottom w:val="0"/>
              <w:divBdr>
                <w:top w:val="none" w:sz="0" w:space="0" w:color="auto"/>
                <w:left w:val="none" w:sz="0" w:space="0" w:color="auto"/>
                <w:bottom w:val="none" w:sz="0" w:space="0" w:color="auto"/>
                <w:right w:val="none" w:sz="0" w:space="0" w:color="auto"/>
              </w:divBdr>
            </w:div>
          </w:divsChild>
        </w:div>
        <w:div w:id="916019110">
          <w:marLeft w:val="0"/>
          <w:marRight w:val="0"/>
          <w:marTop w:val="0"/>
          <w:marBottom w:val="0"/>
          <w:divBdr>
            <w:top w:val="none" w:sz="0" w:space="0" w:color="auto"/>
            <w:left w:val="none" w:sz="0" w:space="0" w:color="auto"/>
            <w:bottom w:val="none" w:sz="0" w:space="0" w:color="auto"/>
            <w:right w:val="none" w:sz="0" w:space="0" w:color="auto"/>
          </w:divBdr>
          <w:divsChild>
            <w:div w:id="1183977484">
              <w:marLeft w:val="0"/>
              <w:marRight w:val="0"/>
              <w:marTop w:val="0"/>
              <w:marBottom w:val="0"/>
              <w:divBdr>
                <w:top w:val="none" w:sz="0" w:space="0" w:color="auto"/>
                <w:left w:val="none" w:sz="0" w:space="0" w:color="auto"/>
                <w:bottom w:val="none" w:sz="0" w:space="0" w:color="auto"/>
                <w:right w:val="none" w:sz="0" w:space="0" w:color="auto"/>
              </w:divBdr>
            </w:div>
          </w:divsChild>
        </w:div>
        <w:div w:id="965352030">
          <w:marLeft w:val="0"/>
          <w:marRight w:val="0"/>
          <w:marTop w:val="0"/>
          <w:marBottom w:val="0"/>
          <w:divBdr>
            <w:top w:val="none" w:sz="0" w:space="0" w:color="auto"/>
            <w:left w:val="none" w:sz="0" w:space="0" w:color="auto"/>
            <w:bottom w:val="none" w:sz="0" w:space="0" w:color="auto"/>
            <w:right w:val="none" w:sz="0" w:space="0" w:color="auto"/>
          </w:divBdr>
          <w:divsChild>
            <w:div w:id="1837768731">
              <w:marLeft w:val="0"/>
              <w:marRight w:val="0"/>
              <w:marTop w:val="0"/>
              <w:marBottom w:val="0"/>
              <w:divBdr>
                <w:top w:val="none" w:sz="0" w:space="0" w:color="auto"/>
                <w:left w:val="none" w:sz="0" w:space="0" w:color="auto"/>
                <w:bottom w:val="none" w:sz="0" w:space="0" w:color="auto"/>
                <w:right w:val="none" w:sz="0" w:space="0" w:color="auto"/>
              </w:divBdr>
            </w:div>
          </w:divsChild>
        </w:div>
        <w:div w:id="975526150">
          <w:marLeft w:val="0"/>
          <w:marRight w:val="0"/>
          <w:marTop w:val="0"/>
          <w:marBottom w:val="0"/>
          <w:divBdr>
            <w:top w:val="none" w:sz="0" w:space="0" w:color="auto"/>
            <w:left w:val="none" w:sz="0" w:space="0" w:color="auto"/>
            <w:bottom w:val="none" w:sz="0" w:space="0" w:color="auto"/>
            <w:right w:val="none" w:sz="0" w:space="0" w:color="auto"/>
          </w:divBdr>
          <w:divsChild>
            <w:div w:id="68771831">
              <w:marLeft w:val="0"/>
              <w:marRight w:val="0"/>
              <w:marTop w:val="0"/>
              <w:marBottom w:val="0"/>
              <w:divBdr>
                <w:top w:val="none" w:sz="0" w:space="0" w:color="auto"/>
                <w:left w:val="none" w:sz="0" w:space="0" w:color="auto"/>
                <w:bottom w:val="none" w:sz="0" w:space="0" w:color="auto"/>
                <w:right w:val="none" w:sz="0" w:space="0" w:color="auto"/>
              </w:divBdr>
            </w:div>
          </w:divsChild>
        </w:div>
        <w:div w:id="1015308506">
          <w:marLeft w:val="0"/>
          <w:marRight w:val="0"/>
          <w:marTop w:val="0"/>
          <w:marBottom w:val="0"/>
          <w:divBdr>
            <w:top w:val="none" w:sz="0" w:space="0" w:color="auto"/>
            <w:left w:val="none" w:sz="0" w:space="0" w:color="auto"/>
            <w:bottom w:val="none" w:sz="0" w:space="0" w:color="auto"/>
            <w:right w:val="none" w:sz="0" w:space="0" w:color="auto"/>
          </w:divBdr>
          <w:divsChild>
            <w:div w:id="1677028825">
              <w:marLeft w:val="0"/>
              <w:marRight w:val="0"/>
              <w:marTop w:val="0"/>
              <w:marBottom w:val="0"/>
              <w:divBdr>
                <w:top w:val="none" w:sz="0" w:space="0" w:color="auto"/>
                <w:left w:val="none" w:sz="0" w:space="0" w:color="auto"/>
                <w:bottom w:val="none" w:sz="0" w:space="0" w:color="auto"/>
                <w:right w:val="none" w:sz="0" w:space="0" w:color="auto"/>
              </w:divBdr>
            </w:div>
          </w:divsChild>
        </w:div>
        <w:div w:id="1022511048">
          <w:marLeft w:val="0"/>
          <w:marRight w:val="0"/>
          <w:marTop w:val="0"/>
          <w:marBottom w:val="0"/>
          <w:divBdr>
            <w:top w:val="none" w:sz="0" w:space="0" w:color="auto"/>
            <w:left w:val="none" w:sz="0" w:space="0" w:color="auto"/>
            <w:bottom w:val="none" w:sz="0" w:space="0" w:color="auto"/>
            <w:right w:val="none" w:sz="0" w:space="0" w:color="auto"/>
          </w:divBdr>
          <w:divsChild>
            <w:div w:id="1495486951">
              <w:marLeft w:val="0"/>
              <w:marRight w:val="0"/>
              <w:marTop w:val="0"/>
              <w:marBottom w:val="0"/>
              <w:divBdr>
                <w:top w:val="none" w:sz="0" w:space="0" w:color="auto"/>
                <w:left w:val="none" w:sz="0" w:space="0" w:color="auto"/>
                <w:bottom w:val="none" w:sz="0" w:space="0" w:color="auto"/>
                <w:right w:val="none" w:sz="0" w:space="0" w:color="auto"/>
              </w:divBdr>
            </w:div>
          </w:divsChild>
        </w:div>
        <w:div w:id="1215234907">
          <w:marLeft w:val="0"/>
          <w:marRight w:val="0"/>
          <w:marTop w:val="0"/>
          <w:marBottom w:val="0"/>
          <w:divBdr>
            <w:top w:val="none" w:sz="0" w:space="0" w:color="auto"/>
            <w:left w:val="none" w:sz="0" w:space="0" w:color="auto"/>
            <w:bottom w:val="none" w:sz="0" w:space="0" w:color="auto"/>
            <w:right w:val="none" w:sz="0" w:space="0" w:color="auto"/>
          </w:divBdr>
          <w:divsChild>
            <w:div w:id="1784380603">
              <w:marLeft w:val="0"/>
              <w:marRight w:val="0"/>
              <w:marTop w:val="0"/>
              <w:marBottom w:val="0"/>
              <w:divBdr>
                <w:top w:val="none" w:sz="0" w:space="0" w:color="auto"/>
                <w:left w:val="none" w:sz="0" w:space="0" w:color="auto"/>
                <w:bottom w:val="none" w:sz="0" w:space="0" w:color="auto"/>
                <w:right w:val="none" w:sz="0" w:space="0" w:color="auto"/>
              </w:divBdr>
            </w:div>
          </w:divsChild>
        </w:div>
        <w:div w:id="1225222164">
          <w:marLeft w:val="0"/>
          <w:marRight w:val="0"/>
          <w:marTop w:val="0"/>
          <w:marBottom w:val="0"/>
          <w:divBdr>
            <w:top w:val="none" w:sz="0" w:space="0" w:color="auto"/>
            <w:left w:val="none" w:sz="0" w:space="0" w:color="auto"/>
            <w:bottom w:val="none" w:sz="0" w:space="0" w:color="auto"/>
            <w:right w:val="none" w:sz="0" w:space="0" w:color="auto"/>
          </w:divBdr>
          <w:divsChild>
            <w:div w:id="802574170">
              <w:marLeft w:val="0"/>
              <w:marRight w:val="0"/>
              <w:marTop w:val="0"/>
              <w:marBottom w:val="0"/>
              <w:divBdr>
                <w:top w:val="none" w:sz="0" w:space="0" w:color="auto"/>
                <w:left w:val="none" w:sz="0" w:space="0" w:color="auto"/>
                <w:bottom w:val="none" w:sz="0" w:space="0" w:color="auto"/>
                <w:right w:val="none" w:sz="0" w:space="0" w:color="auto"/>
              </w:divBdr>
            </w:div>
          </w:divsChild>
        </w:div>
        <w:div w:id="1323194570">
          <w:marLeft w:val="0"/>
          <w:marRight w:val="0"/>
          <w:marTop w:val="0"/>
          <w:marBottom w:val="0"/>
          <w:divBdr>
            <w:top w:val="none" w:sz="0" w:space="0" w:color="auto"/>
            <w:left w:val="none" w:sz="0" w:space="0" w:color="auto"/>
            <w:bottom w:val="none" w:sz="0" w:space="0" w:color="auto"/>
            <w:right w:val="none" w:sz="0" w:space="0" w:color="auto"/>
          </w:divBdr>
          <w:divsChild>
            <w:div w:id="392974130">
              <w:marLeft w:val="0"/>
              <w:marRight w:val="0"/>
              <w:marTop w:val="0"/>
              <w:marBottom w:val="0"/>
              <w:divBdr>
                <w:top w:val="none" w:sz="0" w:space="0" w:color="auto"/>
                <w:left w:val="none" w:sz="0" w:space="0" w:color="auto"/>
                <w:bottom w:val="none" w:sz="0" w:space="0" w:color="auto"/>
                <w:right w:val="none" w:sz="0" w:space="0" w:color="auto"/>
              </w:divBdr>
            </w:div>
          </w:divsChild>
        </w:div>
        <w:div w:id="1328095270">
          <w:marLeft w:val="0"/>
          <w:marRight w:val="0"/>
          <w:marTop w:val="0"/>
          <w:marBottom w:val="0"/>
          <w:divBdr>
            <w:top w:val="none" w:sz="0" w:space="0" w:color="auto"/>
            <w:left w:val="none" w:sz="0" w:space="0" w:color="auto"/>
            <w:bottom w:val="none" w:sz="0" w:space="0" w:color="auto"/>
            <w:right w:val="none" w:sz="0" w:space="0" w:color="auto"/>
          </w:divBdr>
          <w:divsChild>
            <w:div w:id="1352682093">
              <w:marLeft w:val="0"/>
              <w:marRight w:val="0"/>
              <w:marTop w:val="0"/>
              <w:marBottom w:val="0"/>
              <w:divBdr>
                <w:top w:val="none" w:sz="0" w:space="0" w:color="auto"/>
                <w:left w:val="none" w:sz="0" w:space="0" w:color="auto"/>
                <w:bottom w:val="none" w:sz="0" w:space="0" w:color="auto"/>
                <w:right w:val="none" w:sz="0" w:space="0" w:color="auto"/>
              </w:divBdr>
            </w:div>
          </w:divsChild>
        </w:div>
        <w:div w:id="1348677138">
          <w:marLeft w:val="0"/>
          <w:marRight w:val="0"/>
          <w:marTop w:val="0"/>
          <w:marBottom w:val="0"/>
          <w:divBdr>
            <w:top w:val="none" w:sz="0" w:space="0" w:color="auto"/>
            <w:left w:val="none" w:sz="0" w:space="0" w:color="auto"/>
            <w:bottom w:val="none" w:sz="0" w:space="0" w:color="auto"/>
            <w:right w:val="none" w:sz="0" w:space="0" w:color="auto"/>
          </w:divBdr>
          <w:divsChild>
            <w:div w:id="525874245">
              <w:marLeft w:val="0"/>
              <w:marRight w:val="0"/>
              <w:marTop w:val="0"/>
              <w:marBottom w:val="0"/>
              <w:divBdr>
                <w:top w:val="none" w:sz="0" w:space="0" w:color="auto"/>
                <w:left w:val="none" w:sz="0" w:space="0" w:color="auto"/>
                <w:bottom w:val="none" w:sz="0" w:space="0" w:color="auto"/>
                <w:right w:val="none" w:sz="0" w:space="0" w:color="auto"/>
              </w:divBdr>
            </w:div>
          </w:divsChild>
        </w:div>
        <w:div w:id="1369990162">
          <w:marLeft w:val="0"/>
          <w:marRight w:val="0"/>
          <w:marTop w:val="0"/>
          <w:marBottom w:val="0"/>
          <w:divBdr>
            <w:top w:val="none" w:sz="0" w:space="0" w:color="auto"/>
            <w:left w:val="none" w:sz="0" w:space="0" w:color="auto"/>
            <w:bottom w:val="none" w:sz="0" w:space="0" w:color="auto"/>
            <w:right w:val="none" w:sz="0" w:space="0" w:color="auto"/>
          </w:divBdr>
          <w:divsChild>
            <w:div w:id="2146391145">
              <w:marLeft w:val="0"/>
              <w:marRight w:val="0"/>
              <w:marTop w:val="0"/>
              <w:marBottom w:val="0"/>
              <w:divBdr>
                <w:top w:val="none" w:sz="0" w:space="0" w:color="auto"/>
                <w:left w:val="none" w:sz="0" w:space="0" w:color="auto"/>
                <w:bottom w:val="none" w:sz="0" w:space="0" w:color="auto"/>
                <w:right w:val="none" w:sz="0" w:space="0" w:color="auto"/>
              </w:divBdr>
            </w:div>
          </w:divsChild>
        </w:div>
        <w:div w:id="1477212995">
          <w:marLeft w:val="0"/>
          <w:marRight w:val="0"/>
          <w:marTop w:val="0"/>
          <w:marBottom w:val="0"/>
          <w:divBdr>
            <w:top w:val="none" w:sz="0" w:space="0" w:color="auto"/>
            <w:left w:val="none" w:sz="0" w:space="0" w:color="auto"/>
            <w:bottom w:val="none" w:sz="0" w:space="0" w:color="auto"/>
            <w:right w:val="none" w:sz="0" w:space="0" w:color="auto"/>
          </w:divBdr>
          <w:divsChild>
            <w:div w:id="1376419324">
              <w:marLeft w:val="0"/>
              <w:marRight w:val="0"/>
              <w:marTop w:val="0"/>
              <w:marBottom w:val="0"/>
              <w:divBdr>
                <w:top w:val="none" w:sz="0" w:space="0" w:color="auto"/>
                <w:left w:val="none" w:sz="0" w:space="0" w:color="auto"/>
                <w:bottom w:val="none" w:sz="0" w:space="0" w:color="auto"/>
                <w:right w:val="none" w:sz="0" w:space="0" w:color="auto"/>
              </w:divBdr>
            </w:div>
          </w:divsChild>
        </w:div>
        <w:div w:id="1599483178">
          <w:marLeft w:val="0"/>
          <w:marRight w:val="0"/>
          <w:marTop w:val="0"/>
          <w:marBottom w:val="0"/>
          <w:divBdr>
            <w:top w:val="none" w:sz="0" w:space="0" w:color="auto"/>
            <w:left w:val="none" w:sz="0" w:space="0" w:color="auto"/>
            <w:bottom w:val="none" w:sz="0" w:space="0" w:color="auto"/>
            <w:right w:val="none" w:sz="0" w:space="0" w:color="auto"/>
          </w:divBdr>
          <w:divsChild>
            <w:div w:id="411708355">
              <w:marLeft w:val="0"/>
              <w:marRight w:val="0"/>
              <w:marTop w:val="0"/>
              <w:marBottom w:val="0"/>
              <w:divBdr>
                <w:top w:val="none" w:sz="0" w:space="0" w:color="auto"/>
                <w:left w:val="none" w:sz="0" w:space="0" w:color="auto"/>
                <w:bottom w:val="none" w:sz="0" w:space="0" w:color="auto"/>
                <w:right w:val="none" w:sz="0" w:space="0" w:color="auto"/>
              </w:divBdr>
            </w:div>
          </w:divsChild>
        </w:div>
        <w:div w:id="1631009537">
          <w:marLeft w:val="0"/>
          <w:marRight w:val="0"/>
          <w:marTop w:val="0"/>
          <w:marBottom w:val="0"/>
          <w:divBdr>
            <w:top w:val="none" w:sz="0" w:space="0" w:color="auto"/>
            <w:left w:val="none" w:sz="0" w:space="0" w:color="auto"/>
            <w:bottom w:val="none" w:sz="0" w:space="0" w:color="auto"/>
            <w:right w:val="none" w:sz="0" w:space="0" w:color="auto"/>
          </w:divBdr>
          <w:divsChild>
            <w:div w:id="261647076">
              <w:marLeft w:val="0"/>
              <w:marRight w:val="0"/>
              <w:marTop w:val="0"/>
              <w:marBottom w:val="0"/>
              <w:divBdr>
                <w:top w:val="none" w:sz="0" w:space="0" w:color="auto"/>
                <w:left w:val="none" w:sz="0" w:space="0" w:color="auto"/>
                <w:bottom w:val="none" w:sz="0" w:space="0" w:color="auto"/>
                <w:right w:val="none" w:sz="0" w:space="0" w:color="auto"/>
              </w:divBdr>
            </w:div>
          </w:divsChild>
        </w:div>
        <w:div w:id="1640914262">
          <w:marLeft w:val="0"/>
          <w:marRight w:val="0"/>
          <w:marTop w:val="0"/>
          <w:marBottom w:val="0"/>
          <w:divBdr>
            <w:top w:val="none" w:sz="0" w:space="0" w:color="auto"/>
            <w:left w:val="none" w:sz="0" w:space="0" w:color="auto"/>
            <w:bottom w:val="none" w:sz="0" w:space="0" w:color="auto"/>
            <w:right w:val="none" w:sz="0" w:space="0" w:color="auto"/>
          </w:divBdr>
          <w:divsChild>
            <w:div w:id="142238930">
              <w:marLeft w:val="0"/>
              <w:marRight w:val="0"/>
              <w:marTop w:val="0"/>
              <w:marBottom w:val="0"/>
              <w:divBdr>
                <w:top w:val="none" w:sz="0" w:space="0" w:color="auto"/>
                <w:left w:val="none" w:sz="0" w:space="0" w:color="auto"/>
                <w:bottom w:val="none" w:sz="0" w:space="0" w:color="auto"/>
                <w:right w:val="none" w:sz="0" w:space="0" w:color="auto"/>
              </w:divBdr>
            </w:div>
          </w:divsChild>
        </w:div>
        <w:div w:id="1668442123">
          <w:marLeft w:val="0"/>
          <w:marRight w:val="0"/>
          <w:marTop w:val="0"/>
          <w:marBottom w:val="0"/>
          <w:divBdr>
            <w:top w:val="none" w:sz="0" w:space="0" w:color="auto"/>
            <w:left w:val="none" w:sz="0" w:space="0" w:color="auto"/>
            <w:bottom w:val="none" w:sz="0" w:space="0" w:color="auto"/>
            <w:right w:val="none" w:sz="0" w:space="0" w:color="auto"/>
          </w:divBdr>
          <w:divsChild>
            <w:div w:id="1760522264">
              <w:marLeft w:val="0"/>
              <w:marRight w:val="0"/>
              <w:marTop w:val="0"/>
              <w:marBottom w:val="0"/>
              <w:divBdr>
                <w:top w:val="none" w:sz="0" w:space="0" w:color="auto"/>
                <w:left w:val="none" w:sz="0" w:space="0" w:color="auto"/>
                <w:bottom w:val="none" w:sz="0" w:space="0" w:color="auto"/>
                <w:right w:val="none" w:sz="0" w:space="0" w:color="auto"/>
              </w:divBdr>
            </w:div>
          </w:divsChild>
        </w:div>
        <w:div w:id="1680891483">
          <w:marLeft w:val="0"/>
          <w:marRight w:val="0"/>
          <w:marTop w:val="0"/>
          <w:marBottom w:val="0"/>
          <w:divBdr>
            <w:top w:val="none" w:sz="0" w:space="0" w:color="auto"/>
            <w:left w:val="none" w:sz="0" w:space="0" w:color="auto"/>
            <w:bottom w:val="none" w:sz="0" w:space="0" w:color="auto"/>
            <w:right w:val="none" w:sz="0" w:space="0" w:color="auto"/>
          </w:divBdr>
          <w:divsChild>
            <w:div w:id="531846426">
              <w:marLeft w:val="0"/>
              <w:marRight w:val="0"/>
              <w:marTop w:val="0"/>
              <w:marBottom w:val="0"/>
              <w:divBdr>
                <w:top w:val="none" w:sz="0" w:space="0" w:color="auto"/>
                <w:left w:val="none" w:sz="0" w:space="0" w:color="auto"/>
                <w:bottom w:val="none" w:sz="0" w:space="0" w:color="auto"/>
                <w:right w:val="none" w:sz="0" w:space="0" w:color="auto"/>
              </w:divBdr>
            </w:div>
          </w:divsChild>
        </w:div>
        <w:div w:id="1770156066">
          <w:marLeft w:val="0"/>
          <w:marRight w:val="0"/>
          <w:marTop w:val="0"/>
          <w:marBottom w:val="0"/>
          <w:divBdr>
            <w:top w:val="none" w:sz="0" w:space="0" w:color="auto"/>
            <w:left w:val="none" w:sz="0" w:space="0" w:color="auto"/>
            <w:bottom w:val="none" w:sz="0" w:space="0" w:color="auto"/>
            <w:right w:val="none" w:sz="0" w:space="0" w:color="auto"/>
          </w:divBdr>
          <w:divsChild>
            <w:div w:id="485902540">
              <w:marLeft w:val="0"/>
              <w:marRight w:val="0"/>
              <w:marTop w:val="0"/>
              <w:marBottom w:val="0"/>
              <w:divBdr>
                <w:top w:val="none" w:sz="0" w:space="0" w:color="auto"/>
                <w:left w:val="none" w:sz="0" w:space="0" w:color="auto"/>
                <w:bottom w:val="none" w:sz="0" w:space="0" w:color="auto"/>
                <w:right w:val="none" w:sz="0" w:space="0" w:color="auto"/>
              </w:divBdr>
            </w:div>
          </w:divsChild>
        </w:div>
        <w:div w:id="1868180325">
          <w:marLeft w:val="0"/>
          <w:marRight w:val="0"/>
          <w:marTop w:val="0"/>
          <w:marBottom w:val="0"/>
          <w:divBdr>
            <w:top w:val="none" w:sz="0" w:space="0" w:color="auto"/>
            <w:left w:val="none" w:sz="0" w:space="0" w:color="auto"/>
            <w:bottom w:val="none" w:sz="0" w:space="0" w:color="auto"/>
            <w:right w:val="none" w:sz="0" w:space="0" w:color="auto"/>
          </w:divBdr>
          <w:divsChild>
            <w:div w:id="1970895166">
              <w:marLeft w:val="0"/>
              <w:marRight w:val="0"/>
              <w:marTop w:val="0"/>
              <w:marBottom w:val="0"/>
              <w:divBdr>
                <w:top w:val="none" w:sz="0" w:space="0" w:color="auto"/>
                <w:left w:val="none" w:sz="0" w:space="0" w:color="auto"/>
                <w:bottom w:val="none" w:sz="0" w:space="0" w:color="auto"/>
                <w:right w:val="none" w:sz="0" w:space="0" w:color="auto"/>
              </w:divBdr>
            </w:div>
          </w:divsChild>
        </w:div>
        <w:div w:id="1944722891">
          <w:marLeft w:val="0"/>
          <w:marRight w:val="0"/>
          <w:marTop w:val="0"/>
          <w:marBottom w:val="0"/>
          <w:divBdr>
            <w:top w:val="none" w:sz="0" w:space="0" w:color="auto"/>
            <w:left w:val="none" w:sz="0" w:space="0" w:color="auto"/>
            <w:bottom w:val="none" w:sz="0" w:space="0" w:color="auto"/>
            <w:right w:val="none" w:sz="0" w:space="0" w:color="auto"/>
          </w:divBdr>
          <w:divsChild>
            <w:div w:id="1883253089">
              <w:marLeft w:val="0"/>
              <w:marRight w:val="0"/>
              <w:marTop w:val="0"/>
              <w:marBottom w:val="0"/>
              <w:divBdr>
                <w:top w:val="none" w:sz="0" w:space="0" w:color="auto"/>
                <w:left w:val="none" w:sz="0" w:space="0" w:color="auto"/>
                <w:bottom w:val="none" w:sz="0" w:space="0" w:color="auto"/>
                <w:right w:val="none" w:sz="0" w:space="0" w:color="auto"/>
              </w:divBdr>
            </w:div>
          </w:divsChild>
        </w:div>
        <w:div w:id="1974825939">
          <w:marLeft w:val="0"/>
          <w:marRight w:val="0"/>
          <w:marTop w:val="0"/>
          <w:marBottom w:val="0"/>
          <w:divBdr>
            <w:top w:val="none" w:sz="0" w:space="0" w:color="auto"/>
            <w:left w:val="none" w:sz="0" w:space="0" w:color="auto"/>
            <w:bottom w:val="none" w:sz="0" w:space="0" w:color="auto"/>
            <w:right w:val="none" w:sz="0" w:space="0" w:color="auto"/>
          </w:divBdr>
          <w:divsChild>
            <w:div w:id="1392582601">
              <w:marLeft w:val="0"/>
              <w:marRight w:val="0"/>
              <w:marTop w:val="0"/>
              <w:marBottom w:val="0"/>
              <w:divBdr>
                <w:top w:val="none" w:sz="0" w:space="0" w:color="auto"/>
                <w:left w:val="none" w:sz="0" w:space="0" w:color="auto"/>
                <w:bottom w:val="none" w:sz="0" w:space="0" w:color="auto"/>
                <w:right w:val="none" w:sz="0" w:space="0" w:color="auto"/>
              </w:divBdr>
            </w:div>
          </w:divsChild>
        </w:div>
        <w:div w:id="2001882026">
          <w:marLeft w:val="0"/>
          <w:marRight w:val="0"/>
          <w:marTop w:val="0"/>
          <w:marBottom w:val="0"/>
          <w:divBdr>
            <w:top w:val="none" w:sz="0" w:space="0" w:color="auto"/>
            <w:left w:val="none" w:sz="0" w:space="0" w:color="auto"/>
            <w:bottom w:val="none" w:sz="0" w:space="0" w:color="auto"/>
            <w:right w:val="none" w:sz="0" w:space="0" w:color="auto"/>
          </w:divBdr>
          <w:divsChild>
            <w:div w:id="544559963">
              <w:marLeft w:val="0"/>
              <w:marRight w:val="0"/>
              <w:marTop w:val="0"/>
              <w:marBottom w:val="0"/>
              <w:divBdr>
                <w:top w:val="none" w:sz="0" w:space="0" w:color="auto"/>
                <w:left w:val="none" w:sz="0" w:space="0" w:color="auto"/>
                <w:bottom w:val="none" w:sz="0" w:space="0" w:color="auto"/>
                <w:right w:val="none" w:sz="0" w:space="0" w:color="auto"/>
              </w:divBdr>
            </w:div>
          </w:divsChild>
        </w:div>
        <w:div w:id="2064788181">
          <w:marLeft w:val="0"/>
          <w:marRight w:val="0"/>
          <w:marTop w:val="0"/>
          <w:marBottom w:val="0"/>
          <w:divBdr>
            <w:top w:val="none" w:sz="0" w:space="0" w:color="auto"/>
            <w:left w:val="none" w:sz="0" w:space="0" w:color="auto"/>
            <w:bottom w:val="none" w:sz="0" w:space="0" w:color="auto"/>
            <w:right w:val="none" w:sz="0" w:space="0" w:color="auto"/>
          </w:divBdr>
          <w:divsChild>
            <w:div w:id="1197544683">
              <w:marLeft w:val="0"/>
              <w:marRight w:val="0"/>
              <w:marTop w:val="0"/>
              <w:marBottom w:val="0"/>
              <w:divBdr>
                <w:top w:val="none" w:sz="0" w:space="0" w:color="auto"/>
                <w:left w:val="none" w:sz="0" w:space="0" w:color="auto"/>
                <w:bottom w:val="none" w:sz="0" w:space="0" w:color="auto"/>
                <w:right w:val="none" w:sz="0" w:space="0" w:color="auto"/>
              </w:divBdr>
            </w:div>
          </w:divsChild>
        </w:div>
        <w:div w:id="2069723040">
          <w:marLeft w:val="0"/>
          <w:marRight w:val="0"/>
          <w:marTop w:val="0"/>
          <w:marBottom w:val="0"/>
          <w:divBdr>
            <w:top w:val="none" w:sz="0" w:space="0" w:color="auto"/>
            <w:left w:val="none" w:sz="0" w:space="0" w:color="auto"/>
            <w:bottom w:val="none" w:sz="0" w:space="0" w:color="auto"/>
            <w:right w:val="none" w:sz="0" w:space="0" w:color="auto"/>
          </w:divBdr>
          <w:divsChild>
            <w:div w:id="165831597">
              <w:marLeft w:val="0"/>
              <w:marRight w:val="0"/>
              <w:marTop w:val="0"/>
              <w:marBottom w:val="0"/>
              <w:divBdr>
                <w:top w:val="none" w:sz="0" w:space="0" w:color="auto"/>
                <w:left w:val="none" w:sz="0" w:space="0" w:color="auto"/>
                <w:bottom w:val="none" w:sz="0" w:space="0" w:color="auto"/>
                <w:right w:val="none" w:sz="0" w:space="0" w:color="auto"/>
              </w:divBdr>
            </w:div>
          </w:divsChild>
        </w:div>
        <w:div w:id="2102335730">
          <w:marLeft w:val="0"/>
          <w:marRight w:val="0"/>
          <w:marTop w:val="0"/>
          <w:marBottom w:val="0"/>
          <w:divBdr>
            <w:top w:val="none" w:sz="0" w:space="0" w:color="auto"/>
            <w:left w:val="none" w:sz="0" w:space="0" w:color="auto"/>
            <w:bottom w:val="none" w:sz="0" w:space="0" w:color="auto"/>
            <w:right w:val="none" w:sz="0" w:space="0" w:color="auto"/>
          </w:divBdr>
          <w:divsChild>
            <w:div w:id="1602030983">
              <w:marLeft w:val="0"/>
              <w:marRight w:val="0"/>
              <w:marTop w:val="0"/>
              <w:marBottom w:val="0"/>
              <w:divBdr>
                <w:top w:val="none" w:sz="0" w:space="0" w:color="auto"/>
                <w:left w:val="none" w:sz="0" w:space="0" w:color="auto"/>
                <w:bottom w:val="none" w:sz="0" w:space="0" w:color="auto"/>
                <w:right w:val="none" w:sz="0" w:space="0" w:color="auto"/>
              </w:divBdr>
            </w:div>
          </w:divsChild>
        </w:div>
        <w:div w:id="2117559322">
          <w:marLeft w:val="0"/>
          <w:marRight w:val="0"/>
          <w:marTop w:val="0"/>
          <w:marBottom w:val="0"/>
          <w:divBdr>
            <w:top w:val="none" w:sz="0" w:space="0" w:color="auto"/>
            <w:left w:val="none" w:sz="0" w:space="0" w:color="auto"/>
            <w:bottom w:val="none" w:sz="0" w:space="0" w:color="auto"/>
            <w:right w:val="none" w:sz="0" w:space="0" w:color="auto"/>
          </w:divBdr>
          <w:divsChild>
            <w:div w:id="119245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170105">
      <w:bodyDiv w:val="1"/>
      <w:marLeft w:val="0"/>
      <w:marRight w:val="0"/>
      <w:marTop w:val="0"/>
      <w:marBottom w:val="0"/>
      <w:divBdr>
        <w:top w:val="none" w:sz="0" w:space="0" w:color="auto"/>
        <w:left w:val="none" w:sz="0" w:space="0" w:color="auto"/>
        <w:bottom w:val="none" w:sz="0" w:space="0" w:color="auto"/>
        <w:right w:val="none" w:sz="0" w:space="0" w:color="auto"/>
      </w:divBdr>
      <w:divsChild>
        <w:div w:id="17513596">
          <w:marLeft w:val="0"/>
          <w:marRight w:val="0"/>
          <w:marTop w:val="0"/>
          <w:marBottom w:val="0"/>
          <w:divBdr>
            <w:top w:val="none" w:sz="0" w:space="0" w:color="auto"/>
            <w:left w:val="none" w:sz="0" w:space="0" w:color="auto"/>
            <w:bottom w:val="none" w:sz="0" w:space="0" w:color="auto"/>
            <w:right w:val="none" w:sz="0" w:space="0" w:color="auto"/>
          </w:divBdr>
          <w:divsChild>
            <w:div w:id="1348560233">
              <w:marLeft w:val="0"/>
              <w:marRight w:val="0"/>
              <w:marTop w:val="0"/>
              <w:marBottom w:val="0"/>
              <w:divBdr>
                <w:top w:val="none" w:sz="0" w:space="0" w:color="auto"/>
                <w:left w:val="none" w:sz="0" w:space="0" w:color="auto"/>
                <w:bottom w:val="none" w:sz="0" w:space="0" w:color="auto"/>
                <w:right w:val="none" w:sz="0" w:space="0" w:color="auto"/>
              </w:divBdr>
            </w:div>
          </w:divsChild>
        </w:div>
        <w:div w:id="66264991">
          <w:marLeft w:val="0"/>
          <w:marRight w:val="0"/>
          <w:marTop w:val="0"/>
          <w:marBottom w:val="0"/>
          <w:divBdr>
            <w:top w:val="none" w:sz="0" w:space="0" w:color="auto"/>
            <w:left w:val="none" w:sz="0" w:space="0" w:color="auto"/>
            <w:bottom w:val="none" w:sz="0" w:space="0" w:color="auto"/>
            <w:right w:val="none" w:sz="0" w:space="0" w:color="auto"/>
          </w:divBdr>
          <w:divsChild>
            <w:div w:id="1328554190">
              <w:marLeft w:val="0"/>
              <w:marRight w:val="0"/>
              <w:marTop w:val="0"/>
              <w:marBottom w:val="0"/>
              <w:divBdr>
                <w:top w:val="none" w:sz="0" w:space="0" w:color="auto"/>
                <w:left w:val="none" w:sz="0" w:space="0" w:color="auto"/>
                <w:bottom w:val="none" w:sz="0" w:space="0" w:color="auto"/>
                <w:right w:val="none" w:sz="0" w:space="0" w:color="auto"/>
              </w:divBdr>
            </w:div>
          </w:divsChild>
        </w:div>
        <w:div w:id="111555123">
          <w:marLeft w:val="0"/>
          <w:marRight w:val="0"/>
          <w:marTop w:val="0"/>
          <w:marBottom w:val="0"/>
          <w:divBdr>
            <w:top w:val="none" w:sz="0" w:space="0" w:color="auto"/>
            <w:left w:val="none" w:sz="0" w:space="0" w:color="auto"/>
            <w:bottom w:val="none" w:sz="0" w:space="0" w:color="auto"/>
            <w:right w:val="none" w:sz="0" w:space="0" w:color="auto"/>
          </w:divBdr>
          <w:divsChild>
            <w:div w:id="1639143894">
              <w:marLeft w:val="0"/>
              <w:marRight w:val="0"/>
              <w:marTop w:val="0"/>
              <w:marBottom w:val="0"/>
              <w:divBdr>
                <w:top w:val="none" w:sz="0" w:space="0" w:color="auto"/>
                <w:left w:val="none" w:sz="0" w:space="0" w:color="auto"/>
                <w:bottom w:val="none" w:sz="0" w:space="0" w:color="auto"/>
                <w:right w:val="none" w:sz="0" w:space="0" w:color="auto"/>
              </w:divBdr>
            </w:div>
          </w:divsChild>
        </w:div>
        <w:div w:id="123155693">
          <w:marLeft w:val="0"/>
          <w:marRight w:val="0"/>
          <w:marTop w:val="0"/>
          <w:marBottom w:val="0"/>
          <w:divBdr>
            <w:top w:val="none" w:sz="0" w:space="0" w:color="auto"/>
            <w:left w:val="none" w:sz="0" w:space="0" w:color="auto"/>
            <w:bottom w:val="none" w:sz="0" w:space="0" w:color="auto"/>
            <w:right w:val="none" w:sz="0" w:space="0" w:color="auto"/>
          </w:divBdr>
          <w:divsChild>
            <w:div w:id="1403092294">
              <w:marLeft w:val="0"/>
              <w:marRight w:val="0"/>
              <w:marTop w:val="0"/>
              <w:marBottom w:val="0"/>
              <w:divBdr>
                <w:top w:val="none" w:sz="0" w:space="0" w:color="auto"/>
                <w:left w:val="none" w:sz="0" w:space="0" w:color="auto"/>
                <w:bottom w:val="none" w:sz="0" w:space="0" w:color="auto"/>
                <w:right w:val="none" w:sz="0" w:space="0" w:color="auto"/>
              </w:divBdr>
            </w:div>
          </w:divsChild>
        </w:div>
        <w:div w:id="161773555">
          <w:marLeft w:val="0"/>
          <w:marRight w:val="0"/>
          <w:marTop w:val="0"/>
          <w:marBottom w:val="0"/>
          <w:divBdr>
            <w:top w:val="none" w:sz="0" w:space="0" w:color="auto"/>
            <w:left w:val="none" w:sz="0" w:space="0" w:color="auto"/>
            <w:bottom w:val="none" w:sz="0" w:space="0" w:color="auto"/>
            <w:right w:val="none" w:sz="0" w:space="0" w:color="auto"/>
          </w:divBdr>
          <w:divsChild>
            <w:div w:id="1883900899">
              <w:marLeft w:val="0"/>
              <w:marRight w:val="0"/>
              <w:marTop w:val="0"/>
              <w:marBottom w:val="0"/>
              <w:divBdr>
                <w:top w:val="none" w:sz="0" w:space="0" w:color="auto"/>
                <w:left w:val="none" w:sz="0" w:space="0" w:color="auto"/>
                <w:bottom w:val="none" w:sz="0" w:space="0" w:color="auto"/>
                <w:right w:val="none" w:sz="0" w:space="0" w:color="auto"/>
              </w:divBdr>
            </w:div>
          </w:divsChild>
        </w:div>
        <w:div w:id="166293252">
          <w:marLeft w:val="0"/>
          <w:marRight w:val="0"/>
          <w:marTop w:val="0"/>
          <w:marBottom w:val="0"/>
          <w:divBdr>
            <w:top w:val="none" w:sz="0" w:space="0" w:color="auto"/>
            <w:left w:val="none" w:sz="0" w:space="0" w:color="auto"/>
            <w:bottom w:val="none" w:sz="0" w:space="0" w:color="auto"/>
            <w:right w:val="none" w:sz="0" w:space="0" w:color="auto"/>
          </w:divBdr>
          <w:divsChild>
            <w:div w:id="374893556">
              <w:marLeft w:val="0"/>
              <w:marRight w:val="0"/>
              <w:marTop w:val="0"/>
              <w:marBottom w:val="0"/>
              <w:divBdr>
                <w:top w:val="none" w:sz="0" w:space="0" w:color="auto"/>
                <w:left w:val="none" w:sz="0" w:space="0" w:color="auto"/>
                <w:bottom w:val="none" w:sz="0" w:space="0" w:color="auto"/>
                <w:right w:val="none" w:sz="0" w:space="0" w:color="auto"/>
              </w:divBdr>
            </w:div>
          </w:divsChild>
        </w:div>
        <w:div w:id="180970345">
          <w:marLeft w:val="0"/>
          <w:marRight w:val="0"/>
          <w:marTop w:val="0"/>
          <w:marBottom w:val="0"/>
          <w:divBdr>
            <w:top w:val="none" w:sz="0" w:space="0" w:color="auto"/>
            <w:left w:val="none" w:sz="0" w:space="0" w:color="auto"/>
            <w:bottom w:val="none" w:sz="0" w:space="0" w:color="auto"/>
            <w:right w:val="none" w:sz="0" w:space="0" w:color="auto"/>
          </w:divBdr>
          <w:divsChild>
            <w:div w:id="1699622905">
              <w:marLeft w:val="0"/>
              <w:marRight w:val="0"/>
              <w:marTop w:val="0"/>
              <w:marBottom w:val="0"/>
              <w:divBdr>
                <w:top w:val="none" w:sz="0" w:space="0" w:color="auto"/>
                <w:left w:val="none" w:sz="0" w:space="0" w:color="auto"/>
                <w:bottom w:val="none" w:sz="0" w:space="0" w:color="auto"/>
                <w:right w:val="none" w:sz="0" w:space="0" w:color="auto"/>
              </w:divBdr>
            </w:div>
          </w:divsChild>
        </w:div>
        <w:div w:id="255014870">
          <w:marLeft w:val="0"/>
          <w:marRight w:val="0"/>
          <w:marTop w:val="0"/>
          <w:marBottom w:val="0"/>
          <w:divBdr>
            <w:top w:val="none" w:sz="0" w:space="0" w:color="auto"/>
            <w:left w:val="none" w:sz="0" w:space="0" w:color="auto"/>
            <w:bottom w:val="none" w:sz="0" w:space="0" w:color="auto"/>
            <w:right w:val="none" w:sz="0" w:space="0" w:color="auto"/>
          </w:divBdr>
          <w:divsChild>
            <w:div w:id="1274753875">
              <w:marLeft w:val="0"/>
              <w:marRight w:val="0"/>
              <w:marTop w:val="0"/>
              <w:marBottom w:val="0"/>
              <w:divBdr>
                <w:top w:val="none" w:sz="0" w:space="0" w:color="auto"/>
                <w:left w:val="none" w:sz="0" w:space="0" w:color="auto"/>
                <w:bottom w:val="none" w:sz="0" w:space="0" w:color="auto"/>
                <w:right w:val="none" w:sz="0" w:space="0" w:color="auto"/>
              </w:divBdr>
            </w:div>
          </w:divsChild>
        </w:div>
        <w:div w:id="291791278">
          <w:marLeft w:val="0"/>
          <w:marRight w:val="0"/>
          <w:marTop w:val="0"/>
          <w:marBottom w:val="0"/>
          <w:divBdr>
            <w:top w:val="none" w:sz="0" w:space="0" w:color="auto"/>
            <w:left w:val="none" w:sz="0" w:space="0" w:color="auto"/>
            <w:bottom w:val="none" w:sz="0" w:space="0" w:color="auto"/>
            <w:right w:val="none" w:sz="0" w:space="0" w:color="auto"/>
          </w:divBdr>
          <w:divsChild>
            <w:div w:id="1067150220">
              <w:marLeft w:val="0"/>
              <w:marRight w:val="0"/>
              <w:marTop w:val="0"/>
              <w:marBottom w:val="0"/>
              <w:divBdr>
                <w:top w:val="none" w:sz="0" w:space="0" w:color="auto"/>
                <w:left w:val="none" w:sz="0" w:space="0" w:color="auto"/>
                <w:bottom w:val="none" w:sz="0" w:space="0" w:color="auto"/>
                <w:right w:val="none" w:sz="0" w:space="0" w:color="auto"/>
              </w:divBdr>
            </w:div>
          </w:divsChild>
        </w:div>
        <w:div w:id="431976436">
          <w:marLeft w:val="0"/>
          <w:marRight w:val="0"/>
          <w:marTop w:val="0"/>
          <w:marBottom w:val="0"/>
          <w:divBdr>
            <w:top w:val="none" w:sz="0" w:space="0" w:color="auto"/>
            <w:left w:val="none" w:sz="0" w:space="0" w:color="auto"/>
            <w:bottom w:val="none" w:sz="0" w:space="0" w:color="auto"/>
            <w:right w:val="none" w:sz="0" w:space="0" w:color="auto"/>
          </w:divBdr>
          <w:divsChild>
            <w:div w:id="559244035">
              <w:marLeft w:val="0"/>
              <w:marRight w:val="0"/>
              <w:marTop w:val="0"/>
              <w:marBottom w:val="0"/>
              <w:divBdr>
                <w:top w:val="none" w:sz="0" w:space="0" w:color="auto"/>
                <w:left w:val="none" w:sz="0" w:space="0" w:color="auto"/>
                <w:bottom w:val="none" w:sz="0" w:space="0" w:color="auto"/>
                <w:right w:val="none" w:sz="0" w:space="0" w:color="auto"/>
              </w:divBdr>
            </w:div>
          </w:divsChild>
        </w:div>
        <w:div w:id="474300756">
          <w:marLeft w:val="0"/>
          <w:marRight w:val="0"/>
          <w:marTop w:val="0"/>
          <w:marBottom w:val="0"/>
          <w:divBdr>
            <w:top w:val="none" w:sz="0" w:space="0" w:color="auto"/>
            <w:left w:val="none" w:sz="0" w:space="0" w:color="auto"/>
            <w:bottom w:val="none" w:sz="0" w:space="0" w:color="auto"/>
            <w:right w:val="none" w:sz="0" w:space="0" w:color="auto"/>
          </w:divBdr>
          <w:divsChild>
            <w:div w:id="164782184">
              <w:marLeft w:val="0"/>
              <w:marRight w:val="0"/>
              <w:marTop w:val="0"/>
              <w:marBottom w:val="0"/>
              <w:divBdr>
                <w:top w:val="none" w:sz="0" w:space="0" w:color="auto"/>
                <w:left w:val="none" w:sz="0" w:space="0" w:color="auto"/>
                <w:bottom w:val="none" w:sz="0" w:space="0" w:color="auto"/>
                <w:right w:val="none" w:sz="0" w:space="0" w:color="auto"/>
              </w:divBdr>
            </w:div>
          </w:divsChild>
        </w:div>
        <w:div w:id="475494361">
          <w:marLeft w:val="0"/>
          <w:marRight w:val="0"/>
          <w:marTop w:val="0"/>
          <w:marBottom w:val="0"/>
          <w:divBdr>
            <w:top w:val="none" w:sz="0" w:space="0" w:color="auto"/>
            <w:left w:val="none" w:sz="0" w:space="0" w:color="auto"/>
            <w:bottom w:val="none" w:sz="0" w:space="0" w:color="auto"/>
            <w:right w:val="none" w:sz="0" w:space="0" w:color="auto"/>
          </w:divBdr>
          <w:divsChild>
            <w:div w:id="1203057061">
              <w:marLeft w:val="0"/>
              <w:marRight w:val="0"/>
              <w:marTop w:val="0"/>
              <w:marBottom w:val="0"/>
              <w:divBdr>
                <w:top w:val="none" w:sz="0" w:space="0" w:color="auto"/>
                <w:left w:val="none" w:sz="0" w:space="0" w:color="auto"/>
                <w:bottom w:val="none" w:sz="0" w:space="0" w:color="auto"/>
                <w:right w:val="none" w:sz="0" w:space="0" w:color="auto"/>
              </w:divBdr>
            </w:div>
          </w:divsChild>
        </w:div>
        <w:div w:id="515734278">
          <w:marLeft w:val="0"/>
          <w:marRight w:val="0"/>
          <w:marTop w:val="0"/>
          <w:marBottom w:val="0"/>
          <w:divBdr>
            <w:top w:val="none" w:sz="0" w:space="0" w:color="auto"/>
            <w:left w:val="none" w:sz="0" w:space="0" w:color="auto"/>
            <w:bottom w:val="none" w:sz="0" w:space="0" w:color="auto"/>
            <w:right w:val="none" w:sz="0" w:space="0" w:color="auto"/>
          </w:divBdr>
          <w:divsChild>
            <w:div w:id="202139509">
              <w:marLeft w:val="0"/>
              <w:marRight w:val="0"/>
              <w:marTop w:val="0"/>
              <w:marBottom w:val="0"/>
              <w:divBdr>
                <w:top w:val="none" w:sz="0" w:space="0" w:color="auto"/>
                <w:left w:val="none" w:sz="0" w:space="0" w:color="auto"/>
                <w:bottom w:val="none" w:sz="0" w:space="0" w:color="auto"/>
                <w:right w:val="none" w:sz="0" w:space="0" w:color="auto"/>
              </w:divBdr>
            </w:div>
          </w:divsChild>
        </w:div>
        <w:div w:id="530144001">
          <w:marLeft w:val="0"/>
          <w:marRight w:val="0"/>
          <w:marTop w:val="0"/>
          <w:marBottom w:val="0"/>
          <w:divBdr>
            <w:top w:val="none" w:sz="0" w:space="0" w:color="auto"/>
            <w:left w:val="none" w:sz="0" w:space="0" w:color="auto"/>
            <w:bottom w:val="none" w:sz="0" w:space="0" w:color="auto"/>
            <w:right w:val="none" w:sz="0" w:space="0" w:color="auto"/>
          </w:divBdr>
          <w:divsChild>
            <w:div w:id="806505498">
              <w:marLeft w:val="0"/>
              <w:marRight w:val="0"/>
              <w:marTop w:val="0"/>
              <w:marBottom w:val="0"/>
              <w:divBdr>
                <w:top w:val="none" w:sz="0" w:space="0" w:color="auto"/>
                <w:left w:val="none" w:sz="0" w:space="0" w:color="auto"/>
                <w:bottom w:val="none" w:sz="0" w:space="0" w:color="auto"/>
                <w:right w:val="none" w:sz="0" w:space="0" w:color="auto"/>
              </w:divBdr>
            </w:div>
          </w:divsChild>
        </w:div>
        <w:div w:id="543368521">
          <w:marLeft w:val="0"/>
          <w:marRight w:val="0"/>
          <w:marTop w:val="0"/>
          <w:marBottom w:val="0"/>
          <w:divBdr>
            <w:top w:val="none" w:sz="0" w:space="0" w:color="auto"/>
            <w:left w:val="none" w:sz="0" w:space="0" w:color="auto"/>
            <w:bottom w:val="none" w:sz="0" w:space="0" w:color="auto"/>
            <w:right w:val="none" w:sz="0" w:space="0" w:color="auto"/>
          </w:divBdr>
          <w:divsChild>
            <w:div w:id="1031415001">
              <w:marLeft w:val="0"/>
              <w:marRight w:val="0"/>
              <w:marTop w:val="0"/>
              <w:marBottom w:val="0"/>
              <w:divBdr>
                <w:top w:val="none" w:sz="0" w:space="0" w:color="auto"/>
                <w:left w:val="none" w:sz="0" w:space="0" w:color="auto"/>
                <w:bottom w:val="none" w:sz="0" w:space="0" w:color="auto"/>
                <w:right w:val="none" w:sz="0" w:space="0" w:color="auto"/>
              </w:divBdr>
            </w:div>
          </w:divsChild>
        </w:div>
        <w:div w:id="590699298">
          <w:marLeft w:val="0"/>
          <w:marRight w:val="0"/>
          <w:marTop w:val="0"/>
          <w:marBottom w:val="0"/>
          <w:divBdr>
            <w:top w:val="none" w:sz="0" w:space="0" w:color="auto"/>
            <w:left w:val="none" w:sz="0" w:space="0" w:color="auto"/>
            <w:bottom w:val="none" w:sz="0" w:space="0" w:color="auto"/>
            <w:right w:val="none" w:sz="0" w:space="0" w:color="auto"/>
          </w:divBdr>
          <w:divsChild>
            <w:div w:id="1531256348">
              <w:marLeft w:val="0"/>
              <w:marRight w:val="0"/>
              <w:marTop w:val="0"/>
              <w:marBottom w:val="0"/>
              <w:divBdr>
                <w:top w:val="none" w:sz="0" w:space="0" w:color="auto"/>
                <w:left w:val="none" w:sz="0" w:space="0" w:color="auto"/>
                <w:bottom w:val="none" w:sz="0" w:space="0" w:color="auto"/>
                <w:right w:val="none" w:sz="0" w:space="0" w:color="auto"/>
              </w:divBdr>
            </w:div>
          </w:divsChild>
        </w:div>
        <w:div w:id="661471157">
          <w:marLeft w:val="0"/>
          <w:marRight w:val="0"/>
          <w:marTop w:val="0"/>
          <w:marBottom w:val="0"/>
          <w:divBdr>
            <w:top w:val="none" w:sz="0" w:space="0" w:color="auto"/>
            <w:left w:val="none" w:sz="0" w:space="0" w:color="auto"/>
            <w:bottom w:val="none" w:sz="0" w:space="0" w:color="auto"/>
            <w:right w:val="none" w:sz="0" w:space="0" w:color="auto"/>
          </w:divBdr>
          <w:divsChild>
            <w:div w:id="324208635">
              <w:marLeft w:val="0"/>
              <w:marRight w:val="0"/>
              <w:marTop w:val="0"/>
              <w:marBottom w:val="0"/>
              <w:divBdr>
                <w:top w:val="none" w:sz="0" w:space="0" w:color="auto"/>
                <w:left w:val="none" w:sz="0" w:space="0" w:color="auto"/>
                <w:bottom w:val="none" w:sz="0" w:space="0" w:color="auto"/>
                <w:right w:val="none" w:sz="0" w:space="0" w:color="auto"/>
              </w:divBdr>
            </w:div>
          </w:divsChild>
        </w:div>
        <w:div w:id="707754495">
          <w:marLeft w:val="0"/>
          <w:marRight w:val="0"/>
          <w:marTop w:val="0"/>
          <w:marBottom w:val="0"/>
          <w:divBdr>
            <w:top w:val="none" w:sz="0" w:space="0" w:color="auto"/>
            <w:left w:val="none" w:sz="0" w:space="0" w:color="auto"/>
            <w:bottom w:val="none" w:sz="0" w:space="0" w:color="auto"/>
            <w:right w:val="none" w:sz="0" w:space="0" w:color="auto"/>
          </w:divBdr>
          <w:divsChild>
            <w:div w:id="1279069910">
              <w:marLeft w:val="0"/>
              <w:marRight w:val="0"/>
              <w:marTop w:val="0"/>
              <w:marBottom w:val="0"/>
              <w:divBdr>
                <w:top w:val="none" w:sz="0" w:space="0" w:color="auto"/>
                <w:left w:val="none" w:sz="0" w:space="0" w:color="auto"/>
                <w:bottom w:val="none" w:sz="0" w:space="0" w:color="auto"/>
                <w:right w:val="none" w:sz="0" w:space="0" w:color="auto"/>
              </w:divBdr>
            </w:div>
          </w:divsChild>
        </w:div>
        <w:div w:id="720056799">
          <w:marLeft w:val="0"/>
          <w:marRight w:val="0"/>
          <w:marTop w:val="0"/>
          <w:marBottom w:val="0"/>
          <w:divBdr>
            <w:top w:val="none" w:sz="0" w:space="0" w:color="auto"/>
            <w:left w:val="none" w:sz="0" w:space="0" w:color="auto"/>
            <w:bottom w:val="none" w:sz="0" w:space="0" w:color="auto"/>
            <w:right w:val="none" w:sz="0" w:space="0" w:color="auto"/>
          </w:divBdr>
          <w:divsChild>
            <w:div w:id="664363089">
              <w:marLeft w:val="0"/>
              <w:marRight w:val="0"/>
              <w:marTop w:val="0"/>
              <w:marBottom w:val="0"/>
              <w:divBdr>
                <w:top w:val="none" w:sz="0" w:space="0" w:color="auto"/>
                <w:left w:val="none" w:sz="0" w:space="0" w:color="auto"/>
                <w:bottom w:val="none" w:sz="0" w:space="0" w:color="auto"/>
                <w:right w:val="none" w:sz="0" w:space="0" w:color="auto"/>
              </w:divBdr>
            </w:div>
          </w:divsChild>
        </w:div>
        <w:div w:id="749695512">
          <w:marLeft w:val="0"/>
          <w:marRight w:val="0"/>
          <w:marTop w:val="0"/>
          <w:marBottom w:val="0"/>
          <w:divBdr>
            <w:top w:val="none" w:sz="0" w:space="0" w:color="auto"/>
            <w:left w:val="none" w:sz="0" w:space="0" w:color="auto"/>
            <w:bottom w:val="none" w:sz="0" w:space="0" w:color="auto"/>
            <w:right w:val="none" w:sz="0" w:space="0" w:color="auto"/>
          </w:divBdr>
          <w:divsChild>
            <w:div w:id="548224809">
              <w:marLeft w:val="0"/>
              <w:marRight w:val="0"/>
              <w:marTop w:val="0"/>
              <w:marBottom w:val="0"/>
              <w:divBdr>
                <w:top w:val="none" w:sz="0" w:space="0" w:color="auto"/>
                <w:left w:val="none" w:sz="0" w:space="0" w:color="auto"/>
                <w:bottom w:val="none" w:sz="0" w:space="0" w:color="auto"/>
                <w:right w:val="none" w:sz="0" w:space="0" w:color="auto"/>
              </w:divBdr>
            </w:div>
          </w:divsChild>
        </w:div>
        <w:div w:id="815804563">
          <w:marLeft w:val="0"/>
          <w:marRight w:val="0"/>
          <w:marTop w:val="0"/>
          <w:marBottom w:val="0"/>
          <w:divBdr>
            <w:top w:val="none" w:sz="0" w:space="0" w:color="auto"/>
            <w:left w:val="none" w:sz="0" w:space="0" w:color="auto"/>
            <w:bottom w:val="none" w:sz="0" w:space="0" w:color="auto"/>
            <w:right w:val="none" w:sz="0" w:space="0" w:color="auto"/>
          </w:divBdr>
          <w:divsChild>
            <w:div w:id="1565068013">
              <w:marLeft w:val="0"/>
              <w:marRight w:val="0"/>
              <w:marTop w:val="0"/>
              <w:marBottom w:val="0"/>
              <w:divBdr>
                <w:top w:val="none" w:sz="0" w:space="0" w:color="auto"/>
                <w:left w:val="none" w:sz="0" w:space="0" w:color="auto"/>
                <w:bottom w:val="none" w:sz="0" w:space="0" w:color="auto"/>
                <w:right w:val="none" w:sz="0" w:space="0" w:color="auto"/>
              </w:divBdr>
            </w:div>
          </w:divsChild>
        </w:div>
        <w:div w:id="862012173">
          <w:marLeft w:val="0"/>
          <w:marRight w:val="0"/>
          <w:marTop w:val="0"/>
          <w:marBottom w:val="0"/>
          <w:divBdr>
            <w:top w:val="none" w:sz="0" w:space="0" w:color="auto"/>
            <w:left w:val="none" w:sz="0" w:space="0" w:color="auto"/>
            <w:bottom w:val="none" w:sz="0" w:space="0" w:color="auto"/>
            <w:right w:val="none" w:sz="0" w:space="0" w:color="auto"/>
          </w:divBdr>
          <w:divsChild>
            <w:div w:id="1345866975">
              <w:marLeft w:val="0"/>
              <w:marRight w:val="0"/>
              <w:marTop w:val="0"/>
              <w:marBottom w:val="0"/>
              <w:divBdr>
                <w:top w:val="none" w:sz="0" w:space="0" w:color="auto"/>
                <w:left w:val="none" w:sz="0" w:space="0" w:color="auto"/>
                <w:bottom w:val="none" w:sz="0" w:space="0" w:color="auto"/>
                <w:right w:val="none" w:sz="0" w:space="0" w:color="auto"/>
              </w:divBdr>
            </w:div>
          </w:divsChild>
        </w:div>
        <w:div w:id="933977630">
          <w:marLeft w:val="0"/>
          <w:marRight w:val="0"/>
          <w:marTop w:val="0"/>
          <w:marBottom w:val="0"/>
          <w:divBdr>
            <w:top w:val="none" w:sz="0" w:space="0" w:color="auto"/>
            <w:left w:val="none" w:sz="0" w:space="0" w:color="auto"/>
            <w:bottom w:val="none" w:sz="0" w:space="0" w:color="auto"/>
            <w:right w:val="none" w:sz="0" w:space="0" w:color="auto"/>
          </w:divBdr>
          <w:divsChild>
            <w:div w:id="1321080842">
              <w:marLeft w:val="0"/>
              <w:marRight w:val="0"/>
              <w:marTop w:val="0"/>
              <w:marBottom w:val="0"/>
              <w:divBdr>
                <w:top w:val="none" w:sz="0" w:space="0" w:color="auto"/>
                <w:left w:val="none" w:sz="0" w:space="0" w:color="auto"/>
                <w:bottom w:val="none" w:sz="0" w:space="0" w:color="auto"/>
                <w:right w:val="none" w:sz="0" w:space="0" w:color="auto"/>
              </w:divBdr>
            </w:div>
          </w:divsChild>
        </w:div>
        <w:div w:id="1038236526">
          <w:marLeft w:val="0"/>
          <w:marRight w:val="0"/>
          <w:marTop w:val="0"/>
          <w:marBottom w:val="0"/>
          <w:divBdr>
            <w:top w:val="none" w:sz="0" w:space="0" w:color="auto"/>
            <w:left w:val="none" w:sz="0" w:space="0" w:color="auto"/>
            <w:bottom w:val="none" w:sz="0" w:space="0" w:color="auto"/>
            <w:right w:val="none" w:sz="0" w:space="0" w:color="auto"/>
          </w:divBdr>
          <w:divsChild>
            <w:div w:id="1518158037">
              <w:marLeft w:val="0"/>
              <w:marRight w:val="0"/>
              <w:marTop w:val="0"/>
              <w:marBottom w:val="0"/>
              <w:divBdr>
                <w:top w:val="none" w:sz="0" w:space="0" w:color="auto"/>
                <w:left w:val="none" w:sz="0" w:space="0" w:color="auto"/>
                <w:bottom w:val="none" w:sz="0" w:space="0" w:color="auto"/>
                <w:right w:val="none" w:sz="0" w:space="0" w:color="auto"/>
              </w:divBdr>
            </w:div>
          </w:divsChild>
        </w:div>
        <w:div w:id="1079325977">
          <w:marLeft w:val="0"/>
          <w:marRight w:val="0"/>
          <w:marTop w:val="0"/>
          <w:marBottom w:val="0"/>
          <w:divBdr>
            <w:top w:val="none" w:sz="0" w:space="0" w:color="auto"/>
            <w:left w:val="none" w:sz="0" w:space="0" w:color="auto"/>
            <w:bottom w:val="none" w:sz="0" w:space="0" w:color="auto"/>
            <w:right w:val="none" w:sz="0" w:space="0" w:color="auto"/>
          </w:divBdr>
          <w:divsChild>
            <w:div w:id="1108701514">
              <w:marLeft w:val="0"/>
              <w:marRight w:val="0"/>
              <w:marTop w:val="0"/>
              <w:marBottom w:val="0"/>
              <w:divBdr>
                <w:top w:val="none" w:sz="0" w:space="0" w:color="auto"/>
                <w:left w:val="none" w:sz="0" w:space="0" w:color="auto"/>
                <w:bottom w:val="none" w:sz="0" w:space="0" w:color="auto"/>
                <w:right w:val="none" w:sz="0" w:space="0" w:color="auto"/>
              </w:divBdr>
            </w:div>
          </w:divsChild>
        </w:div>
        <w:div w:id="1094285683">
          <w:marLeft w:val="0"/>
          <w:marRight w:val="0"/>
          <w:marTop w:val="0"/>
          <w:marBottom w:val="0"/>
          <w:divBdr>
            <w:top w:val="none" w:sz="0" w:space="0" w:color="auto"/>
            <w:left w:val="none" w:sz="0" w:space="0" w:color="auto"/>
            <w:bottom w:val="none" w:sz="0" w:space="0" w:color="auto"/>
            <w:right w:val="none" w:sz="0" w:space="0" w:color="auto"/>
          </w:divBdr>
          <w:divsChild>
            <w:div w:id="1030834816">
              <w:marLeft w:val="0"/>
              <w:marRight w:val="0"/>
              <w:marTop w:val="0"/>
              <w:marBottom w:val="0"/>
              <w:divBdr>
                <w:top w:val="none" w:sz="0" w:space="0" w:color="auto"/>
                <w:left w:val="none" w:sz="0" w:space="0" w:color="auto"/>
                <w:bottom w:val="none" w:sz="0" w:space="0" w:color="auto"/>
                <w:right w:val="none" w:sz="0" w:space="0" w:color="auto"/>
              </w:divBdr>
            </w:div>
          </w:divsChild>
        </w:div>
        <w:div w:id="1154033772">
          <w:marLeft w:val="0"/>
          <w:marRight w:val="0"/>
          <w:marTop w:val="0"/>
          <w:marBottom w:val="0"/>
          <w:divBdr>
            <w:top w:val="none" w:sz="0" w:space="0" w:color="auto"/>
            <w:left w:val="none" w:sz="0" w:space="0" w:color="auto"/>
            <w:bottom w:val="none" w:sz="0" w:space="0" w:color="auto"/>
            <w:right w:val="none" w:sz="0" w:space="0" w:color="auto"/>
          </w:divBdr>
          <w:divsChild>
            <w:div w:id="1267496413">
              <w:marLeft w:val="0"/>
              <w:marRight w:val="0"/>
              <w:marTop w:val="0"/>
              <w:marBottom w:val="0"/>
              <w:divBdr>
                <w:top w:val="none" w:sz="0" w:space="0" w:color="auto"/>
                <w:left w:val="none" w:sz="0" w:space="0" w:color="auto"/>
                <w:bottom w:val="none" w:sz="0" w:space="0" w:color="auto"/>
                <w:right w:val="none" w:sz="0" w:space="0" w:color="auto"/>
              </w:divBdr>
            </w:div>
          </w:divsChild>
        </w:div>
        <w:div w:id="1369529720">
          <w:marLeft w:val="0"/>
          <w:marRight w:val="0"/>
          <w:marTop w:val="0"/>
          <w:marBottom w:val="0"/>
          <w:divBdr>
            <w:top w:val="none" w:sz="0" w:space="0" w:color="auto"/>
            <w:left w:val="none" w:sz="0" w:space="0" w:color="auto"/>
            <w:bottom w:val="none" w:sz="0" w:space="0" w:color="auto"/>
            <w:right w:val="none" w:sz="0" w:space="0" w:color="auto"/>
          </w:divBdr>
          <w:divsChild>
            <w:div w:id="1459452535">
              <w:marLeft w:val="0"/>
              <w:marRight w:val="0"/>
              <w:marTop w:val="0"/>
              <w:marBottom w:val="0"/>
              <w:divBdr>
                <w:top w:val="none" w:sz="0" w:space="0" w:color="auto"/>
                <w:left w:val="none" w:sz="0" w:space="0" w:color="auto"/>
                <w:bottom w:val="none" w:sz="0" w:space="0" w:color="auto"/>
                <w:right w:val="none" w:sz="0" w:space="0" w:color="auto"/>
              </w:divBdr>
            </w:div>
          </w:divsChild>
        </w:div>
        <w:div w:id="1373993709">
          <w:marLeft w:val="0"/>
          <w:marRight w:val="0"/>
          <w:marTop w:val="0"/>
          <w:marBottom w:val="0"/>
          <w:divBdr>
            <w:top w:val="none" w:sz="0" w:space="0" w:color="auto"/>
            <w:left w:val="none" w:sz="0" w:space="0" w:color="auto"/>
            <w:bottom w:val="none" w:sz="0" w:space="0" w:color="auto"/>
            <w:right w:val="none" w:sz="0" w:space="0" w:color="auto"/>
          </w:divBdr>
          <w:divsChild>
            <w:div w:id="151263399">
              <w:marLeft w:val="0"/>
              <w:marRight w:val="0"/>
              <w:marTop w:val="0"/>
              <w:marBottom w:val="0"/>
              <w:divBdr>
                <w:top w:val="none" w:sz="0" w:space="0" w:color="auto"/>
                <w:left w:val="none" w:sz="0" w:space="0" w:color="auto"/>
                <w:bottom w:val="none" w:sz="0" w:space="0" w:color="auto"/>
                <w:right w:val="none" w:sz="0" w:space="0" w:color="auto"/>
              </w:divBdr>
            </w:div>
          </w:divsChild>
        </w:div>
        <w:div w:id="1583906451">
          <w:marLeft w:val="0"/>
          <w:marRight w:val="0"/>
          <w:marTop w:val="0"/>
          <w:marBottom w:val="0"/>
          <w:divBdr>
            <w:top w:val="none" w:sz="0" w:space="0" w:color="auto"/>
            <w:left w:val="none" w:sz="0" w:space="0" w:color="auto"/>
            <w:bottom w:val="none" w:sz="0" w:space="0" w:color="auto"/>
            <w:right w:val="none" w:sz="0" w:space="0" w:color="auto"/>
          </w:divBdr>
          <w:divsChild>
            <w:div w:id="1840075591">
              <w:marLeft w:val="0"/>
              <w:marRight w:val="0"/>
              <w:marTop w:val="0"/>
              <w:marBottom w:val="0"/>
              <w:divBdr>
                <w:top w:val="none" w:sz="0" w:space="0" w:color="auto"/>
                <w:left w:val="none" w:sz="0" w:space="0" w:color="auto"/>
                <w:bottom w:val="none" w:sz="0" w:space="0" w:color="auto"/>
                <w:right w:val="none" w:sz="0" w:space="0" w:color="auto"/>
              </w:divBdr>
            </w:div>
          </w:divsChild>
        </w:div>
        <w:div w:id="1617828297">
          <w:marLeft w:val="0"/>
          <w:marRight w:val="0"/>
          <w:marTop w:val="0"/>
          <w:marBottom w:val="0"/>
          <w:divBdr>
            <w:top w:val="none" w:sz="0" w:space="0" w:color="auto"/>
            <w:left w:val="none" w:sz="0" w:space="0" w:color="auto"/>
            <w:bottom w:val="none" w:sz="0" w:space="0" w:color="auto"/>
            <w:right w:val="none" w:sz="0" w:space="0" w:color="auto"/>
          </w:divBdr>
          <w:divsChild>
            <w:div w:id="56368252">
              <w:marLeft w:val="0"/>
              <w:marRight w:val="0"/>
              <w:marTop w:val="0"/>
              <w:marBottom w:val="0"/>
              <w:divBdr>
                <w:top w:val="none" w:sz="0" w:space="0" w:color="auto"/>
                <w:left w:val="none" w:sz="0" w:space="0" w:color="auto"/>
                <w:bottom w:val="none" w:sz="0" w:space="0" w:color="auto"/>
                <w:right w:val="none" w:sz="0" w:space="0" w:color="auto"/>
              </w:divBdr>
            </w:div>
          </w:divsChild>
        </w:div>
        <w:div w:id="1619481854">
          <w:marLeft w:val="0"/>
          <w:marRight w:val="0"/>
          <w:marTop w:val="0"/>
          <w:marBottom w:val="0"/>
          <w:divBdr>
            <w:top w:val="none" w:sz="0" w:space="0" w:color="auto"/>
            <w:left w:val="none" w:sz="0" w:space="0" w:color="auto"/>
            <w:bottom w:val="none" w:sz="0" w:space="0" w:color="auto"/>
            <w:right w:val="none" w:sz="0" w:space="0" w:color="auto"/>
          </w:divBdr>
          <w:divsChild>
            <w:div w:id="1634362037">
              <w:marLeft w:val="0"/>
              <w:marRight w:val="0"/>
              <w:marTop w:val="0"/>
              <w:marBottom w:val="0"/>
              <w:divBdr>
                <w:top w:val="none" w:sz="0" w:space="0" w:color="auto"/>
                <w:left w:val="none" w:sz="0" w:space="0" w:color="auto"/>
                <w:bottom w:val="none" w:sz="0" w:space="0" w:color="auto"/>
                <w:right w:val="none" w:sz="0" w:space="0" w:color="auto"/>
              </w:divBdr>
            </w:div>
          </w:divsChild>
        </w:div>
        <w:div w:id="1680352690">
          <w:marLeft w:val="0"/>
          <w:marRight w:val="0"/>
          <w:marTop w:val="0"/>
          <w:marBottom w:val="0"/>
          <w:divBdr>
            <w:top w:val="none" w:sz="0" w:space="0" w:color="auto"/>
            <w:left w:val="none" w:sz="0" w:space="0" w:color="auto"/>
            <w:bottom w:val="none" w:sz="0" w:space="0" w:color="auto"/>
            <w:right w:val="none" w:sz="0" w:space="0" w:color="auto"/>
          </w:divBdr>
          <w:divsChild>
            <w:div w:id="774835323">
              <w:marLeft w:val="0"/>
              <w:marRight w:val="0"/>
              <w:marTop w:val="0"/>
              <w:marBottom w:val="0"/>
              <w:divBdr>
                <w:top w:val="none" w:sz="0" w:space="0" w:color="auto"/>
                <w:left w:val="none" w:sz="0" w:space="0" w:color="auto"/>
                <w:bottom w:val="none" w:sz="0" w:space="0" w:color="auto"/>
                <w:right w:val="none" w:sz="0" w:space="0" w:color="auto"/>
              </w:divBdr>
            </w:div>
          </w:divsChild>
        </w:div>
        <w:div w:id="1683430165">
          <w:marLeft w:val="0"/>
          <w:marRight w:val="0"/>
          <w:marTop w:val="0"/>
          <w:marBottom w:val="0"/>
          <w:divBdr>
            <w:top w:val="none" w:sz="0" w:space="0" w:color="auto"/>
            <w:left w:val="none" w:sz="0" w:space="0" w:color="auto"/>
            <w:bottom w:val="none" w:sz="0" w:space="0" w:color="auto"/>
            <w:right w:val="none" w:sz="0" w:space="0" w:color="auto"/>
          </w:divBdr>
          <w:divsChild>
            <w:div w:id="2141339351">
              <w:marLeft w:val="0"/>
              <w:marRight w:val="0"/>
              <w:marTop w:val="0"/>
              <w:marBottom w:val="0"/>
              <w:divBdr>
                <w:top w:val="none" w:sz="0" w:space="0" w:color="auto"/>
                <w:left w:val="none" w:sz="0" w:space="0" w:color="auto"/>
                <w:bottom w:val="none" w:sz="0" w:space="0" w:color="auto"/>
                <w:right w:val="none" w:sz="0" w:space="0" w:color="auto"/>
              </w:divBdr>
            </w:div>
          </w:divsChild>
        </w:div>
        <w:div w:id="1744792062">
          <w:marLeft w:val="0"/>
          <w:marRight w:val="0"/>
          <w:marTop w:val="0"/>
          <w:marBottom w:val="0"/>
          <w:divBdr>
            <w:top w:val="none" w:sz="0" w:space="0" w:color="auto"/>
            <w:left w:val="none" w:sz="0" w:space="0" w:color="auto"/>
            <w:bottom w:val="none" w:sz="0" w:space="0" w:color="auto"/>
            <w:right w:val="none" w:sz="0" w:space="0" w:color="auto"/>
          </w:divBdr>
          <w:divsChild>
            <w:div w:id="1629700613">
              <w:marLeft w:val="0"/>
              <w:marRight w:val="0"/>
              <w:marTop w:val="0"/>
              <w:marBottom w:val="0"/>
              <w:divBdr>
                <w:top w:val="none" w:sz="0" w:space="0" w:color="auto"/>
                <w:left w:val="none" w:sz="0" w:space="0" w:color="auto"/>
                <w:bottom w:val="none" w:sz="0" w:space="0" w:color="auto"/>
                <w:right w:val="none" w:sz="0" w:space="0" w:color="auto"/>
              </w:divBdr>
            </w:div>
          </w:divsChild>
        </w:div>
        <w:div w:id="1808205574">
          <w:marLeft w:val="0"/>
          <w:marRight w:val="0"/>
          <w:marTop w:val="0"/>
          <w:marBottom w:val="0"/>
          <w:divBdr>
            <w:top w:val="none" w:sz="0" w:space="0" w:color="auto"/>
            <w:left w:val="none" w:sz="0" w:space="0" w:color="auto"/>
            <w:bottom w:val="none" w:sz="0" w:space="0" w:color="auto"/>
            <w:right w:val="none" w:sz="0" w:space="0" w:color="auto"/>
          </w:divBdr>
          <w:divsChild>
            <w:div w:id="240527235">
              <w:marLeft w:val="0"/>
              <w:marRight w:val="0"/>
              <w:marTop w:val="0"/>
              <w:marBottom w:val="0"/>
              <w:divBdr>
                <w:top w:val="none" w:sz="0" w:space="0" w:color="auto"/>
                <w:left w:val="none" w:sz="0" w:space="0" w:color="auto"/>
                <w:bottom w:val="none" w:sz="0" w:space="0" w:color="auto"/>
                <w:right w:val="none" w:sz="0" w:space="0" w:color="auto"/>
              </w:divBdr>
            </w:div>
          </w:divsChild>
        </w:div>
        <w:div w:id="1853688972">
          <w:marLeft w:val="0"/>
          <w:marRight w:val="0"/>
          <w:marTop w:val="0"/>
          <w:marBottom w:val="0"/>
          <w:divBdr>
            <w:top w:val="none" w:sz="0" w:space="0" w:color="auto"/>
            <w:left w:val="none" w:sz="0" w:space="0" w:color="auto"/>
            <w:bottom w:val="none" w:sz="0" w:space="0" w:color="auto"/>
            <w:right w:val="none" w:sz="0" w:space="0" w:color="auto"/>
          </w:divBdr>
          <w:divsChild>
            <w:div w:id="289677334">
              <w:marLeft w:val="0"/>
              <w:marRight w:val="0"/>
              <w:marTop w:val="0"/>
              <w:marBottom w:val="0"/>
              <w:divBdr>
                <w:top w:val="none" w:sz="0" w:space="0" w:color="auto"/>
                <w:left w:val="none" w:sz="0" w:space="0" w:color="auto"/>
                <w:bottom w:val="none" w:sz="0" w:space="0" w:color="auto"/>
                <w:right w:val="none" w:sz="0" w:space="0" w:color="auto"/>
              </w:divBdr>
            </w:div>
          </w:divsChild>
        </w:div>
        <w:div w:id="1935823823">
          <w:marLeft w:val="0"/>
          <w:marRight w:val="0"/>
          <w:marTop w:val="0"/>
          <w:marBottom w:val="0"/>
          <w:divBdr>
            <w:top w:val="none" w:sz="0" w:space="0" w:color="auto"/>
            <w:left w:val="none" w:sz="0" w:space="0" w:color="auto"/>
            <w:bottom w:val="none" w:sz="0" w:space="0" w:color="auto"/>
            <w:right w:val="none" w:sz="0" w:space="0" w:color="auto"/>
          </w:divBdr>
          <w:divsChild>
            <w:div w:id="1886023868">
              <w:marLeft w:val="0"/>
              <w:marRight w:val="0"/>
              <w:marTop w:val="0"/>
              <w:marBottom w:val="0"/>
              <w:divBdr>
                <w:top w:val="none" w:sz="0" w:space="0" w:color="auto"/>
                <w:left w:val="none" w:sz="0" w:space="0" w:color="auto"/>
                <w:bottom w:val="none" w:sz="0" w:space="0" w:color="auto"/>
                <w:right w:val="none" w:sz="0" w:space="0" w:color="auto"/>
              </w:divBdr>
            </w:div>
          </w:divsChild>
        </w:div>
        <w:div w:id="1956251469">
          <w:marLeft w:val="0"/>
          <w:marRight w:val="0"/>
          <w:marTop w:val="0"/>
          <w:marBottom w:val="0"/>
          <w:divBdr>
            <w:top w:val="none" w:sz="0" w:space="0" w:color="auto"/>
            <w:left w:val="none" w:sz="0" w:space="0" w:color="auto"/>
            <w:bottom w:val="none" w:sz="0" w:space="0" w:color="auto"/>
            <w:right w:val="none" w:sz="0" w:space="0" w:color="auto"/>
          </w:divBdr>
          <w:divsChild>
            <w:div w:id="467556888">
              <w:marLeft w:val="0"/>
              <w:marRight w:val="0"/>
              <w:marTop w:val="0"/>
              <w:marBottom w:val="0"/>
              <w:divBdr>
                <w:top w:val="none" w:sz="0" w:space="0" w:color="auto"/>
                <w:left w:val="none" w:sz="0" w:space="0" w:color="auto"/>
                <w:bottom w:val="none" w:sz="0" w:space="0" w:color="auto"/>
                <w:right w:val="none" w:sz="0" w:space="0" w:color="auto"/>
              </w:divBdr>
            </w:div>
          </w:divsChild>
        </w:div>
        <w:div w:id="2095206214">
          <w:marLeft w:val="0"/>
          <w:marRight w:val="0"/>
          <w:marTop w:val="0"/>
          <w:marBottom w:val="0"/>
          <w:divBdr>
            <w:top w:val="none" w:sz="0" w:space="0" w:color="auto"/>
            <w:left w:val="none" w:sz="0" w:space="0" w:color="auto"/>
            <w:bottom w:val="none" w:sz="0" w:space="0" w:color="auto"/>
            <w:right w:val="none" w:sz="0" w:space="0" w:color="auto"/>
          </w:divBdr>
          <w:divsChild>
            <w:div w:id="1417288866">
              <w:marLeft w:val="0"/>
              <w:marRight w:val="0"/>
              <w:marTop w:val="0"/>
              <w:marBottom w:val="0"/>
              <w:divBdr>
                <w:top w:val="none" w:sz="0" w:space="0" w:color="auto"/>
                <w:left w:val="none" w:sz="0" w:space="0" w:color="auto"/>
                <w:bottom w:val="none" w:sz="0" w:space="0" w:color="auto"/>
                <w:right w:val="none" w:sz="0" w:space="0" w:color="auto"/>
              </w:divBdr>
            </w:div>
          </w:divsChild>
        </w:div>
        <w:div w:id="2104640241">
          <w:marLeft w:val="0"/>
          <w:marRight w:val="0"/>
          <w:marTop w:val="0"/>
          <w:marBottom w:val="0"/>
          <w:divBdr>
            <w:top w:val="none" w:sz="0" w:space="0" w:color="auto"/>
            <w:left w:val="none" w:sz="0" w:space="0" w:color="auto"/>
            <w:bottom w:val="none" w:sz="0" w:space="0" w:color="auto"/>
            <w:right w:val="none" w:sz="0" w:space="0" w:color="auto"/>
          </w:divBdr>
          <w:divsChild>
            <w:div w:id="1904020524">
              <w:marLeft w:val="0"/>
              <w:marRight w:val="0"/>
              <w:marTop w:val="0"/>
              <w:marBottom w:val="0"/>
              <w:divBdr>
                <w:top w:val="none" w:sz="0" w:space="0" w:color="auto"/>
                <w:left w:val="none" w:sz="0" w:space="0" w:color="auto"/>
                <w:bottom w:val="none" w:sz="0" w:space="0" w:color="auto"/>
                <w:right w:val="none" w:sz="0" w:space="0" w:color="auto"/>
              </w:divBdr>
            </w:div>
          </w:divsChild>
        </w:div>
        <w:div w:id="2111125722">
          <w:marLeft w:val="0"/>
          <w:marRight w:val="0"/>
          <w:marTop w:val="0"/>
          <w:marBottom w:val="0"/>
          <w:divBdr>
            <w:top w:val="none" w:sz="0" w:space="0" w:color="auto"/>
            <w:left w:val="none" w:sz="0" w:space="0" w:color="auto"/>
            <w:bottom w:val="none" w:sz="0" w:space="0" w:color="auto"/>
            <w:right w:val="none" w:sz="0" w:space="0" w:color="auto"/>
          </w:divBdr>
          <w:divsChild>
            <w:div w:id="6936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25073">
      <w:bodyDiv w:val="1"/>
      <w:marLeft w:val="0"/>
      <w:marRight w:val="0"/>
      <w:marTop w:val="0"/>
      <w:marBottom w:val="0"/>
      <w:divBdr>
        <w:top w:val="none" w:sz="0" w:space="0" w:color="auto"/>
        <w:left w:val="none" w:sz="0" w:space="0" w:color="auto"/>
        <w:bottom w:val="none" w:sz="0" w:space="0" w:color="auto"/>
        <w:right w:val="none" w:sz="0" w:space="0" w:color="auto"/>
      </w:divBdr>
      <w:divsChild>
        <w:div w:id="30498723">
          <w:marLeft w:val="0"/>
          <w:marRight w:val="0"/>
          <w:marTop w:val="0"/>
          <w:marBottom w:val="0"/>
          <w:divBdr>
            <w:top w:val="none" w:sz="0" w:space="0" w:color="auto"/>
            <w:left w:val="none" w:sz="0" w:space="0" w:color="auto"/>
            <w:bottom w:val="none" w:sz="0" w:space="0" w:color="auto"/>
            <w:right w:val="none" w:sz="0" w:space="0" w:color="auto"/>
          </w:divBdr>
          <w:divsChild>
            <w:div w:id="437675826">
              <w:marLeft w:val="0"/>
              <w:marRight w:val="0"/>
              <w:marTop w:val="0"/>
              <w:marBottom w:val="0"/>
              <w:divBdr>
                <w:top w:val="none" w:sz="0" w:space="0" w:color="auto"/>
                <w:left w:val="none" w:sz="0" w:space="0" w:color="auto"/>
                <w:bottom w:val="none" w:sz="0" w:space="0" w:color="auto"/>
                <w:right w:val="none" w:sz="0" w:space="0" w:color="auto"/>
              </w:divBdr>
            </w:div>
          </w:divsChild>
        </w:div>
        <w:div w:id="185365154">
          <w:marLeft w:val="0"/>
          <w:marRight w:val="0"/>
          <w:marTop w:val="0"/>
          <w:marBottom w:val="0"/>
          <w:divBdr>
            <w:top w:val="none" w:sz="0" w:space="0" w:color="auto"/>
            <w:left w:val="none" w:sz="0" w:space="0" w:color="auto"/>
            <w:bottom w:val="none" w:sz="0" w:space="0" w:color="auto"/>
            <w:right w:val="none" w:sz="0" w:space="0" w:color="auto"/>
          </w:divBdr>
          <w:divsChild>
            <w:div w:id="1334062791">
              <w:marLeft w:val="0"/>
              <w:marRight w:val="0"/>
              <w:marTop w:val="0"/>
              <w:marBottom w:val="0"/>
              <w:divBdr>
                <w:top w:val="none" w:sz="0" w:space="0" w:color="auto"/>
                <w:left w:val="none" w:sz="0" w:space="0" w:color="auto"/>
                <w:bottom w:val="none" w:sz="0" w:space="0" w:color="auto"/>
                <w:right w:val="none" w:sz="0" w:space="0" w:color="auto"/>
              </w:divBdr>
            </w:div>
          </w:divsChild>
        </w:div>
        <w:div w:id="376247017">
          <w:marLeft w:val="0"/>
          <w:marRight w:val="0"/>
          <w:marTop w:val="0"/>
          <w:marBottom w:val="0"/>
          <w:divBdr>
            <w:top w:val="none" w:sz="0" w:space="0" w:color="auto"/>
            <w:left w:val="none" w:sz="0" w:space="0" w:color="auto"/>
            <w:bottom w:val="none" w:sz="0" w:space="0" w:color="auto"/>
            <w:right w:val="none" w:sz="0" w:space="0" w:color="auto"/>
          </w:divBdr>
          <w:divsChild>
            <w:div w:id="606931235">
              <w:marLeft w:val="0"/>
              <w:marRight w:val="0"/>
              <w:marTop w:val="0"/>
              <w:marBottom w:val="0"/>
              <w:divBdr>
                <w:top w:val="none" w:sz="0" w:space="0" w:color="auto"/>
                <w:left w:val="none" w:sz="0" w:space="0" w:color="auto"/>
                <w:bottom w:val="none" w:sz="0" w:space="0" w:color="auto"/>
                <w:right w:val="none" w:sz="0" w:space="0" w:color="auto"/>
              </w:divBdr>
            </w:div>
          </w:divsChild>
        </w:div>
        <w:div w:id="681274869">
          <w:marLeft w:val="0"/>
          <w:marRight w:val="0"/>
          <w:marTop w:val="0"/>
          <w:marBottom w:val="0"/>
          <w:divBdr>
            <w:top w:val="none" w:sz="0" w:space="0" w:color="auto"/>
            <w:left w:val="none" w:sz="0" w:space="0" w:color="auto"/>
            <w:bottom w:val="none" w:sz="0" w:space="0" w:color="auto"/>
            <w:right w:val="none" w:sz="0" w:space="0" w:color="auto"/>
          </w:divBdr>
          <w:divsChild>
            <w:div w:id="1848985566">
              <w:marLeft w:val="0"/>
              <w:marRight w:val="0"/>
              <w:marTop w:val="0"/>
              <w:marBottom w:val="0"/>
              <w:divBdr>
                <w:top w:val="none" w:sz="0" w:space="0" w:color="auto"/>
                <w:left w:val="none" w:sz="0" w:space="0" w:color="auto"/>
                <w:bottom w:val="none" w:sz="0" w:space="0" w:color="auto"/>
                <w:right w:val="none" w:sz="0" w:space="0" w:color="auto"/>
              </w:divBdr>
            </w:div>
          </w:divsChild>
        </w:div>
        <w:div w:id="872111708">
          <w:marLeft w:val="0"/>
          <w:marRight w:val="0"/>
          <w:marTop w:val="0"/>
          <w:marBottom w:val="0"/>
          <w:divBdr>
            <w:top w:val="none" w:sz="0" w:space="0" w:color="auto"/>
            <w:left w:val="none" w:sz="0" w:space="0" w:color="auto"/>
            <w:bottom w:val="none" w:sz="0" w:space="0" w:color="auto"/>
            <w:right w:val="none" w:sz="0" w:space="0" w:color="auto"/>
          </w:divBdr>
          <w:divsChild>
            <w:div w:id="1093866615">
              <w:marLeft w:val="0"/>
              <w:marRight w:val="0"/>
              <w:marTop w:val="0"/>
              <w:marBottom w:val="0"/>
              <w:divBdr>
                <w:top w:val="none" w:sz="0" w:space="0" w:color="auto"/>
                <w:left w:val="none" w:sz="0" w:space="0" w:color="auto"/>
                <w:bottom w:val="none" w:sz="0" w:space="0" w:color="auto"/>
                <w:right w:val="none" w:sz="0" w:space="0" w:color="auto"/>
              </w:divBdr>
            </w:div>
          </w:divsChild>
        </w:div>
        <w:div w:id="895894897">
          <w:marLeft w:val="0"/>
          <w:marRight w:val="0"/>
          <w:marTop w:val="0"/>
          <w:marBottom w:val="0"/>
          <w:divBdr>
            <w:top w:val="none" w:sz="0" w:space="0" w:color="auto"/>
            <w:left w:val="none" w:sz="0" w:space="0" w:color="auto"/>
            <w:bottom w:val="none" w:sz="0" w:space="0" w:color="auto"/>
            <w:right w:val="none" w:sz="0" w:space="0" w:color="auto"/>
          </w:divBdr>
          <w:divsChild>
            <w:div w:id="2105958018">
              <w:marLeft w:val="0"/>
              <w:marRight w:val="0"/>
              <w:marTop w:val="0"/>
              <w:marBottom w:val="0"/>
              <w:divBdr>
                <w:top w:val="none" w:sz="0" w:space="0" w:color="auto"/>
                <w:left w:val="none" w:sz="0" w:space="0" w:color="auto"/>
                <w:bottom w:val="none" w:sz="0" w:space="0" w:color="auto"/>
                <w:right w:val="none" w:sz="0" w:space="0" w:color="auto"/>
              </w:divBdr>
            </w:div>
          </w:divsChild>
        </w:div>
        <w:div w:id="973370637">
          <w:marLeft w:val="0"/>
          <w:marRight w:val="0"/>
          <w:marTop w:val="0"/>
          <w:marBottom w:val="0"/>
          <w:divBdr>
            <w:top w:val="none" w:sz="0" w:space="0" w:color="auto"/>
            <w:left w:val="none" w:sz="0" w:space="0" w:color="auto"/>
            <w:bottom w:val="none" w:sz="0" w:space="0" w:color="auto"/>
            <w:right w:val="none" w:sz="0" w:space="0" w:color="auto"/>
          </w:divBdr>
          <w:divsChild>
            <w:div w:id="130951412">
              <w:marLeft w:val="0"/>
              <w:marRight w:val="0"/>
              <w:marTop w:val="0"/>
              <w:marBottom w:val="0"/>
              <w:divBdr>
                <w:top w:val="none" w:sz="0" w:space="0" w:color="auto"/>
                <w:left w:val="none" w:sz="0" w:space="0" w:color="auto"/>
                <w:bottom w:val="none" w:sz="0" w:space="0" w:color="auto"/>
                <w:right w:val="none" w:sz="0" w:space="0" w:color="auto"/>
              </w:divBdr>
            </w:div>
          </w:divsChild>
        </w:div>
        <w:div w:id="983196133">
          <w:marLeft w:val="0"/>
          <w:marRight w:val="0"/>
          <w:marTop w:val="0"/>
          <w:marBottom w:val="0"/>
          <w:divBdr>
            <w:top w:val="none" w:sz="0" w:space="0" w:color="auto"/>
            <w:left w:val="none" w:sz="0" w:space="0" w:color="auto"/>
            <w:bottom w:val="none" w:sz="0" w:space="0" w:color="auto"/>
            <w:right w:val="none" w:sz="0" w:space="0" w:color="auto"/>
          </w:divBdr>
          <w:divsChild>
            <w:div w:id="1798260536">
              <w:marLeft w:val="0"/>
              <w:marRight w:val="0"/>
              <w:marTop w:val="0"/>
              <w:marBottom w:val="0"/>
              <w:divBdr>
                <w:top w:val="none" w:sz="0" w:space="0" w:color="auto"/>
                <w:left w:val="none" w:sz="0" w:space="0" w:color="auto"/>
                <w:bottom w:val="none" w:sz="0" w:space="0" w:color="auto"/>
                <w:right w:val="none" w:sz="0" w:space="0" w:color="auto"/>
              </w:divBdr>
            </w:div>
          </w:divsChild>
        </w:div>
        <w:div w:id="1200357675">
          <w:marLeft w:val="0"/>
          <w:marRight w:val="0"/>
          <w:marTop w:val="0"/>
          <w:marBottom w:val="0"/>
          <w:divBdr>
            <w:top w:val="none" w:sz="0" w:space="0" w:color="auto"/>
            <w:left w:val="none" w:sz="0" w:space="0" w:color="auto"/>
            <w:bottom w:val="none" w:sz="0" w:space="0" w:color="auto"/>
            <w:right w:val="none" w:sz="0" w:space="0" w:color="auto"/>
          </w:divBdr>
          <w:divsChild>
            <w:div w:id="542059815">
              <w:marLeft w:val="0"/>
              <w:marRight w:val="0"/>
              <w:marTop w:val="0"/>
              <w:marBottom w:val="0"/>
              <w:divBdr>
                <w:top w:val="none" w:sz="0" w:space="0" w:color="auto"/>
                <w:left w:val="none" w:sz="0" w:space="0" w:color="auto"/>
                <w:bottom w:val="none" w:sz="0" w:space="0" w:color="auto"/>
                <w:right w:val="none" w:sz="0" w:space="0" w:color="auto"/>
              </w:divBdr>
            </w:div>
          </w:divsChild>
        </w:div>
        <w:div w:id="1453674277">
          <w:marLeft w:val="0"/>
          <w:marRight w:val="0"/>
          <w:marTop w:val="0"/>
          <w:marBottom w:val="0"/>
          <w:divBdr>
            <w:top w:val="none" w:sz="0" w:space="0" w:color="auto"/>
            <w:left w:val="none" w:sz="0" w:space="0" w:color="auto"/>
            <w:bottom w:val="none" w:sz="0" w:space="0" w:color="auto"/>
            <w:right w:val="none" w:sz="0" w:space="0" w:color="auto"/>
          </w:divBdr>
          <w:divsChild>
            <w:div w:id="170950554">
              <w:marLeft w:val="0"/>
              <w:marRight w:val="0"/>
              <w:marTop w:val="0"/>
              <w:marBottom w:val="0"/>
              <w:divBdr>
                <w:top w:val="none" w:sz="0" w:space="0" w:color="auto"/>
                <w:left w:val="none" w:sz="0" w:space="0" w:color="auto"/>
                <w:bottom w:val="none" w:sz="0" w:space="0" w:color="auto"/>
                <w:right w:val="none" w:sz="0" w:space="0" w:color="auto"/>
              </w:divBdr>
            </w:div>
          </w:divsChild>
        </w:div>
        <w:div w:id="1475364769">
          <w:marLeft w:val="0"/>
          <w:marRight w:val="0"/>
          <w:marTop w:val="0"/>
          <w:marBottom w:val="0"/>
          <w:divBdr>
            <w:top w:val="none" w:sz="0" w:space="0" w:color="auto"/>
            <w:left w:val="none" w:sz="0" w:space="0" w:color="auto"/>
            <w:bottom w:val="none" w:sz="0" w:space="0" w:color="auto"/>
            <w:right w:val="none" w:sz="0" w:space="0" w:color="auto"/>
          </w:divBdr>
          <w:divsChild>
            <w:div w:id="283197136">
              <w:marLeft w:val="0"/>
              <w:marRight w:val="0"/>
              <w:marTop w:val="0"/>
              <w:marBottom w:val="0"/>
              <w:divBdr>
                <w:top w:val="none" w:sz="0" w:space="0" w:color="auto"/>
                <w:left w:val="none" w:sz="0" w:space="0" w:color="auto"/>
                <w:bottom w:val="none" w:sz="0" w:space="0" w:color="auto"/>
                <w:right w:val="none" w:sz="0" w:space="0" w:color="auto"/>
              </w:divBdr>
            </w:div>
          </w:divsChild>
        </w:div>
        <w:div w:id="1513377934">
          <w:marLeft w:val="0"/>
          <w:marRight w:val="0"/>
          <w:marTop w:val="0"/>
          <w:marBottom w:val="0"/>
          <w:divBdr>
            <w:top w:val="none" w:sz="0" w:space="0" w:color="auto"/>
            <w:left w:val="none" w:sz="0" w:space="0" w:color="auto"/>
            <w:bottom w:val="none" w:sz="0" w:space="0" w:color="auto"/>
            <w:right w:val="none" w:sz="0" w:space="0" w:color="auto"/>
          </w:divBdr>
          <w:divsChild>
            <w:div w:id="2098868873">
              <w:marLeft w:val="0"/>
              <w:marRight w:val="0"/>
              <w:marTop w:val="0"/>
              <w:marBottom w:val="0"/>
              <w:divBdr>
                <w:top w:val="none" w:sz="0" w:space="0" w:color="auto"/>
                <w:left w:val="none" w:sz="0" w:space="0" w:color="auto"/>
                <w:bottom w:val="none" w:sz="0" w:space="0" w:color="auto"/>
                <w:right w:val="none" w:sz="0" w:space="0" w:color="auto"/>
              </w:divBdr>
            </w:div>
          </w:divsChild>
        </w:div>
        <w:div w:id="1520702929">
          <w:marLeft w:val="0"/>
          <w:marRight w:val="0"/>
          <w:marTop w:val="0"/>
          <w:marBottom w:val="0"/>
          <w:divBdr>
            <w:top w:val="none" w:sz="0" w:space="0" w:color="auto"/>
            <w:left w:val="none" w:sz="0" w:space="0" w:color="auto"/>
            <w:bottom w:val="none" w:sz="0" w:space="0" w:color="auto"/>
            <w:right w:val="none" w:sz="0" w:space="0" w:color="auto"/>
          </w:divBdr>
          <w:divsChild>
            <w:div w:id="989477060">
              <w:marLeft w:val="0"/>
              <w:marRight w:val="0"/>
              <w:marTop w:val="0"/>
              <w:marBottom w:val="0"/>
              <w:divBdr>
                <w:top w:val="none" w:sz="0" w:space="0" w:color="auto"/>
                <w:left w:val="none" w:sz="0" w:space="0" w:color="auto"/>
                <w:bottom w:val="none" w:sz="0" w:space="0" w:color="auto"/>
                <w:right w:val="none" w:sz="0" w:space="0" w:color="auto"/>
              </w:divBdr>
            </w:div>
          </w:divsChild>
        </w:div>
        <w:div w:id="1545948591">
          <w:marLeft w:val="0"/>
          <w:marRight w:val="0"/>
          <w:marTop w:val="0"/>
          <w:marBottom w:val="0"/>
          <w:divBdr>
            <w:top w:val="none" w:sz="0" w:space="0" w:color="auto"/>
            <w:left w:val="none" w:sz="0" w:space="0" w:color="auto"/>
            <w:bottom w:val="none" w:sz="0" w:space="0" w:color="auto"/>
            <w:right w:val="none" w:sz="0" w:space="0" w:color="auto"/>
          </w:divBdr>
          <w:divsChild>
            <w:div w:id="2145731277">
              <w:marLeft w:val="0"/>
              <w:marRight w:val="0"/>
              <w:marTop w:val="0"/>
              <w:marBottom w:val="0"/>
              <w:divBdr>
                <w:top w:val="none" w:sz="0" w:space="0" w:color="auto"/>
                <w:left w:val="none" w:sz="0" w:space="0" w:color="auto"/>
                <w:bottom w:val="none" w:sz="0" w:space="0" w:color="auto"/>
                <w:right w:val="none" w:sz="0" w:space="0" w:color="auto"/>
              </w:divBdr>
            </w:div>
          </w:divsChild>
        </w:div>
        <w:div w:id="1590891850">
          <w:marLeft w:val="0"/>
          <w:marRight w:val="0"/>
          <w:marTop w:val="0"/>
          <w:marBottom w:val="0"/>
          <w:divBdr>
            <w:top w:val="none" w:sz="0" w:space="0" w:color="auto"/>
            <w:left w:val="none" w:sz="0" w:space="0" w:color="auto"/>
            <w:bottom w:val="none" w:sz="0" w:space="0" w:color="auto"/>
            <w:right w:val="none" w:sz="0" w:space="0" w:color="auto"/>
          </w:divBdr>
          <w:divsChild>
            <w:div w:id="735131140">
              <w:marLeft w:val="0"/>
              <w:marRight w:val="0"/>
              <w:marTop w:val="0"/>
              <w:marBottom w:val="0"/>
              <w:divBdr>
                <w:top w:val="none" w:sz="0" w:space="0" w:color="auto"/>
                <w:left w:val="none" w:sz="0" w:space="0" w:color="auto"/>
                <w:bottom w:val="none" w:sz="0" w:space="0" w:color="auto"/>
                <w:right w:val="none" w:sz="0" w:space="0" w:color="auto"/>
              </w:divBdr>
            </w:div>
          </w:divsChild>
        </w:div>
        <w:div w:id="1624145437">
          <w:marLeft w:val="0"/>
          <w:marRight w:val="0"/>
          <w:marTop w:val="0"/>
          <w:marBottom w:val="0"/>
          <w:divBdr>
            <w:top w:val="none" w:sz="0" w:space="0" w:color="auto"/>
            <w:left w:val="none" w:sz="0" w:space="0" w:color="auto"/>
            <w:bottom w:val="none" w:sz="0" w:space="0" w:color="auto"/>
            <w:right w:val="none" w:sz="0" w:space="0" w:color="auto"/>
          </w:divBdr>
          <w:divsChild>
            <w:div w:id="1228154592">
              <w:marLeft w:val="0"/>
              <w:marRight w:val="0"/>
              <w:marTop w:val="0"/>
              <w:marBottom w:val="0"/>
              <w:divBdr>
                <w:top w:val="none" w:sz="0" w:space="0" w:color="auto"/>
                <w:left w:val="none" w:sz="0" w:space="0" w:color="auto"/>
                <w:bottom w:val="none" w:sz="0" w:space="0" w:color="auto"/>
                <w:right w:val="none" w:sz="0" w:space="0" w:color="auto"/>
              </w:divBdr>
            </w:div>
          </w:divsChild>
        </w:div>
        <w:div w:id="1671758940">
          <w:marLeft w:val="0"/>
          <w:marRight w:val="0"/>
          <w:marTop w:val="0"/>
          <w:marBottom w:val="0"/>
          <w:divBdr>
            <w:top w:val="none" w:sz="0" w:space="0" w:color="auto"/>
            <w:left w:val="none" w:sz="0" w:space="0" w:color="auto"/>
            <w:bottom w:val="none" w:sz="0" w:space="0" w:color="auto"/>
            <w:right w:val="none" w:sz="0" w:space="0" w:color="auto"/>
          </w:divBdr>
          <w:divsChild>
            <w:div w:id="1323779159">
              <w:marLeft w:val="0"/>
              <w:marRight w:val="0"/>
              <w:marTop w:val="0"/>
              <w:marBottom w:val="0"/>
              <w:divBdr>
                <w:top w:val="none" w:sz="0" w:space="0" w:color="auto"/>
                <w:left w:val="none" w:sz="0" w:space="0" w:color="auto"/>
                <w:bottom w:val="none" w:sz="0" w:space="0" w:color="auto"/>
                <w:right w:val="none" w:sz="0" w:space="0" w:color="auto"/>
              </w:divBdr>
            </w:div>
          </w:divsChild>
        </w:div>
        <w:div w:id="1739090337">
          <w:marLeft w:val="0"/>
          <w:marRight w:val="0"/>
          <w:marTop w:val="0"/>
          <w:marBottom w:val="0"/>
          <w:divBdr>
            <w:top w:val="none" w:sz="0" w:space="0" w:color="auto"/>
            <w:left w:val="none" w:sz="0" w:space="0" w:color="auto"/>
            <w:bottom w:val="none" w:sz="0" w:space="0" w:color="auto"/>
            <w:right w:val="none" w:sz="0" w:space="0" w:color="auto"/>
          </w:divBdr>
          <w:divsChild>
            <w:div w:id="1032072711">
              <w:marLeft w:val="0"/>
              <w:marRight w:val="0"/>
              <w:marTop w:val="0"/>
              <w:marBottom w:val="0"/>
              <w:divBdr>
                <w:top w:val="none" w:sz="0" w:space="0" w:color="auto"/>
                <w:left w:val="none" w:sz="0" w:space="0" w:color="auto"/>
                <w:bottom w:val="none" w:sz="0" w:space="0" w:color="auto"/>
                <w:right w:val="none" w:sz="0" w:space="0" w:color="auto"/>
              </w:divBdr>
            </w:div>
          </w:divsChild>
        </w:div>
        <w:div w:id="1830708451">
          <w:marLeft w:val="0"/>
          <w:marRight w:val="0"/>
          <w:marTop w:val="0"/>
          <w:marBottom w:val="0"/>
          <w:divBdr>
            <w:top w:val="none" w:sz="0" w:space="0" w:color="auto"/>
            <w:left w:val="none" w:sz="0" w:space="0" w:color="auto"/>
            <w:bottom w:val="none" w:sz="0" w:space="0" w:color="auto"/>
            <w:right w:val="none" w:sz="0" w:space="0" w:color="auto"/>
          </w:divBdr>
          <w:divsChild>
            <w:div w:id="7870925">
              <w:marLeft w:val="0"/>
              <w:marRight w:val="0"/>
              <w:marTop w:val="0"/>
              <w:marBottom w:val="0"/>
              <w:divBdr>
                <w:top w:val="none" w:sz="0" w:space="0" w:color="auto"/>
                <w:left w:val="none" w:sz="0" w:space="0" w:color="auto"/>
                <w:bottom w:val="none" w:sz="0" w:space="0" w:color="auto"/>
                <w:right w:val="none" w:sz="0" w:space="0" w:color="auto"/>
              </w:divBdr>
            </w:div>
          </w:divsChild>
        </w:div>
        <w:div w:id="1954938965">
          <w:marLeft w:val="0"/>
          <w:marRight w:val="0"/>
          <w:marTop w:val="0"/>
          <w:marBottom w:val="0"/>
          <w:divBdr>
            <w:top w:val="none" w:sz="0" w:space="0" w:color="auto"/>
            <w:left w:val="none" w:sz="0" w:space="0" w:color="auto"/>
            <w:bottom w:val="none" w:sz="0" w:space="0" w:color="auto"/>
            <w:right w:val="none" w:sz="0" w:space="0" w:color="auto"/>
          </w:divBdr>
          <w:divsChild>
            <w:div w:id="1420173934">
              <w:marLeft w:val="0"/>
              <w:marRight w:val="0"/>
              <w:marTop w:val="0"/>
              <w:marBottom w:val="0"/>
              <w:divBdr>
                <w:top w:val="none" w:sz="0" w:space="0" w:color="auto"/>
                <w:left w:val="none" w:sz="0" w:space="0" w:color="auto"/>
                <w:bottom w:val="none" w:sz="0" w:space="0" w:color="auto"/>
                <w:right w:val="none" w:sz="0" w:space="0" w:color="auto"/>
              </w:divBdr>
            </w:div>
          </w:divsChild>
        </w:div>
        <w:div w:id="2066947253">
          <w:marLeft w:val="0"/>
          <w:marRight w:val="0"/>
          <w:marTop w:val="0"/>
          <w:marBottom w:val="0"/>
          <w:divBdr>
            <w:top w:val="none" w:sz="0" w:space="0" w:color="auto"/>
            <w:left w:val="none" w:sz="0" w:space="0" w:color="auto"/>
            <w:bottom w:val="none" w:sz="0" w:space="0" w:color="auto"/>
            <w:right w:val="none" w:sz="0" w:space="0" w:color="auto"/>
          </w:divBdr>
          <w:divsChild>
            <w:div w:id="583685406">
              <w:marLeft w:val="0"/>
              <w:marRight w:val="0"/>
              <w:marTop w:val="0"/>
              <w:marBottom w:val="0"/>
              <w:divBdr>
                <w:top w:val="none" w:sz="0" w:space="0" w:color="auto"/>
                <w:left w:val="none" w:sz="0" w:space="0" w:color="auto"/>
                <w:bottom w:val="none" w:sz="0" w:space="0" w:color="auto"/>
                <w:right w:val="none" w:sz="0" w:space="0" w:color="auto"/>
              </w:divBdr>
            </w:div>
          </w:divsChild>
        </w:div>
        <w:div w:id="2095783159">
          <w:marLeft w:val="0"/>
          <w:marRight w:val="0"/>
          <w:marTop w:val="0"/>
          <w:marBottom w:val="0"/>
          <w:divBdr>
            <w:top w:val="none" w:sz="0" w:space="0" w:color="auto"/>
            <w:left w:val="none" w:sz="0" w:space="0" w:color="auto"/>
            <w:bottom w:val="none" w:sz="0" w:space="0" w:color="auto"/>
            <w:right w:val="none" w:sz="0" w:space="0" w:color="auto"/>
          </w:divBdr>
          <w:divsChild>
            <w:div w:id="1772234454">
              <w:marLeft w:val="0"/>
              <w:marRight w:val="0"/>
              <w:marTop w:val="0"/>
              <w:marBottom w:val="0"/>
              <w:divBdr>
                <w:top w:val="none" w:sz="0" w:space="0" w:color="auto"/>
                <w:left w:val="none" w:sz="0" w:space="0" w:color="auto"/>
                <w:bottom w:val="none" w:sz="0" w:space="0" w:color="auto"/>
                <w:right w:val="none" w:sz="0" w:space="0" w:color="auto"/>
              </w:divBdr>
            </w:div>
          </w:divsChild>
        </w:div>
        <w:div w:id="2130201919">
          <w:marLeft w:val="0"/>
          <w:marRight w:val="0"/>
          <w:marTop w:val="0"/>
          <w:marBottom w:val="0"/>
          <w:divBdr>
            <w:top w:val="none" w:sz="0" w:space="0" w:color="auto"/>
            <w:left w:val="none" w:sz="0" w:space="0" w:color="auto"/>
            <w:bottom w:val="none" w:sz="0" w:space="0" w:color="auto"/>
            <w:right w:val="none" w:sz="0" w:space="0" w:color="auto"/>
          </w:divBdr>
          <w:divsChild>
            <w:div w:id="175847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381123">
      <w:bodyDiv w:val="1"/>
      <w:marLeft w:val="0"/>
      <w:marRight w:val="0"/>
      <w:marTop w:val="0"/>
      <w:marBottom w:val="0"/>
      <w:divBdr>
        <w:top w:val="none" w:sz="0" w:space="0" w:color="auto"/>
        <w:left w:val="none" w:sz="0" w:space="0" w:color="auto"/>
        <w:bottom w:val="none" w:sz="0" w:space="0" w:color="auto"/>
        <w:right w:val="none" w:sz="0" w:space="0" w:color="auto"/>
      </w:divBdr>
    </w:div>
    <w:div w:id="1360550625">
      <w:bodyDiv w:val="1"/>
      <w:marLeft w:val="0"/>
      <w:marRight w:val="0"/>
      <w:marTop w:val="0"/>
      <w:marBottom w:val="0"/>
      <w:divBdr>
        <w:top w:val="none" w:sz="0" w:space="0" w:color="auto"/>
        <w:left w:val="none" w:sz="0" w:space="0" w:color="auto"/>
        <w:bottom w:val="none" w:sz="0" w:space="0" w:color="auto"/>
        <w:right w:val="none" w:sz="0" w:space="0" w:color="auto"/>
      </w:divBdr>
      <w:divsChild>
        <w:div w:id="36592096">
          <w:marLeft w:val="0"/>
          <w:marRight w:val="0"/>
          <w:marTop w:val="0"/>
          <w:marBottom w:val="0"/>
          <w:divBdr>
            <w:top w:val="none" w:sz="0" w:space="0" w:color="auto"/>
            <w:left w:val="none" w:sz="0" w:space="0" w:color="auto"/>
            <w:bottom w:val="none" w:sz="0" w:space="0" w:color="auto"/>
            <w:right w:val="none" w:sz="0" w:space="0" w:color="auto"/>
          </w:divBdr>
          <w:divsChild>
            <w:div w:id="12607832">
              <w:marLeft w:val="0"/>
              <w:marRight w:val="0"/>
              <w:marTop w:val="0"/>
              <w:marBottom w:val="0"/>
              <w:divBdr>
                <w:top w:val="none" w:sz="0" w:space="0" w:color="auto"/>
                <w:left w:val="none" w:sz="0" w:space="0" w:color="auto"/>
                <w:bottom w:val="none" w:sz="0" w:space="0" w:color="auto"/>
                <w:right w:val="none" w:sz="0" w:space="0" w:color="auto"/>
              </w:divBdr>
            </w:div>
          </w:divsChild>
        </w:div>
        <w:div w:id="50925032">
          <w:marLeft w:val="0"/>
          <w:marRight w:val="0"/>
          <w:marTop w:val="0"/>
          <w:marBottom w:val="0"/>
          <w:divBdr>
            <w:top w:val="none" w:sz="0" w:space="0" w:color="auto"/>
            <w:left w:val="none" w:sz="0" w:space="0" w:color="auto"/>
            <w:bottom w:val="none" w:sz="0" w:space="0" w:color="auto"/>
            <w:right w:val="none" w:sz="0" w:space="0" w:color="auto"/>
          </w:divBdr>
          <w:divsChild>
            <w:div w:id="382363325">
              <w:marLeft w:val="0"/>
              <w:marRight w:val="0"/>
              <w:marTop w:val="0"/>
              <w:marBottom w:val="0"/>
              <w:divBdr>
                <w:top w:val="none" w:sz="0" w:space="0" w:color="auto"/>
                <w:left w:val="none" w:sz="0" w:space="0" w:color="auto"/>
                <w:bottom w:val="none" w:sz="0" w:space="0" w:color="auto"/>
                <w:right w:val="none" w:sz="0" w:space="0" w:color="auto"/>
              </w:divBdr>
            </w:div>
          </w:divsChild>
        </w:div>
        <w:div w:id="59984481">
          <w:marLeft w:val="0"/>
          <w:marRight w:val="0"/>
          <w:marTop w:val="0"/>
          <w:marBottom w:val="0"/>
          <w:divBdr>
            <w:top w:val="none" w:sz="0" w:space="0" w:color="auto"/>
            <w:left w:val="none" w:sz="0" w:space="0" w:color="auto"/>
            <w:bottom w:val="none" w:sz="0" w:space="0" w:color="auto"/>
            <w:right w:val="none" w:sz="0" w:space="0" w:color="auto"/>
          </w:divBdr>
          <w:divsChild>
            <w:div w:id="1995988191">
              <w:marLeft w:val="0"/>
              <w:marRight w:val="0"/>
              <w:marTop w:val="0"/>
              <w:marBottom w:val="0"/>
              <w:divBdr>
                <w:top w:val="none" w:sz="0" w:space="0" w:color="auto"/>
                <w:left w:val="none" w:sz="0" w:space="0" w:color="auto"/>
                <w:bottom w:val="none" w:sz="0" w:space="0" w:color="auto"/>
                <w:right w:val="none" w:sz="0" w:space="0" w:color="auto"/>
              </w:divBdr>
            </w:div>
          </w:divsChild>
        </w:div>
        <w:div w:id="140738199">
          <w:marLeft w:val="0"/>
          <w:marRight w:val="0"/>
          <w:marTop w:val="0"/>
          <w:marBottom w:val="0"/>
          <w:divBdr>
            <w:top w:val="none" w:sz="0" w:space="0" w:color="auto"/>
            <w:left w:val="none" w:sz="0" w:space="0" w:color="auto"/>
            <w:bottom w:val="none" w:sz="0" w:space="0" w:color="auto"/>
            <w:right w:val="none" w:sz="0" w:space="0" w:color="auto"/>
          </w:divBdr>
          <w:divsChild>
            <w:div w:id="206914962">
              <w:marLeft w:val="0"/>
              <w:marRight w:val="0"/>
              <w:marTop w:val="0"/>
              <w:marBottom w:val="0"/>
              <w:divBdr>
                <w:top w:val="none" w:sz="0" w:space="0" w:color="auto"/>
                <w:left w:val="none" w:sz="0" w:space="0" w:color="auto"/>
                <w:bottom w:val="none" w:sz="0" w:space="0" w:color="auto"/>
                <w:right w:val="none" w:sz="0" w:space="0" w:color="auto"/>
              </w:divBdr>
            </w:div>
          </w:divsChild>
        </w:div>
        <w:div w:id="224996322">
          <w:marLeft w:val="0"/>
          <w:marRight w:val="0"/>
          <w:marTop w:val="0"/>
          <w:marBottom w:val="0"/>
          <w:divBdr>
            <w:top w:val="none" w:sz="0" w:space="0" w:color="auto"/>
            <w:left w:val="none" w:sz="0" w:space="0" w:color="auto"/>
            <w:bottom w:val="none" w:sz="0" w:space="0" w:color="auto"/>
            <w:right w:val="none" w:sz="0" w:space="0" w:color="auto"/>
          </w:divBdr>
          <w:divsChild>
            <w:div w:id="348020649">
              <w:marLeft w:val="0"/>
              <w:marRight w:val="0"/>
              <w:marTop w:val="0"/>
              <w:marBottom w:val="0"/>
              <w:divBdr>
                <w:top w:val="none" w:sz="0" w:space="0" w:color="auto"/>
                <w:left w:val="none" w:sz="0" w:space="0" w:color="auto"/>
                <w:bottom w:val="none" w:sz="0" w:space="0" w:color="auto"/>
                <w:right w:val="none" w:sz="0" w:space="0" w:color="auto"/>
              </w:divBdr>
            </w:div>
          </w:divsChild>
        </w:div>
        <w:div w:id="274797006">
          <w:marLeft w:val="0"/>
          <w:marRight w:val="0"/>
          <w:marTop w:val="0"/>
          <w:marBottom w:val="0"/>
          <w:divBdr>
            <w:top w:val="none" w:sz="0" w:space="0" w:color="auto"/>
            <w:left w:val="none" w:sz="0" w:space="0" w:color="auto"/>
            <w:bottom w:val="none" w:sz="0" w:space="0" w:color="auto"/>
            <w:right w:val="none" w:sz="0" w:space="0" w:color="auto"/>
          </w:divBdr>
          <w:divsChild>
            <w:div w:id="1265335285">
              <w:marLeft w:val="0"/>
              <w:marRight w:val="0"/>
              <w:marTop w:val="0"/>
              <w:marBottom w:val="0"/>
              <w:divBdr>
                <w:top w:val="none" w:sz="0" w:space="0" w:color="auto"/>
                <w:left w:val="none" w:sz="0" w:space="0" w:color="auto"/>
                <w:bottom w:val="none" w:sz="0" w:space="0" w:color="auto"/>
                <w:right w:val="none" w:sz="0" w:space="0" w:color="auto"/>
              </w:divBdr>
            </w:div>
          </w:divsChild>
        </w:div>
        <w:div w:id="339822771">
          <w:marLeft w:val="0"/>
          <w:marRight w:val="0"/>
          <w:marTop w:val="0"/>
          <w:marBottom w:val="0"/>
          <w:divBdr>
            <w:top w:val="none" w:sz="0" w:space="0" w:color="auto"/>
            <w:left w:val="none" w:sz="0" w:space="0" w:color="auto"/>
            <w:bottom w:val="none" w:sz="0" w:space="0" w:color="auto"/>
            <w:right w:val="none" w:sz="0" w:space="0" w:color="auto"/>
          </w:divBdr>
          <w:divsChild>
            <w:div w:id="479731491">
              <w:marLeft w:val="0"/>
              <w:marRight w:val="0"/>
              <w:marTop w:val="0"/>
              <w:marBottom w:val="0"/>
              <w:divBdr>
                <w:top w:val="none" w:sz="0" w:space="0" w:color="auto"/>
                <w:left w:val="none" w:sz="0" w:space="0" w:color="auto"/>
                <w:bottom w:val="none" w:sz="0" w:space="0" w:color="auto"/>
                <w:right w:val="none" w:sz="0" w:space="0" w:color="auto"/>
              </w:divBdr>
            </w:div>
          </w:divsChild>
        </w:div>
        <w:div w:id="342056562">
          <w:marLeft w:val="0"/>
          <w:marRight w:val="0"/>
          <w:marTop w:val="0"/>
          <w:marBottom w:val="0"/>
          <w:divBdr>
            <w:top w:val="none" w:sz="0" w:space="0" w:color="auto"/>
            <w:left w:val="none" w:sz="0" w:space="0" w:color="auto"/>
            <w:bottom w:val="none" w:sz="0" w:space="0" w:color="auto"/>
            <w:right w:val="none" w:sz="0" w:space="0" w:color="auto"/>
          </w:divBdr>
          <w:divsChild>
            <w:div w:id="1771655307">
              <w:marLeft w:val="0"/>
              <w:marRight w:val="0"/>
              <w:marTop w:val="0"/>
              <w:marBottom w:val="0"/>
              <w:divBdr>
                <w:top w:val="none" w:sz="0" w:space="0" w:color="auto"/>
                <w:left w:val="none" w:sz="0" w:space="0" w:color="auto"/>
                <w:bottom w:val="none" w:sz="0" w:space="0" w:color="auto"/>
                <w:right w:val="none" w:sz="0" w:space="0" w:color="auto"/>
              </w:divBdr>
            </w:div>
          </w:divsChild>
        </w:div>
        <w:div w:id="386339420">
          <w:marLeft w:val="0"/>
          <w:marRight w:val="0"/>
          <w:marTop w:val="0"/>
          <w:marBottom w:val="0"/>
          <w:divBdr>
            <w:top w:val="none" w:sz="0" w:space="0" w:color="auto"/>
            <w:left w:val="none" w:sz="0" w:space="0" w:color="auto"/>
            <w:bottom w:val="none" w:sz="0" w:space="0" w:color="auto"/>
            <w:right w:val="none" w:sz="0" w:space="0" w:color="auto"/>
          </w:divBdr>
          <w:divsChild>
            <w:div w:id="846024593">
              <w:marLeft w:val="0"/>
              <w:marRight w:val="0"/>
              <w:marTop w:val="0"/>
              <w:marBottom w:val="0"/>
              <w:divBdr>
                <w:top w:val="none" w:sz="0" w:space="0" w:color="auto"/>
                <w:left w:val="none" w:sz="0" w:space="0" w:color="auto"/>
                <w:bottom w:val="none" w:sz="0" w:space="0" w:color="auto"/>
                <w:right w:val="none" w:sz="0" w:space="0" w:color="auto"/>
              </w:divBdr>
            </w:div>
          </w:divsChild>
        </w:div>
        <w:div w:id="519509797">
          <w:marLeft w:val="0"/>
          <w:marRight w:val="0"/>
          <w:marTop w:val="0"/>
          <w:marBottom w:val="0"/>
          <w:divBdr>
            <w:top w:val="none" w:sz="0" w:space="0" w:color="auto"/>
            <w:left w:val="none" w:sz="0" w:space="0" w:color="auto"/>
            <w:bottom w:val="none" w:sz="0" w:space="0" w:color="auto"/>
            <w:right w:val="none" w:sz="0" w:space="0" w:color="auto"/>
          </w:divBdr>
          <w:divsChild>
            <w:div w:id="2069109209">
              <w:marLeft w:val="0"/>
              <w:marRight w:val="0"/>
              <w:marTop w:val="0"/>
              <w:marBottom w:val="0"/>
              <w:divBdr>
                <w:top w:val="none" w:sz="0" w:space="0" w:color="auto"/>
                <w:left w:val="none" w:sz="0" w:space="0" w:color="auto"/>
                <w:bottom w:val="none" w:sz="0" w:space="0" w:color="auto"/>
                <w:right w:val="none" w:sz="0" w:space="0" w:color="auto"/>
              </w:divBdr>
            </w:div>
          </w:divsChild>
        </w:div>
        <w:div w:id="705447758">
          <w:marLeft w:val="0"/>
          <w:marRight w:val="0"/>
          <w:marTop w:val="0"/>
          <w:marBottom w:val="0"/>
          <w:divBdr>
            <w:top w:val="none" w:sz="0" w:space="0" w:color="auto"/>
            <w:left w:val="none" w:sz="0" w:space="0" w:color="auto"/>
            <w:bottom w:val="none" w:sz="0" w:space="0" w:color="auto"/>
            <w:right w:val="none" w:sz="0" w:space="0" w:color="auto"/>
          </w:divBdr>
          <w:divsChild>
            <w:div w:id="1740245691">
              <w:marLeft w:val="0"/>
              <w:marRight w:val="0"/>
              <w:marTop w:val="0"/>
              <w:marBottom w:val="0"/>
              <w:divBdr>
                <w:top w:val="none" w:sz="0" w:space="0" w:color="auto"/>
                <w:left w:val="none" w:sz="0" w:space="0" w:color="auto"/>
                <w:bottom w:val="none" w:sz="0" w:space="0" w:color="auto"/>
                <w:right w:val="none" w:sz="0" w:space="0" w:color="auto"/>
              </w:divBdr>
            </w:div>
          </w:divsChild>
        </w:div>
        <w:div w:id="791823090">
          <w:marLeft w:val="0"/>
          <w:marRight w:val="0"/>
          <w:marTop w:val="0"/>
          <w:marBottom w:val="0"/>
          <w:divBdr>
            <w:top w:val="none" w:sz="0" w:space="0" w:color="auto"/>
            <w:left w:val="none" w:sz="0" w:space="0" w:color="auto"/>
            <w:bottom w:val="none" w:sz="0" w:space="0" w:color="auto"/>
            <w:right w:val="none" w:sz="0" w:space="0" w:color="auto"/>
          </w:divBdr>
          <w:divsChild>
            <w:div w:id="1751852032">
              <w:marLeft w:val="0"/>
              <w:marRight w:val="0"/>
              <w:marTop w:val="0"/>
              <w:marBottom w:val="0"/>
              <w:divBdr>
                <w:top w:val="none" w:sz="0" w:space="0" w:color="auto"/>
                <w:left w:val="none" w:sz="0" w:space="0" w:color="auto"/>
                <w:bottom w:val="none" w:sz="0" w:space="0" w:color="auto"/>
                <w:right w:val="none" w:sz="0" w:space="0" w:color="auto"/>
              </w:divBdr>
            </w:div>
          </w:divsChild>
        </w:div>
        <w:div w:id="836187089">
          <w:marLeft w:val="0"/>
          <w:marRight w:val="0"/>
          <w:marTop w:val="0"/>
          <w:marBottom w:val="0"/>
          <w:divBdr>
            <w:top w:val="none" w:sz="0" w:space="0" w:color="auto"/>
            <w:left w:val="none" w:sz="0" w:space="0" w:color="auto"/>
            <w:bottom w:val="none" w:sz="0" w:space="0" w:color="auto"/>
            <w:right w:val="none" w:sz="0" w:space="0" w:color="auto"/>
          </w:divBdr>
          <w:divsChild>
            <w:div w:id="1342463521">
              <w:marLeft w:val="0"/>
              <w:marRight w:val="0"/>
              <w:marTop w:val="0"/>
              <w:marBottom w:val="0"/>
              <w:divBdr>
                <w:top w:val="none" w:sz="0" w:space="0" w:color="auto"/>
                <w:left w:val="none" w:sz="0" w:space="0" w:color="auto"/>
                <w:bottom w:val="none" w:sz="0" w:space="0" w:color="auto"/>
                <w:right w:val="none" w:sz="0" w:space="0" w:color="auto"/>
              </w:divBdr>
            </w:div>
          </w:divsChild>
        </w:div>
        <w:div w:id="874076346">
          <w:marLeft w:val="0"/>
          <w:marRight w:val="0"/>
          <w:marTop w:val="0"/>
          <w:marBottom w:val="0"/>
          <w:divBdr>
            <w:top w:val="none" w:sz="0" w:space="0" w:color="auto"/>
            <w:left w:val="none" w:sz="0" w:space="0" w:color="auto"/>
            <w:bottom w:val="none" w:sz="0" w:space="0" w:color="auto"/>
            <w:right w:val="none" w:sz="0" w:space="0" w:color="auto"/>
          </w:divBdr>
          <w:divsChild>
            <w:div w:id="1639526161">
              <w:marLeft w:val="0"/>
              <w:marRight w:val="0"/>
              <w:marTop w:val="0"/>
              <w:marBottom w:val="0"/>
              <w:divBdr>
                <w:top w:val="none" w:sz="0" w:space="0" w:color="auto"/>
                <w:left w:val="none" w:sz="0" w:space="0" w:color="auto"/>
                <w:bottom w:val="none" w:sz="0" w:space="0" w:color="auto"/>
                <w:right w:val="none" w:sz="0" w:space="0" w:color="auto"/>
              </w:divBdr>
            </w:div>
          </w:divsChild>
        </w:div>
        <w:div w:id="913273059">
          <w:marLeft w:val="0"/>
          <w:marRight w:val="0"/>
          <w:marTop w:val="0"/>
          <w:marBottom w:val="0"/>
          <w:divBdr>
            <w:top w:val="none" w:sz="0" w:space="0" w:color="auto"/>
            <w:left w:val="none" w:sz="0" w:space="0" w:color="auto"/>
            <w:bottom w:val="none" w:sz="0" w:space="0" w:color="auto"/>
            <w:right w:val="none" w:sz="0" w:space="0" w:color="auto"/>
          </w:divBdr>
          <w:divsChild>
            <w:div w:id="1481849011">
              <w:marLeft w:val="0"/>
              <w:marRight w:val="0"/>
              <w:marTop w:val="0"/>
              <w:marBottom w:val="0"/>
              <w:divBdr>
                <w:top w:val="none" w:sz="0" w:space="0" w:color="auto"/>
                <w:left w:val="none" w:sz="0" w:space="0" w:color="auto"/>
                <w:bottom w:val="none" w:sz="0" w:space="0" w:color="auto"/>
                <w:right w:val="none" w:sz="0" w:space="0" w:color="auto"/>
              </w:divBdr>
            </w:div>
          </w:divsChild>
        </w:div>
        <w:div w:id="913779855">
          <w:marLeft w:val="0"/>
          <w:marRight w:val="0"/>
          <w:marTop w:val="0"/>
          <w:marBottom w:val="0"/>
          <w:divBdr>
            <w:top w:val="none" w:sz="0" w:space="0" w:color="auto"/>
            <w:left w:val="none" w:sz="0" w:space="0" w:color="auto"/>
            <w:bottom w:val="none" w:sz="0" w:space="0" w:color="auto"/>
            <w:right w:val="none" w:sz="0" w:space="0" w:color="auto"/>
          </w:divBdr>
          <w:divsChild>
            <w:div w:id="286594855">
              <w:marLeft w:val="0"/>
              <w:marRight w:val="0"/>
              <w:marTop w:val="0"/>
              <w:marBottom w:val="0"/>
              <w:divBdr>
                <w:top w:val="none" w:sz="0" w:space="0" w:color="auto"/>
                <w:left w:val="none" w:sz="0" w:space="0" w:color="auto"/>
                <w:bottom w:val="none" w:sz="0" w:space="0" w:color="auto"/>
                <w:right w:val="none" w:sz="0" w:space="0" w:color="auto"/>
              </w:divBdr>
            </w:div>
          </w:divsChild>
        </w:div>
        <w:div w:id="922252802">
          <w:marLeft w:val="0"/>
          <w:marRight w:val="0"/>
          <w:marTop w:val="0"/>
          <w:marBottom w:val="0"/>
          <w:divBdr>
            <w:top w:val="none" w:sz="0" w:space="0" w:color="auto"/>
            <w:left w:val="none" w:sz="0" w:space="0" w:color="auto"/>
            <w:bottom w:val="none" w:sz="0" w:space="0" w:color="auto"/>
            <w:right w:val="none" w:sz="0" w:space="0" w:color="auto"/>
          </w:divBdr>
          <w:divsChild>
            <w:div w:id="1495532539">
              <w:marLeft w:val="0"/>
              <w:marRight w:val="0"/>
              <w:marTop w:val="0"/>
              <w:marBottom w:val="0"/>
              <w:divBdr>
                <w:top w:val="none" w:sz="0" w:space="0" w:color="auto"/>
                <w:left w:val="none" w:sz="0" w:space="0" w:color="auto"/>
                <w:bottom w:val="none" w:sz="0" w:space="0" w:color="auto"/>
                <w:right w:val="none" w:sz="0" w:space="0" w:color="auto"/>
              </w:divBdr>
            </w:div>
          </w:divsChild>
        </w:div>
        <w:div w:id="965349918">
          <w:marLeft w:val="0"/>
          <w:marRight w:val="0"/>
          <w:marTop w:val="0"/>
          <w:marBottom w:val="0"/>
          <w:divBdr>
            <w:top w:val="none" w:sz="0" w:space="0" w:color="auto"/>
            <w:left w:val="none" w:sz="0" w:space="0" w:color="auto"/>
            <w:bottom w:val="none" w:sz="0" w:space="0" w:color="auto"/>
            <w:right w:val="none" w:sz="0" w:space="0" w:color="auto"/>
          </w:divBdr>
          <w:divsChild>
            <w:div w:id="1558785719">
              <w:marLeft w:val="0"/>
              <w:marRight w:val="0"/>
              <w:marTop w:val="0"/>
              <w:marBottom w:val="0"/>
              <w:divBdr>
                <w:top w:val="none" w:sz="0" w:space="0" w:color="auto"/>
                <w:left w:val="none" w:sz="0" w:space="0" w:color="auto"/>
                <w:bottom w:val="none" w:sz="0" w:space="0" w:color="auto"/>
                <w:right w:val="none" w:sz="0" w:space="0" w:color="auto"/>
              </w:divBdr>
            </w:div>
          </w:divsChild>
        </w:div>
        <w:div w:id="1048409094">
          <w:marLeft w:val="0"/>
          <w:marRight w:val="0"/>
          <w:marTop w:val="0"/>
          <w:marBottom w:val="0"/>
          <w:divBdr>
            <w:top w:val="none" w:sz="0" w:space="0" w:color="auto"/>
            <w:left w:val="none" w:sz="0" w:space="0" w:color="auto"/>
            <w:bottom w:val="none" w:sz="0" w:space="0" w:color="auto"/>
            <w:right w:val="none" w:sz="0" w:space="0" w:color="auto"/>
          </w:divBdr>
          <w:divsChild>
            <w:div w:id="802816826">
              <w:marLeft w:val="0"/>
              <w:marRight w:val="0"/>
              <w:marTop w:val="0"/>
              <w:marBottom w:val="0"/>
              <w:divBdr>
                <w:top w:val="none" w:sz="0" w:space="0" w:color="auto"/>
                <w:left w:val="none" w:sz="0" w:space="0" w:color="auto"/>
                <w:bottom w:val="none" w:sz="0" w:space="0" w:color="auto"/>
                <w:right w:val="none" w:sz="0" w:space="0" w:color="auto"/>
              </w:divBdr>
            </w:div>
          </w:divsChild>
        </w:div>
        <w:div w:id="1136801491">
          <w:marLeft w:val="0"/>
          <w:marRight w:val="0"/>
          <w:marTop w:val="0"/>
          <w:marBottom w:val="0"/>
          <w:divBdr>
            <w:top w:val="none" w:sz="0" w:space="0" w:color="auto"/>
            <w:left w:val="none" w:sz="0" w:space="0" w:color="auto"/>
            <w:bottom w:val="none" w:sz="0" w:space="0" w:color="auto"/>
            <w:right w:val="none" w:sz="0" w:space="0" w:color="auto"/>
          </w:divBdr>
          <w:divsChild>
            <w:div w:id="255133017">
              <w:marLeft w:val="0"/>
              <w:marRight w:val="0"/>
              <w:marTop w:val="0"/>
              <w:marBottom w:val="0"/>
              <w:divBdr>
                <w:top w:val="none" w:sz="0" w:space="0" w:color="auto"/>
                <w:left w:val="none" w:sz="0" w:space="0" w:color="auto"/>
                <w:bottom w:val="none" w:sz="0" w:space="0" w:color="auto"/>
                <w:right w:val="none" w:sz="0" w:space="0" w:color="auto"/>
              </w:divBdr>
            </w:div>
          </w:divsChild>
        </w:div>
        <w:div w:id="1171290178">
          <w:marLeft w:val="0"/>
          <w:marRight w:val="0"/>
          <w:marTop w:val="0"/>
          <w:marBottom w:val="0"/>
          <w:divBdr>
            <w:top w:val="none" w:sz="0" w:space="0" w:color="auto"/>
            <w:left w:val="none" w:sz="0" w:space="0" w:color="auto"/>
            <w:bottom w:val="none" w:sz="0" w:space="0" w:color="auto"/>
            <w:right w:val="none" w:sz="0" w:space="0" w:color="auto"/>
          </w:divBdr>
          <w:divsChild>
            <w:div w:id="1935087846">
              <w:marLeft w:val="0"/>
              <w:marRight w:val="0"/>
              <w:marTop w:val="0"/>
              <w:marBottom w:val="0"/>
              <w:divBdr>
                <w:top w:val="none" w:sz="0" w:space="0" w:color="auto"/>
                <w:left w:val="none" w:sz="0" w:space="0" w:color="auto"/>
                <w:bottom w:val="none" w:sz="0" w:space="0" w:color="auto"/>
                <w:right w:val="none" w:sz="0" w:space="0" w:color="auto"/>
              </w:divBdr>
            </w:div>
          </w:divsChild>
        </w:div>
        <w:div w:id="1249999496">
          <w:marLeft w:val="0"/>
          <w:marRight w:val="0"/>
          <w:marTop w:val="0"/>
          <w:marBottom w:val="0"/>
          <w:divBdr>
            <w:top w:val="none" w:sz="0" w:space="0" w:color="auto"/>
            <w:left w:val="none" w:sz="0" w:space="0" w:color="auto"/>
            <w:bottom w:val="none" w:sz="0" w:space="0" w:color="auto"/>
            <w:right w:val="none" w:sz="0" w:space="0" w:color="auto"/>
          </w:divBdr>
          <w:divsChild>
            <w:div w:id="99228546">
              <w:marLeft w:val="0"/>
              <w:marRight w:val="0"/>
              <w:marTop w:val="0"/>
              <w:marBottom w:val="0"/>
              <w:divBdr>
                <w:top w:val="none" w:sz="0" w:space="0" w:color="auto"/>
                <w:left w:val="none" w:sz="0" w:space="0" w:color="auto"/>
                <w:bottom w:val="none" w:sz="0" w:space="0" w:color="auto"/>
                <w:right w:val="none" w:sz="0" w:space="0" w:color="auto"/>
              </w:divBdr>
            </w:div>
          </w:divsChild>
        </w:div>
        <w:div w:id="1257904129">
          <w:marLeft w:val="0"/>
          <w:marRight w:val="0"/>
          <w:marTop w:val="0"/>
          <w:marBottom w:val="0"/>
          <w:divBdr>
            <w:top w:val="none" w:sz="0" w:space="0" w:color="auto"/>
            <w:left w:val="none" w:sz="0" w:space="0" w:color="auto"/>
            <w:bottom w:val="none" w:sz="0" w:space="0" w:color="auto"/>
            <w:right w:val="none" w:sz="0" w:space="0" w:color="auto"/>
          </w:divBdr>
          <w:divsChild>
            <w:div w:id="1312637718">
              <w:marLeft w:val="0"/>
              <w:marRight w:val="0"/>
              <w:marTop w:val="0"/>
              <w:marBottom w:val="0"/>
              <w:divBdr>
                <w:top w:val="none" w:sz="0" w:space="0" w:color="auto"/>
                <w:left w:val="none" w:sz="0" w:space="0" w:color="auto"/>
                <w:bottom w:val="none" w:sz="0" w:space="0" w:color="auto"/>
                <w:right w:val="none" w:sz="0" w:space="0" w:color="auto"/>
              </w:divBdr>
            </w:div>
          </w:divsChild>
        </w:div>
        <w:div w:id="1293974532">
          <w:marLeft w:val="0"/>
          <w:marRight w:val="0"/>
          <w:marTop w:val="0"/>
          <w:marBottom w:val="0"/>
          <w:divBdr>
            <w:top w:val="none" w:sz="0" w:space="0" w:color="auto"/>
            <w:left w:val="none" w:sz="0" w:space="0" w:color="auto"/>
            <w:bottom w:val="none" w:sz="0" w:space="0" w:color="auto"/>
            <w:right w:val="none" w:sz="0" w:space="0" w:color="auto"/>
          </w:divBdr>
          <w:divsChild>
            <w:div w:id="570235050">
              <w:marLeft w:val="0"/>
              <w:marRight w:val="0"/>
              <w:marTop w:val="0"/>
              <w:marBottom w:val="0"/>
              <w:divBdr>
                <w:top w:val="none" w:sz="0" w:space="0" w:color="auto"/>
                <w:left w:val="none" w:sz="0" w:space="0" w:color="auto"/>
                <w:bottom w:val="none" w:sz="0" w:space="0" w:color="auto"/>
                <w:right w:val="none" w:sz="0" w:space="0" w:color="auto"/>
              </w:divBdr>
            </w:div>
          </w:divsChild>
        </w:div>
        <w:div w:id="1307055595">
          <w:marLeft w:val="0"/>
          <w:marRight w:val="0"/>
          <w:marTop w:val="0"/>
          <w:marBottom w:val="0"/>
          <w:divBdr>
            <w:top w:val="none" w:sz="0" w:space="0" w:color="auto"/>
            <w:left w:val="none" w:sz="0" w:space="0" w:color="auto"/>
            <w:bottom w:val="none" w:sz="0" w:space="0" w:color="auto"/>
            <w:right w:val="none" w:sz="0" w:space="0" w:color="auto"/>
          </w:divBdr>
          <w:divsChild>
            <w:div w:id="1263730713">
              <w:marLeft w:val="0"/>
              <w:marRight w:val="0"/>
              <w:marTop w:val="0"/>
              <w:marBottom w:val="0"/>
              <w:divBdr>
                <w:top w:val="none" w:sz="0" w:space="0" w:color="auto"/>
                <w:left w:val="none" w:sz="0" w:space="0" w:color="auto"/>
                <w:bottom w:val="none" w:sz="0" w:space="0" w:color="auto"/>
                <w:right w:val="none" w:sz="0" w:space="0" w:color="auto"/>
              </w:divBdr>
            </w:div>
          </w:divsChild>
        </w:div>
        <w:div w:id="1361397501">
          <w:marLeft w:val="0"/>
          <w:marRight w:val="0"/>
          <w:marTop w:val="0"/>
          <w:marBottom w:val="0"/>
          <w:divBdr>
            <w:top w:val="none" w:sz="0" w:space="0" w:color="auto"/>
            <w:left w:val="none" w:sz="0" w:space="0" w:color="auto"/>
            <w:bottom w:val="none" w:sz="0" w:space="0" w:color="auto"/>
            <w:right w:val="none" w:sz="0" w:space="0" w:color="auto"/>
          </w:divBdr>
          <w:divsChild>
            <w:div w:id="499393714">
              <w:marLeft w:val="0"/>
              <w:marRight w:val="0"/>
              <w:marTop w:val="0"/>
              <w:marBottom w:val="0"/>
              <w:divBdr>
                <w:top w:val="none" w:sz="0" w:space="0" w:color="auto"/>
                <w:left w:val="none" w:sz="0" w:space="0" w:color="auto"/>
                <w:bottom w:val="none" w:sz="0" w:space="0" w:color="auto"/>
                <w:right w:val="none" w:sz="0" w:space="0" w:color="auto"/>
              </w:divBdr>
            </w:div>
          </w:divsChild>
        </w:div>
        <w:div w:id="1369720245">
          <w:marLeft w:val="0"/>
          <w:marRight w:val="0"/>
          <w:marTop w:val="0"/>
          <w:marBottom w:val="0"/>
          <w:divBdr>
            <w:top w:val="none" w:sz="0" w:space="0" w:color="auto"/>
            <w:left w:val="none" w:sz="0" w:space="0" w:color="auto"/>
            <w:bottom w:val="none" w:sz="0" w:space="0" w:color="auto"/>
            <w:right w:val="none" w:sz="0" w:space="0" w:color="auto"/>
          </w:divBdr>
          <w:divsChild>
            <w:div w:id="339964031">
              <w:marLeft w:val="0"/>
              <w:marRight w:val="0"/>
              <w:marTop w:val="0"/>
              <w:marBottom w:val="0"/>
              <w:divBdr>
                <w:top w:val="none" w:sz="0" w:space="0" w:color="auto"/>
                <w:left w:val="none" w:sz="0" w:space="0" w:color="auto"/>
                <w:bottom w:val="none" w:sz="0" w:space="0" w:color="auto"/>
                <w:right w:val="none" w:sz="0" w:space="0" w:color="auto"/>
              </w:divBdr>
            </w:div>
          </w:divsChild>
        </w:div>
        <w:div w:id="1401296081">
          <w:marLeft w:val="0"/>
          <w:marRight w:val="0"/>
          <w:marTop w:val="0"/>
          <w:marBottom w:val="0"/>
          <w:divBdr>
            <w:top w:val="none" w:sz="0" w:space="0" w:color="auto"/>
            <w:left w:val="none" w:sz="0" w:space="0" w:color="auto"/>
            <w:bottom w:val="none" w:sz="0" w:space="0" w:color="auto"/>
            <w:right w:val="none" w:sz="0" w:space="0" w:color="auto"/>
          </w:divBdr>
          <w:divsChild>
            <w:div w:id="148374834">
              <w:marLeft w:val="0"/>
              <w:marRight w:val="0"/>
              <w:marTop w:val="0"/>
              <w:marBottom w:val="0"/>
              <w:divBdr>
                <w:top w:val="none" w:sz="0" w:space="0" w:color="auto"/>
                <w:left w:val="none" w:sz="0" w:space="0" w:color="auto"/>
                <w:bottom w:val="none" w:sz="0" w:space="0" w:color="auto"/>
                <w:right w:val="none" w:sz="0" w:space="0" w:color="auto"/>
              </w:divBdr>
            </w:div>
          </w:divsChild>
        </w:div>
        <w:div w:id="1432123656">
          <w:marLeft w:val="0"/>
          <w:marRight w:val="0"/>
          <w:marTop w:val="0"/>
          <w:marBottom w:val="0"/>
          <w:divBdr>
            <w:top w:val="none" w:sz="0" w:space="0" w:color="auto"/>
            <w:left w:val="none" w:sz="0" w:space="0" w:color="auto"/>
            <w:bottom w:val="none" w:sz="0" w:space="0" w:color="auto"/>
            <w:right w:val="none" w:sz="0" w:space="0" w:color="auto"/>
          </w:divBdr>
          <w:divsChild>
            <w:div w:id="2015765205">
              <w:marLeft w:val="0"/>
              <w:marRight w:val="0"/>
              <w:marTop w:val="0"/>
              <w:marBottom w:val="0"/>
              <w:divBdr>
                <w:top w:val="none" w:sz="0" w:space="0" w:color="auto"/>
                <w:left w:val="none" w:sz="0" w:space="0" w:color="auto"/>
                <w:bottom w:val="none" w:sz="0" w:space="0" w:color="auto"/>
                <w:right w:val="none" w:sz="0" w:space="0" w:color="auto"/>
              </w:divBdr>
            </w:div>
          </w:divsChild>
        </w:div>
        <w:div w:id="1468357098">
          <w:marLeft w:val="0"/>
          <w:marRight w:val="0"/>
          <w:marTop w:val="0"/>
          <w:marBottom w:val="0"/>
          <w:divBdr>
            <w:top w:val="none" w:sz="0" w:space="0" w:color="auto"/>
            <w:left w:val="none" w:sz="0" w:space="0" w:color="auto"/>
            <w:bottom w:val="none" w:sz="0" w:space="0" w:color="auto"/>
            <w:right w:val="none" w:sz="0" w:space="0" w:color="auto"/>
          </w:divBdr>
          <w:divsChild>
            <w:div w:id="1368873212">
              <w:marLeft w:val="0"/>
              <w:marRight w:val="0"/>
              <w:marTop w:val="0"/>
              <w:marBottom w:val="0"/>
              <w:divBdr>
                <w:top w:val="none" w:sz="0" w:space="0" w:color="auto"/>
                <w:left w:val="none" w:sz="0" w:space="0" w:color="auto"/>
                <w:bottom w:val="none" w:sz="0" w:space="0" w:color="auto"/>
                <w:right w:val="none" w:sz="0" w:space="0" w:color="auto"/>
              </w:divBdr>
            </w:div>
          </w:divsChild>
        </w:div>
        <w:div w:id="1478500138">
          <w:marLeft w:val="0"/>
          <w:marRight w:val="0"/>
          <w:marTop w:val="0"/>
          <w:marBottom w:val="0"/>
          <w:divBdr>
            <w:top w:val="none" w:sz="0" w:space="0" w:color="auto"/>
            <w:left w:val="none" w:sz="0" w:space="0" w:color="auto"/>
            <w:bottom w:val="none" w:sz="0" w:space="0" w:color="auto"/>
            <w:right w:val="none" w:sz="0" w:space="0" w:color="auto"/>
          </w:divBdr>
          <w:divsChild>
            <w:div w:id="1905751087">
              <w:marLeft w:val="0"/>
              <w:marRight w:val="0"/>
              <w:marTop w:val="0"/>
              <w:marBottom w:val="0"/>
              <w:divBdr>
                <w:top w:val="none" w:sz="0" w:space="0" w:color="auto"/>
                <w:left w:val="none" w:sz="0" w:space="0" w:color="auto"/>
                <w:bottom w:val="none" w:sz="0" w:space="0" w:color="auto"/>
                <w:right w:val="none" w:sz="0" w:space="0" w:color="auto"/>
              </w:divBdr>
            </w:div>
          </w:divsChild>
        </w:div>
        <w:div w:id="1507282089">
          <w:marLeft w:val="0"/>
          <w:marRight w:val="0"/>
          <w:marTop w:val="0"/>
          <w:marBottom w:val="0"/>
          <w:divBdr>
            <w:top w:val="none" w:sz="0" w:space="0" w:color="auto"/>
            <w:left w:val="none" w:sz="0" w:space="0" w:color="auto"/>
            <w:bottom w:val="none" w:sz="0" w:space="0" w:color="auto"/>
            <w:right w:val="none" w:sz="0" w:space="0" w:color="auto"/>
          </w:divBdr>
          <w:divsChild>
            <w:div w:id="1066606560">
              <w:marLeft w:val="0"/>
              <w:marRight w:val="0"/>
              <w:marTop w:val="0"/>
              <w:marBottom w:val="0"/>
              <w:divBdr>
                <w:top w:val="none" w:sz="0" w:space="0" w:color="auto"/>
                <w:left w:val="none" w:sz="0" w:space="0" w:color="auto"/>
                <w:bottom w:val="none" w:sz="0" w:space="0" w:color="auto"/>
                <w:right w:val="none" w:sz="0" w:space="0" w:color="auto"/>
              </w:divBdr>
            </w:div>
          </w:divsChild>
        </w:div>
        <w:div w:id="1539657431">
          <w:marLeft w:val="0"/>
          <w:marRight w:val="0"/>
          <w:marTop w:val="0"/>
          <w:marBottom w:val="0"/>
          <w:divBdr>
            <w:top w:val="none" w:sz="0" w:space="0" w:color="auto"/>
            <w:left w:val="none" w:sz="0" w:space="0" w:color="auto"/>
            <w:bottom w:val="none" w:sz="0" w:space="0" w:color="auto"/>
            <w:right w:val="none" w:sz="0" w:space="0" w:color="auto"/>
          </w:divBdr>
          <w:divsChild>
            <w:div w:id="394474225">
              <w:marLeft w:val="0"/>
              <w:marRight w:val="0"/>
              <w:marTop w:val="0"/>
              <w:marBottom w:val="0"/>
              <w:divBdr>
                <w:top w:val="none" w:sz="0" w:space="0" w:color="auto"/>
                <w:left w:val="none" w:sz="0" w:space="0" w:color="auto"/>
                <w:bottom w:val="none" w:sz="0" w:space="0" w:color="auto"/>
                <w:right w:val="none" w:sz="0" w:space="0" w:color="auto"/>
              </w:divBdr>
            </w:div>
          </w:divsChild>
        </w:div>
        <w:div w:id="1594127383">
          <w:marLeft w:val="0"/>
          <w:marRight w:val="0"/>
          <w:marTop w:val="0"/>
          <w:marBottom w:val="0"/>
          <w:divBdr>
            <w:top w:val="none" w:sz="0" w:space="0" w:color="auto"/>
            <w:left w:val="none" w:sz="0" w:space="0" w:color="auto"/>
            <w:bottom w:val="none" w:sz="0" w:space="0" w:color="auto"/>
            <w:right w:val="none" w:sz="0" w:space="0" w:color="auto"/>
          </w:divBdr>
          <w:divsChild>
            <w:div w:id="1614901885">
              <w:marLeft w:val="0"/>
              <w:marRight w:val="0"/>
              <w:marTop w:val="0"/>
              <w:marBottom w:val="0"/>
              <w:divBdr>
                <w:top w:val="none" w:sz="0" w:space="0" w:color="auto"/>
                <w:left w:val="none" w:sz="0" w:space="0" w:color="auto"/>
                <w:bottom w:val="none" w:sz="0" w:space="0" w:color="auto"/>
                <w:right w:val="none" w:sz="0" w:space="0" w:color="auto"/>
              </w:divBdr>
            </w:div>
          </w:divsChild>
        </w:div>
        <w:div w:id="1605842440">
          <w:marLeft w:val="0"/>
          <w:marRight w:val="0"/>
          <w:marTop w:val="0"/>
          <w:marBottom w:val="0"/>
          <w:divBdr>
            <w:top w:val="none" w:sz="0" w:space="0" w:color="auto"/>
            <w:left w:val="none" w:sz="0" w:space="0" w:color="auto"/>
            <w:bottom w:val="none" w:sz="0" w:space="0" w:color="auto"/>
            <w:right w:val="none" w:sz="0" w:space="0" w:color="auto"/>
          </w:divBdr>
          <w:divsChild>
            <w:div w:id="1408842151">
              <w:marLeft w:val="0"/>
              <w:marRight w:val="0"/>
              <w:marTop w:val="0"/>
              <w:marBottom w:val="0"/>
              <w:divBdr>
                <w:top w:val="none" w:sz="0" w:space="0" w:color="auto"/>
                <w:left w:val="none" w:sz="0" w:space="0" w:color="auto"/>
                <w:bottom w:val="none" w:sz="0" w:space="0" w:color="auto"/>
                <w:right w:val="none" w:sz="0" w:space="0" w:color="auto"/>
              </w:divBdr>
            </w:div>
          </w:divsChild>
        </w:div>
        <w:div w:id="1839887432">
          <w:marLeft w:val="0"/>
          <w:marRight w:val="0"/>
          <w:marTop w:val="0"/>
          <w:marBottom w:val="0"/>
          <w:divBdr>
            <w:top w:val="none" w:sz="0" w:space="0" w:color="auto"/>
            <w:left w:val="none" w:sz="0" w:space="0" w:color="auto"/>
            <w:bottom w:val="none" w:sz="0" w:space="0" w:color="auto"/>
            <w:right w:val="none" w:sz="0" w:space="0" w:color="auto"/>
          </w:divBdr>
          <w:divsChild>
            <w:div w:id="2008096850">
              <w:marLeft w:val="0"/>
              <w:marRight w:val="0"/>
              <w:marTop w:val="0"/>
              <w:marBottom w:val="0"/>
              <w:divBdr>
                <w:top w:val="none" w:sz="0" w:space="0" w:color="auto"/>
                <w:left w:val="none" w:sz="0" w:space="0" w:color="auto"/>
                <w:bottom w:val="none" w:sz="0" w:space="0" w:color="auto"/>
                <w:right w:val="none" w:sz="0" w:space="0" w:color="auto"/>
              </w:divBdr>
            </w:div>
          </w:divsChild>
        </w:div>
        <w:div w:id="1849977759">
          <w:marLeft w:val="0"/>
          <w:marRight w:val="0"/>
          <w:marTop w:val="0"/>
          <w:marBottom w:val="0"/>
          <w:divBdr>
            <w:top w:val="none" w:sz="0" w:space="0" w:color="auto"/>
            <w:left w:val="none" w:sz="0" w:space="0" w:color="auto"/>
            <w:bottom w:val="none" w:sz="0" w:space="0" w:color="auto"/>
            <w:right w:val="none" w:sz="0" w:space="0" w:color="auto"/>
          </w:divBdr>
          <w:divsChild>
            <w:div w:id="1652563616">
              <w:marLeft w:val="0"/>
              <w:marRight w:val="0"/>
              <w:marTop w:val="0"/>
              <w:marBottom w:val="0"/>
              <w:divBdr>
                <w:top w:val="none" w:sz="0" w:space="0" w:color="auto"/>
                <w:left w:val="none" w:sz="0" w:space="0" w:color="auto"/>
                <w:bottom w:val="none" w:sz="0" w:space="0" w:color="auto"/>
                <w:right w:val="none" w:sz="0" w:space="0" w:color="auto"/>
              </w:divBdr>
            </w:div>
          </w:divsChild>
        </w:div>
        <w:div w:id="1865900507">
          <w:marLeft w:val="0"/>
          <w:marRight w:val="0"/>
          <w:marTop w:val="0"/>
          <w:marBottom w:val="0"/>
          <w:divBdr>
            <w:top w:val="none" w:sz="0" w:space="0" w:color="auto"/>
            <w:left w:val="none" w:sz="0" w:space="0" w:color="auto"/>
            <w:bottom w:val="none" w:sz="0" w:space="0" w:color="auto"/>
            <w:right w:val="none" w:sz="0" w:space="0" w:color="auto"/>
          </w:divBdr>
          <w:divsChild>
            <w:div w:id="673722628">
              <w:marLeft w:val="0"/>
              <w:marRight w:val="0"/>
              <w:marTop w:val="0"/>
              <w:marBottom w:val="0"/>
              <w:divBdr>
                <w:top w:val="none" w:sz="0" w:space="0" w:color="auto"/>
                <w:left w:val="none" w:sz="0" w:space="0" w:color="auto"/>
                <w:bottom w:val="none" w:sz="0" w:space="0" w:color="auto"/>
                <w:right w:val="none" w:sz="0" w:space="0" w:color="auto"/>
              </w:divBdr>
            </w:div>
          </w:divsChild>
        </w:div>
        <w:div w:id="2047292698">
          <w:marLeft w:val="0"/>
          <w:marRight w:val="0"/>
          <w:marTop w:val="0"/>
          <w:marBottom w:val="0"/>
          <w:divBdr>
            <w:top w:val="none" w:sz="0" w:space="0" w:color="auto"/>
            <w:left w:val="none" w:sz="0" w:space="0" w:color="auto"/>
            <w:bottom w:val="none" w:sz="0" w:space="0" w:color="auto"/>
            <w:right w:val="none" w:sz="0" w:space="0" w:color="auto"/>
          </w:divBdr>
          <w:divsChild>
            <w:div w:id="303320032">
              <w:marLeft w:val="0"/>
              <w:marRight w:val="0"/>
              <w:marTop w:val="0"/>
              <w:marBottom w:val="0"/>
              <w:divBdr>
                <w:top w:val="none" w:sz="0" w:space="0" w:color="auto"/>
                <w:left w:val="none" w:sz="0" w:space="0" w:color="auto"/>
                <w:bottom w:val="none" w:sz="0" w:space="0" w:color="auto"/>
                <w:right w:val="none" w:sz="0" w:space="0" w:color="auto"/>
              </w:divBdr>
            </w:div>
          </w:divsChild>
        </w:div>
        <w:div w:id="2103454862">
          <w:marLeft w:val="0"/>
          <w:marRight w:val="0"/>
          <w:marTop w:val="0"/>
          <w:marBottom w:val="0"/>
          <w:divBdr>
            <w:top w:val="none" w:sz="0" w:space="0" w:color="auto"/>
            <w:left w:val="none" w:sz="0" w:space="0" w:color="auto"/>
            <w:bottom w:val="none" w:sz="0" w:space="0" w:color="auto"/>
            <w:right w:val="none" w:sz="0" w:space="0" w:color="auto"/>
          </w:divBdr>
          <w:divsChild>
            <w:div w:id="1828520133">
              <w:marLeft w:val="0"/>
              <w:marRight w:val="0"/>
              <w:marTop w:val="0"/>
              <w:marBottom w:val="0"/>
              <w:divBdr>
                <w:top w:val="none" w:sz="0" w:space="0" w:color="auto"/>
                <w:left w:val="none" w:sz="0" w:space="0" w:color="auto"/>
                <w:bottom w:val="none" w:sz="0" w:space="0" w:color="auto"/>
                <w:right w:val="none" w:sz="0" w:space="0" w:color="auto"/>
              </w:divBdr>
            </w:div>
          </w:divsChild>
        </w:div>
        <w:div w:id="2107772077">
          <w:marLeft w:val="0"/>
          <w:marRight w:val="0"/>
          <w:marTop w:val="0"/>
          <w:marBottom w:val="0"/>
          <w:divBdr>
            <w:top w:val="none" w:sz="0" w:space="0" w:color="auto"/>
            <w:left w:val="none" w:sz="0" w:space="0" w:color="auto"/>
            <w:bottom w:val="none" w:sz="0" w:space="0" w:color="auto"/>
            <w:right w:val="none" w:sz="0" w:space="0" w:color="auto"/>
          </w:divBdr>
          <w:divsChild>
            <w:div w:id="1168444196">
              <w:marLeft w:val="0"/>
              <w:marRight w:val="0"/>
              <w:marTop w:val="0"/>
              <w:marBottom w:val="0"/>
              <w:divBdr>
                <w:top w:val="none" w:sz="0" w:space="0" w:color="auto"/>
                <w:left w:val="none" w:sz="0" w:space="0" w:color="auto"/>
                <w:bottom w:val="none" w:sz="0" w:space="0" w:color="auto"/>
                <w:right w:val="none" w:sz="0" w:space="0" w:color="auto"/>
              </w:divBdr>
            </w:div>
          </w:divsChild>
        </w:div>
        <w:div w:id="2117750341">
          <w:marLeft w:val="0"/>
          <w:marRight w:val="0"/>
          <w:marTop w:val="0"/>
          <w:marBottom w:val="0"/>
          <w:divBdr>
            <w:top w:val="none" w:sz="0" w:space="0" w:color="auto"/>
            <w:left w:val="none" w:sz="0" w:space="0" w:color="auto"/>
            <w:bottom w:val="none" w:sz="0" w:space="0" w:color="auto"/>
            <w:right w:val="none" w:sz="0" w:space="0" w:color="auto"/>
          </w:divBdr>
          <w:divsChild>
            <w:div w:id="46197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952406">
      <w:bodyDiv w:val="1"/>
      <w:marLeft w:val="0"/>
      <w:marRight w:val="0"/>
      <w:marTop w:val="0"/>
      <w:marBottom w:val="0"/>
      <w:divBdr>
        <w:top w:val="none" w:sz="0" w:space="0" w:color="auto"/>
        <w:left w:val="none" w:sz="0" w:space="0" w:color="auto"/>
        <w:bottom w:val="none" w:sz="0" w:space="0" w:color="auto"/>
        <w:right w:val="none" w:sz="0" w:space="0" w:color="auto"/>
      </w:divBdr>
      <w:divsChild>
        <w:div w:id="15080912">
          <w:marLeft w:val="0"/>
          <w:marRight w:val="0"/>
          <w:marTop w:val="0"/>
          <w:marBottom w:val="0"/>
          <w:divBdr>
            <w:top w:val="none" w:sz="0" w:space="0" w:color="auto"/>
            <w:left w:val="none" w:sz="0" w:space="0" w:color="auto"/>
            <w:bottom w:val="none" w:sz="0" w:space="0" w:color="auto"/>
            <w:right w:val="none" w:sz="0" w:space="0" w:color="auto"/>
          </w:divBdr>
          <w:divsChild>
            <w:div w:id="1598832247">
              <w:marLeft w:val="0"/>
              <w:marRight w:val="0"/>
              <w:marTop w:val="0"/>
              <w:marBottom w:val="0"/>
              <w:divBdr>
                <w:top w:val="none" w:sz="0" w:space="0" w:color="auto"/>
                <w:left w:val="none" w:sz="0" w:space="0" w:color="auto"/>
                <w:bottom w:val="none" w:sz="0" w:space="0" w:color="auto"/>
                <w:right w:val="none" w:sz="0" w:space="0" w:color="auto"/>
              </w:divBdr>
            </w:div>
          </w:divsChild>
        </w:div>
        <w:div w:id="71388943">
          <w:marLeft w:val="0"/>
          <w:marRight w:val="0"/>
          <w:marTop w:val="0"/>
          <w:marBottom w:val="0"/>
          <w:divBdr>
            <w:top w:val="none" w:sz="0" w:space="0" w:color="auto"/>
            <w:left w:val="none" w:sz="0" w:space="0" w:color="auto"/>
            <w:bottom w:val="none" w:sz="0" w:space="0" w:color="auto"/>
            <w:right w:val="none" w:sz="0" w:space="0" w:color="auto"/>
          </w:divBdr>
          <w:divsChild>
            <w:div w:id="195317338">
              <w:marLeft w:val="0"/>
              <w:marRight w:val="0"/>
              <w:marTop w:val="0"/>
              <w:marBottom w:val="0"/>
              <w:divBdr>
                <w:top w:val="none" w:sz="0" w:space="0" w:color="auto"/>
                <w:left w:val="none" w:sz="0" w:space="0" w:color="auto"/>
                <w:bottom w:val="none" w:sz="0" w:space="0" w:color="auto"/>
                <w:right w:val="none" w:sz="0" w:space="0" w:color="auto"/>
              </w:divBdr>
            </w:div>
          </w:divsChild>
        </w:div>
        <w:div w:id="306709864">
          <w:marLeft w:val="0"/>
          <w:marRight w:val="0"/>
          <w:marTop w:val="0"/>
          <w:marBottom w:val="0"/>
          <w:divBdr>
            <w:top w:val="none" w:sz="0" w:space="0" w:color="auto"/>
            <w:left w:val="none" w:sz="0" w:space="0" w:color="auto"/>
            <w:bottom w:val="none" w:sz="0" w:space="0" w:color="auto"/>
            <w:right w:val="none" w:sz="0" w:space="0" w:color="auto"/>
          </w:divBdr>
          <w:divsChild>
            <w:div w:id="593394223">
              <w:marLeft w:val="0"/>
              <w:marRight w:val="0"/>
              <w:marTop w:val="0"/>
              <w:marBottom w:val="0"/>
              <w:divBdr>
                <w:top w:val="none" w:sz="0" w:space="0" w:color="auto"/>
                <w:left w:val="none" w:sz="0" w:space="0" w:color="auto"/>
                <w:bottom w:val="none" w:sz="0" w:space="0" w:color="auto"/>
                <w:right w:val="none" w:sz="0" w:space="0" w:color="auto"/>
              </w:divBdr>
            </w:div>
          </w:divsChild>
        </w:div>
        <w:div w:id="487290869">
          <w:marLeft w:val="0"/>
          <w:marRight w:val="0"/>
          <w:marTop w:val="0"/>
          <w:marBottom w:val="0"/>
          <w:divBdr>
            <w:top w:val="none" w:sz="0" w:space="0" w:color="auto"/>
            <w:left w:val="none" w:sz="0" w:space="0" w:color="auto"/>
            <w:bottom w:val="none" w:sz="0" w:space="0" w:color="auto"/>
            <w:right w:val="none" w:sz="0" w:space="0" w:color="auto"/>
          </w:divBdr>
          <w:divsChild>
            <w:div w:id="1094012157">
              <w:marLeft w:val="0"/>
              <w:marRight w:val="0"/>
              <w:marTop w:val="0"/>
              <w:marBottom w:val="0"/>
              <w:divBdr>
                <w:top w:val="none" w:sz="0" w:space="0" w:color="auto"/>
                <w:left w:val="none" w:sz="0" w:space="0" w:color="auto"/>
                <w:bottom w:val="none" w:sz="0" w:space="0" w:color="auto"/>
                <w:right w:val="none" w:sz="0" w:space="0" w:color="auto"/>
              </w:divBdr>
            </w:div>
          </w:divsChild>
        </w:div>
        <w:div w:id="686372404">
          <w:marLeft w:val="0"/>
          <w:marRight w:val="0"/>
          <w:marTop w:val="0"/>
          <w:marBottom w:val="0"/>
          <w:divBdr>
            <w:top w:val="none" w:sz="0" w:space="0" w:color="auto"/>
            <w:left w:val="none" w:sz="0" w:space="0" w:color="auto"/>
            <w:bottom w:val="none" w:sz="0" w:space="0" w:color="auto"/>
            <w:right w:val="none" w:sz="0" w:space="0" w:color="auto"/>
          </w:divBdr>
          <w:divsChild>
            <w:div w:id="1523470176">
              <w:marLeft w:val="0"/>
              <w:marRight w:val="0"/>
              <w:marTop w:val="0"/>
              <w:marBottom w:val="0"/>
              <w:divBdr>
                <w:top w:val="none" w:sz="0" w:space="0" w:color="auto"/>
                <w:left w:val="none" w:sz="0" w:space="0" w:color="auto"/>
                <w:bottom w:val="none" w:sz="0" w:space="0" w:color="auto"/>
                <w:right w:val="none" w:sz="0" w:space="0" w:color="auto"/>
              </w:divBdr>
            </w:div>
          </w:divsChild>
        </w:div>
        <w:div w:id="807475968">
          <w:marLeft w:val="0"/>
          <w:marRight w:val="0"/>
          <w:marTop w:val="0"/>
          <w:marBottom w:val="0"/>
          <w:divBdr>
            <w:top w:val="none" w:sz="0" w:space="0" w:color="auto"/>
            <w:left w:val="none" w:sz="0" w:space="0" w:color="auto"/>
            <w:bottom w:val="none" w:sz="0" w:space="0" w:color="auto"/>
            <w:right w:val="none" w:sz="0" w:space="0" w:color="auto"/>
          </w:divBdr>
          <w:divsChild>
            <w:div w:id="360980523">
              <w:marLeft w:val="0"/>
              <w:marRight w:val="0"/>
              <w:marTop w:val="0"/>
              <w:marBottom w:val="0"/>
              <w:divBdr>
                <w:top w:val="none" w:sz="0" w:space="0" w:color="auto"/>
                <w:left w:val="none" w:sz="0" w:space="0" w:color="auto"/>
                <w:bottom w:val="none" w:sz="0" w:space="0" w:color="auto"/>
                <w:right w:val="none" w:sz="0" w:space="0" w:color="auto"/>
              </w:divBdr>
            </w:div>
          </w:divsChild>
        </w:div>
        <w:div w:id="1187409847">
          <w:marLeft w:val="0"/>
          <w:marRight w:val="0"/>
          <w:marTop w:val="0"/>
          <w:marBottom w:val="0"/>
          <w:divBdr>
            <w:top w:val="none" w:sz="0" w:space="0" w:color="auto"/>
            <w:left w:val="none" w:sz="0" w:space="0" w:color="auto"/>
            <w:bottom w:val="none" w:sz="0" w:space="0" w:color="auto"/>
            <w:right w:val="none" w:sz="0" w:space="0" w:color="auto"/>
          </w:divBdr>
          <w:divsChild>
            <w:div w:id="6759768">
              <w:marLeft w:val="0"/>
              <w:marRight w:val="0"/>
              <w:marTop w:val="0"/>
              <w:marBottom w:val="0"/>
              <w:divBdr>
                <w:top w:val="none" w:sz="0" w:space="0" w:color="auto"/>
                <w:left w:val="none" w:sz="0" w:space="0" w:color="auto"/>
                <w:bottom w:val="none" w:sz="0" w:space="0" w:color="auto"/>
                <w:right w:val="none" w:sz="0" w:space="0" w:color="auto"/>
              </w:divBdr>
            </w:div>
          </w:divsChild>
        </w:div>
        <w:div w:id="1327249802">
          <w:marLeft w:val="0"/>
          <w:marRight w:val="0"/>
          <w:marTop w:val="0"/>
          <w:marBottom w:val="0"/>
          <w:divBdr>
            <w:top w:val="none" w:sz="0" w:space="0" w:color="auto"/>
            <w:left w:val="none" w:sz="0" w:space="0" w:color="auto"/>
            <w:bottom w:val="none" w:sz="0" w:space="0" w:color="auto"/>
            <w:right w:val="none" w:sz="0" w:space="0" w:color="auto"/>
          </w:divBdr>
          <w:divsChild>
            <w:div w:id="2028017334">
              <w:marLeft w:val="0"/>
              <w:marRight w:val="0"/>
              <w:marTop w:val="0"/>
              <w:marBottom w:val="0"/>
              <w:divBdr>
                <w:top w:val="none" w:sz="0" w:space="0" w:color="auto"/>
                <w:left w:val="none" w:sz="0" w:space="0" w:color="auto"/>
                <w:bottom w:val="none" w:sz="0" w:space="0" w:color="auto"/>
                <w:right w:val="none" w:sz="0" w:space="0" w:color="auto"/>
              </w:divBdr>
            </w:div>
          </w:divsChild>
        </w:div>
        <w:div w:id="1330526526">
          <w:marLeft w:val="0"/>
          <w:marRight w:val="0"/>
          <w:marTop w:val="0"/>
          <w:marBottom w:val="0"/>
          <w:divBdr>
            <w:top w:val="none" w:sz="0" w:space="0" w:color="auto"/>
            <w:left w:val="none" w:sz="0" w:space="0" w:color="auto"/>
            <w:bottom w:val="none" w:sz="0" w:space="0" w:color="auto"/>
            <w:right w:val="none" w:sz="0" w:space="0" w:color="auto"/>
          </w:divBdr>
          <w:divsChild>
            <w:div w:id="1377848377">
              <w:marLeft w:val="0"/>
              <w:marRight w:val="0"/>
              <w:marTop w:val="0"/>
              <w:marBottom w:val="0"/>
              <w:divBdr>
                <w:top w:val="none" w:sz="0" w:space="0" w:color="auto"/>
                <w:left w:val="none" w:sz="0" w:space="0" w:color="auto"/>
                <w:bottom w:val="none" w:sz="0" w:space="0" w:color="auto"/>
                <w:right w:val="none" w:sz="0" w:space="0" w:color="auto"/>
              </w:divBdr>
            </w:div>
          </w:divsChild>
        </w:div>
        <w:div w:id="1399088398">
          <w:marLeft w:val="0"/>
          <w:marRight w:val="0"/>
          <w:marTop w:val="0"/>
          <w:marBottom w:val="0"/>
          <w:divBdr>
            <w:top w:val="none" w:sz="0" w:space="0" w:color="auto"/>
            <w:left w:val="none" w:sz="0" w:space="0" w:color="auto"/>
            <w:bottom w:val="none" w:sz="0" w:space="0" w:color="auto"/>
            <w:right w:val="none" w:sz="0" w:space="0" w:color="auto"/>
          </w:divBdr>
          <w:divsChild>
            <w:div w:id="502552271">
              <w:marLeft w:val="0"/>
              <w:marRight w:val="0"/>
              <w:marTop w:val="0"/>
              <w:marBottom w:val="0"/>
              <w:divBdr>
                <w:top w:val="none" w:sz="0" w:space="0" w:color="auto"/>
                <w:left w:val="none" w:sz="0" w:space="0" w:color="auto"/>
                <w:bottom w:val="none" w:sz="0" w:space="0" w:color="auto"/>
                <w:right w:val="none" w:sz="0" w:space="0" w:color="auto"/>
              </w:divBdr>
            </w:div>
          </w:divsChild>
        </w:div>
        <w:div w:id="1558131151">
          <w:marLeft w:val="0"/>
          <w:marRight w:val="0"/>
          <w:marTop w:val="0"/>
          <w:marBottom w:val="0"/>
          <w:divBdr>
            <w:top w:val="none" w:sz="0" w:space="0" w:color="auto"/>
            <w:left w:val="none" w:sz="0" w:space="0" w:color="auto"/>
            <w:bottom w:val="none" w:sz="0" w:space="0" w:color="auto"/>
            <w:right w:val="none" w:sz="0" w:space="0" w:color="auto"/>
          </w:divBdr>
          <w:divsChild>
            <w:div w:id="317810234">
              <w:marLeft w:val="0"/>
              <w:marRight w:val="0"/>
              <w:marTop w:val="0"/>
              <w:marBottom w:val="0"/>
              <w:divBdr>
                <w:top w:val="none" w:sz="0" w:space="0" w:color="auto"/>
                <w:left w:val="none" w:sz="0" w:space="0" w:color="auto"/>
                <w:bottom w:val="none" w:sz="0" w:space="0" w:color="auto"/>
                <w:right w:val="none" w:sz="0" w:space="0" w:color="auto"/>
              </w:divBdr>
            </w:div>
          </w:divsChild>
        </w:div>
        <w:div w:id="1675452184">
          <w:marLeft w:val="0"/>
          <w:marRight w:val="0"/>
          <w:marTop w:val="0"/>
          <w:marBottom w:val="0"/>
          <w:divBdr>
            <w:top w:val="none" w:sz="0" w:space="0" w:color="auto"/>
            <w:left w:val="none" w:sz="0" w:space="0" w:color="auto"/>
            <w:bottom w:val="none" w:sz="0" w:space="0" w:color="auto"/>
            <w:right w:val="none" w:sz="0" w:space="0" w:color="auto"/>
          </w:divBdr>
          <w:divsChild>
            <w:div w:id="1956671321">
              <w:marLeft w:val="0"/>
              <w:marRight w:val="0"/>
              <w:marTop w:val="0"/>
              <w:marBottom w:val="0"/>
              <w:divBdr>
                <w:top w:val="none" w:sz="0" w:space="0" w:color="auto"/>
                <w:left w:val="none" w:sz="0" w:space="0" w:color="auto"/>
                <w:bottom w:val="none" w:sz="0" w:space="0" w:color="auto"/>
                <w:right w:val="none" w:sz="0" w:space="0" w:color="auto"/>
              </w:divBdr>
            </w:div>
          </w:divsChild>
        </w:div>
        <w:div w:id="1689213615">
          <w:marLeft w:val="0"/>
          <w:marRight w:val="0"/>
          <w:marTop w:val="0"/>
          <w:marBottom w:val="0"/>
          <w:divBdr>
            <w:top w:val="none" w:sz="0" w:space="0" w:color="auto"/>
            <w:left w:val="none" w:sz="0" w:space="0" w:color="auto"/>
            <w:bottom w:val="none" w:sz="0" w:space="0" w:color="auto"/>
            <w:right w:val="none" w:sz="0" w:space="0" w:color="auto"/>
          </w:divBdr>
          <w:divsChild>
            <w:div w:id="2025548827">
              <w:marLeft w:val="0"/>
              <w:marRight w:val="0"/>
              <w:marTop w:val="0"/>
              <w:marBottom w:val="0"/>
              <w:divBdr>
                <w:top w:val="none" w:sz="0" w:space="0" w:color="auto"/>
                <w:left w:val="none" w:sz="0" w:space="0" w:color="auto"/>
                <w:bottom w:val="none" w:sz="0" w:space="0" w:color="auto"/>
                <w:right w:val="none" w:sz="0" w:space="0" w:color="auto"/>
              </w:divBdr>
            </w:div>
          </w:divsChild>
        </w:div>
        <w:div w:id="1911117012">
          <w:marLeft w:val="0"/>
          <w:marRight w:val="0"/>
          <w:marTop w:val="0"/>
          <w:marBottom w:val="0"/>
          <w:divBdr>
            <w:top w:val="none" w:sz="0" w:space="0" w:color="auto"/>
            <w:left w:val="none" w:sz="0" w:space="0" w:color="auto"/>
            <w:bottom w:val="none" w:sz="0" w:space="0" w:color="auto"/>
            <w:right w:val="none" w:sz="0" w:space="0" w:color="auto"/>
          </w:divBdr>
          <w:divsChild>
            <w:div w:id="999969544">
              <w:marLeft w:val="0"/>
              <w:marRight w:val="0"/>
              <w:marTop w:val="0"/>
              <w:marBottom w:val="0"/>
              <w:divBdr>
                <w:top w:val="none" w:sz="0" w:space="0" w:color="auto"/>
                <w:left w:val="none" w:sz="0" w:space="0" w:color="auto"/>
                <w:bottom w:val="none" w:sz="0" w:space="0" w:color="auto"/>
                <w:right w:val="none" w:sz="0" w:space="0" w:color="auto"/>
              </w:divBdr>
            </w:div>
          </w:divsChild>
        </w:div>
        <w:div w:id="1977683932">
          <w:marLeft w:val="0"/>
          <w:marRight w:val="0"/>
          <w:marTop w:val="0"/>
          <w:marBottom w:val="0"/>
          <w:divBdr>
            <w:top w:val="none" w:sz="0" w:space="0" w:color="auto"/>
            <w:left w:val="none" w:sz="0" w:space="0" w:color="auto"/>
            <w:bottom w:val="none" w:sz="0" w:space="0" w:color="auto"/>
            <w:right w:val="none" w:sz="0" w:space="0" w:color="auto"/>
          </w:divBdr>
          <w:divsChild>
            <w:div w:id="186543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759160">
      <w:bodyDiv w:val="1"/>
      <w:marLeft w:val="0"/>
      <w:marRight w:val="0"/>
      <w:marTop w:val="0"/>
      <w:marBottom w:val="0"/>
      <w:divBdr>
        <w:top w:val="none" w:sz="0" w:space="0" w:color="auto"/>
        <w:left w:val="none" w:sz="0" w:space="0" w:color="auto"/>
        <w:bottom w:val="none" w:sz="0" w:space="0" w:color="auto"/>
        <w:right w:val="none" w:sz="0" w:space="0" w:color="auto"/>
      </w:divBdr>
    </w:div>
    <w:div w:id="1432897742">
      <w:bodyDiv w:val="1"/>
      <w:marLeft w:val="0"/>
      <w:marRight w:val="0"/>
      <w:marTop w:val="0"/>
      <w:marBottom w:val="0"/>
      <w:divBdr>
        <w:top w:val="none" w:sz="0" w:space="0" w:color="auto"/>
        <w:left w:val="none" w:sz="0" w:space="0" w:color="auto"/>
        <w:bottom w:val="none" w:sz="0" w:space="0" w:color="auto"/>
        <w:right w:val="none" w:sz="0" w:space="0" w:color="auto"/>
      </w:divBdr>
      <w:divsChild>
        <w:div w:id="32582738">
          <w:marLeft w:val="0"/>
          <w:marRight w:val="0"/>
          <w:marTop w:val="0"/>
          <w:marBottom w:val="0"/>
          <w:divBdr>
            <w:top w:val="none" w:sz="0" w:space="0" w:color="auto"/>
            <w:left w:val="none" w:sz="0" w:space="0" w:color="auto"/>
            <w:bottom w:val="none" w:sz="0" w:space="0" w:color="auto"/>
            <w:right w:val="none" w:sz="0" w:space="0" w:color="auto"/>
          </w:divBdr>
          <w:divsChild>
            <w:div w:id="1621765737">
              <w:marLeft w:val="0"/>
              <w:marRight w:val="0"/>
              <w:marTop w:val="0"/>
              <w:marBottom w:val="0"/>
              <w:divBdr>
                <w:top w:val="none" w:sz="0" w:space="0" w:color="auto"/>
                <w:left w:val="none" w:sz="0" w:space="0" w:color="auto"/>
                <w:bottom w:val="none" w:sz="0" w:space="0" w:color="auto"/>
                <w:right w:val="none" w:sz="0" w:space="0" w:color="auto"/>
              </w:divBdr>
            </w:div>
          </w:divsChild>
        </w:div>
        <w:div w:id="37709538">
          <w:marLeft w:val="0"/>
          <w:marRight w:val="0"/>
          <w:marTop w:val="0"/>
          <w:marBottom w:val="0"/>
          <w:divBdr>
            <w:top w:val="none" w:sz="0" w:space="0" w:color="auto"/>
            <w:left w:val="none" w:sz="0" w:space="0" w:color="auto"/>
            <w:bottom w:val="none" w:sz="0" w:space="0" w:color="auto"/>
            <w:right w:val="none" w:sz="0" w:space="0" w:color="auto"/>
          </w:divBdr>
          <w:divsChild>
            <w:div w:id="1993751616">
              <w:marLeft w:val="0"/>
              <w:marRight w:val="0"/>
              <w:marTop w:val="0"/>
              <w:marBottom w:val="0"/>
              <w:divBdr>
                <w:top w:val="none" w:sz="0" w:space="0" w:color="auto"/>
                <w:left w:val="none" w:sz="0" w:space="0" w:color="auto"/>
                <w:bottom w:val="none" w:sz="0" w:space="0" w:color="auto"/>
                <w:right w:val="none" w:sz="0" w:space="0" w:color="auto"/>
              </w:divBdr>
            </w:div>
          </w:divsChild>
        </w:div>
        <w:div w:id="184372267">
          <w:marLeft w:val="0"/>
          <w:marRight w:val="0"/>
          <w:marTop w:val="0"/>
          <w:marBottom w:val="0"/>
          <w:divBdr>
            <w:top w:val="none" w:sz="0" w:space="0" w:color="auto"/>
            <w:left w:val="none" w:sz="0" w:space="0" w:color="auto"/>
            <w:bottom w:val="none" w:sz="0" w:space="0" w:color="auto"/>
            <w:right w:val="none" w:sz="0" w:space="0" w:color="auto"/>
          </w:divBdr>
          <w:divsChild>
            <w:div w:id="1930189824">
              <w:marLeft w:val="0"/>
              <w:marRight w:val="0"/>
              <w:marTop w:val="0"/>
              <w:marBottom w:val="0"/>
              <w:divBdr>
                <w:top w:val="none" w:sz="0" w:space="0" w:color="auto"/>
                <w:left w:val="none" w:sz="0" w:space="0" w:color="auto"/>
                <w:bottom w:val="none" w:sz="0" w:space="0" w:color="auto"/>
                <w:right w:val="none" w:sz="0" w:space="0" w:color="auto"/>
              </w:divBdr>
            </w:div>
          </w:divsChild>
        </w:div>
        <w:div w:id="326981601">
          <w:marLeft w:val="0"/>
          <w:marRight w:val="0"/>
          <w:marTop w:val="0"/>
          <w:marBottom w:val="0"/>
          <w:divBdr>
            <w:top w:val="none" w:sz="0" w:space="0" w:color="auto"/>
            <w:left w:val="none" w:sz="0" w:space="0" w:color="auto"/>
            <w:bottom w:val="none" w:sz="0" w:space="0" w:color="auto"/>
            <w:right w:val="none" w:sz="0" w:space="0" w:color="auto"/>
          </w:divBdr>
          <w:divsChild>
            <w:div w:id="1685551213">
              <w:marLeft w:val="0"/>
              <w:marRight w:val="0"/>
              <w:marTop w:val="0"/>
              <w:marBottom w:val="0"/>
              <w:divBdr>
                <w:top w:val="none" w:sz="0" w:space="0" w:color="auto"/>
                <w:left w:val="none" w:sz="0" w:space="0" w:color="auto"/>
                <w:bottom w:val="none" w:sz="0" w:space="0" w:color="auto"/>
                <w:right w:val="none" w:sz="0" w:space="0" w:color="auto"/>
              </w:divBdr>
            </w:div>
          </w:divsChild>
        </w:div>
        <w:div w:id="338848376">
          <w:marLeft w:val="0"/>
          <w:marRight w:val="0"/>
          <w:marTop w:val="0"/>
          <w:marBottom w:val="0"/>
          <w:divBdr>
            <w:top w:val="none" w:sz="0" w:space="0" w:color="auto"/>
            <w:left w:val="none" w:sz="0" w:space="0" w:color="auto"/>
            <w:bottom w:val="none" w:sz="0" w:space="0" w:color="auto"/>
            <w:right w:val="none" w:sz="0" w:space="0" w:color="auto"/>
          </w:divBdr>
          <w:divsChild>
            <w:div w:id="1501237453">
              <w:marLeft w:val="0"/>
              <w:marRight w:val="0"/>
              <w:marTop w:val="0"/>
              <w:marBottom w:val="0"/>
              <w:divBdr>
                <w:top w:val="none" w:sz="0" w:space="0" w:color="auto"/>
                <w:left w:val="none" w:sz="0" w:space="0" w:color="auto"/>
                <w:bottom w:val="none" w:sz="0" w:space="0" w:color="auto"/>
                <w:right w:val="none" w:sz="0" w:space="0" w:color="auto"/>
              </w:divBdr>
            </w:div>
          </w:divsChild>
        </w:div>
        <w:div w:id="407727978">
          <w:marLeft w:val="0"/>
          <w:marRight w:val="0"/>
          <w:marTop w:val="0"/>
          <w:marBottom w:val="0"/>
          <w:divBdr>
            <w:top w:val="none" w:sz="0" w:space="0" w:color="auto"/>
            <w:left w:val="none" w:sz="0" w:space="0" w:color="auto"/>
            <w:bottom w:val="none" w:sz="0" w:space="0" w:color="auto"/>
            <w:right w:val="none" w:sz="0" w:space="0" w:color="auto"/>
          </w:divBdr>
          <w:divsChild>
            <w:div w:id="1239442316">
              <w:marLeft w:val="0"/>
              <w:marRight w:val="0"/>
              <w:marTop w:val="0"/>
              <w:marBottom w:val="0"/>
              <w:divBdr>
                <w:top w:val="none" w:sz="0" w:space="0" w:color="auto"/>
                <w:left w:val="none" w:sz="0" w:space="0" w:color="auto"/>
                <w:bottom w:val="none" w:sz="0" w:space="0" w:color="auto"/>
                <w:right w:val="none" w:sz="0" w:space="0" w:color="auto"/>
              </w:divBdr>
            </w:div>
          </w:divsChild>
        </w:div>
        <w:div w:id="476797384">
          <w:marLeft w:val="0"/>
          <w:marRight w:val="0"/>
          <w:marTop w:val="0"/>
          <w:marBottom w:val="0"/>
          <w:divBdr>
            <w:top w:val="none" w:sz="0" w:space="0" w:color="auto"/>
            <w:left w:val="none" w:sz="0" w:space="0" w:color="auto"/>
            <w:bottom w:val="none" w:sz="0" w:space="0" w:color="auto"/>
            <w:right w:val="none" w:sz="0" w:space="0" w:color="auto"/>
          </w:divBdr>
          <w:divsChild>
            <w:div w:id="1246106122">
              <w:marLeft w:val="0"/>
              <w:marRight w:val="0"/>
              <w:marTop w:val="0"/>
              <w:marBottom w:val="0"/>
              <w:divBdr>
                <w:top w:val="none" w:sz="0" w:space="0" w:color="auto"/>
                <w:left w:val="none" w:sz="0" w:space="0" w:color="auto"/>
                <w:bottom w:val="none" w:sz="0" w:space="0" w:color="auto"/>
                <w:right w:val="none" w:sz="0" w:space="0" w:color="auto"/>
              </w:divBdr>
            </w:div>
          </w:divsChild>
        </w:div>
        <w:div w:id="479927660">
          <w:marLeft w:val="0"/>
          <w:marRight w:val="0"/>
          <w:marTop w:val="0"/>
          <w:marBottom w:val="0"/>
          <w:divBdr>
            <w:top w:val="none" w:sz="0" w:space="0" w:color="auto"/>
            <w:left w:val="none" w:sz="0" w:space="0" w:color="auto"/>
            <w:bottom w:val="none" w:sz="0" w:space="0" w:color="auto"/>
            <w:right w:val="none" w:sz="0" w:space="0" w:color="auto"/>
          </w:divBdr>
          <w:divsChild>
            <w:div w:id="1596013426">
              <w:marLeft w:val="0"/>
              <w:marRight w:val="0"/>
              <w:marTop w:val="0"/>
              <w:marBottom w:val="0"/>
              <w:divBdr>
                <w:top w:val="none" w:sz="0" w:space="0" w:color="auto"/>
                <w:left w:val="none" w:sz="0" w:space="0" w:color="auto"/>
                <w:bottom w:val="none" w:sz="0" w:space="0" w:color="auto"/>
                <w:right w:val="none" w:sz="0" w:space="0" w:color="auto"/>
              </w:divBdr>
            </w:div>
          </w:divsChild>
        </w:div>
        <w:div w:id="593438628">
          <w:marLeft w:val="0"/>
          <w:marRight w:val="0"/>
          <w:marTop w:val="0"/>
          <w:marBottom w:val="0"/>
          <w:divBdr>
            <w:top w:val="none" w:sz="0" w:space="0" w:color="auto"/>
            <w:left w:val="none" w:sz="0" w:space="0" w:color="auto"/>
            <w:bottom w:val="none" w:sz="0" w:space="0" w:color="auto"/>
            <w:right w:val="none" w:sz="0" w:space="0" w:color="auto"/>
          </w:divBdr>
          <w:divsChild>
            <w:div w:id="2034765445">
              <w:marLeft w:val="0"/>
              <w:marRight w:val="0"/>
              <w:marTop w:val="0"/>
              <w:marBottom w:val="0"/>
              <w:divBdr>
                <w:top w:val="none" w:sz="0" w:space="0" w:color="auto"/>
                <w:left w:val="none" w:sz="0" w:space="0" w:color="auto"/>
                <w:bottom w:val="none" w:sz="0" w:space="0" w:color="auto"/>
                <w:right w:val="none" w:sz="0" w:space="0" w:color="auto"/>
              </w:divBdr>
            </w:div>
          </w:divsChild>
        </w:div>
        <w:div w:id="626394078">
          <w:marLeft w:val="0"/>
          <w:marRight w:val="0"/>
          <w:marTop w:val="0"/>
          <w:marBottom w:val="0"/>
          <w:divBdr>
            <w:top w:val="none" w:sz="0" w:space="0" w:color="auto"/>
            <w:left w:val="none" w:sz="0" w:space="0" w:color="auto"/>
            <w:bottom w:val="none" w:sz="0" w:space="0" w:color="auto"/>
            <w:right w:val="none" w:sz="0" w:space="0" w:color="auto"/>
          </w:divBdr>
          <w:divsChild>
            <w:div w:id="1553617767">
              <w:marLeft w:val="0"/>
              <w:marRight w:val="0"/>
              <w:marTop w:val="0"/>
              <w:marBottom w:val="0"/>
              <w:divBdr>
                <w:top w:val="none" w:sz="0" w:space="0" w:color="auto"/>
                <w:left w:val="none" w:sz="0" w:space="0" w:color="auto"/>
                <w:bottom w:val="none" w:sz="0" w:space="0" w:color="auto"/>
                <w:right w:val="none" w:sz="0" w:space="0" w:color="auto"/>
              </w:divBdr>
            </w:div>
          </w:divsChild>
        </w:div>
        <w:div w:id="701246323">
          <w:marLeft w:val="0"/>
          <w:marRight w:val="0"/>
          <w:marTop w:val="0"/>
          <w:marBottom w:val="0"/>
          <w:divBdr>
            <w:top w:val="none" w:sz="0" w:space="0" w:color="auto"/>
            <w:left w:val="none" w:sz="0" w:space="0" w:color="auto"/>
            <w:bottom w:val="none" w:sz="0" w:space="0" w:color="auto"/>
            <w:right w:val="none" w:sz="0" w:space="0" w:color="auto"/>
          </w:divBdr>
          <w:divsChild>
            <w:div w:id="1705211293">
              <w:marLeft w:val="0"/>
              <w:marRight w:val="0"/>
              <w:marTop w:val="0"/>
              <w:marBottom w:val="0"/>
              <w:divBdr>
                <w:top w:val="none" w:sz="0" w:space="0" w:color="auto"/>
                <w:left w:val="none" w:sz="0" w:space="0" w:color="auto"/>
                <w:bottom w:val="none" w:sz="0" w:space="0" w:color="auto"/>
                <w:right w:val="none" w:sz="0" w:space="0" w:color="auto"/>
              </w:divBdr>
            </w:div>
          </w:divsChild>
        </w:div>
        <w:div w:id="750934888">
          <w:marLeft w:val="0"/>
          <w:marRight w:val="0"/>
          <w:marTop w:val="0"/>
          <w:marBottom w:val="0"/>
          <w:divBdr>
            <w:top w:val="none" w:sz="0" w:space="0" w:color="auto"/>
            <w:left w:val="none" w:sz="0" w:space="0" w:color="auto"/>
            <w:bottom w:val="none" w:sz="0" w:space="0" w:color="auto"/>
            <w:right w:val="none" w:sz="0" w:space="0" w:color="auto"/>
          </w:divBdr>
          <w:divsChild>
            <w:div w:id="459886312">
              <w:marLeft w:val="0"/>
              <w:marRight w:val="0"/>
              <w:marTop w:val="0"/>
              <w:marBottom w:val="0"/>
              <w:divBdr>
                <w:top w:val="none" w:sz="0" w:space="0" w:color="auto"/>
                <w:left w:val="none" w:sz="0" w:space="0" w:color="auto"/>
                <w:bottom w:val="none" w:sz="0" w:space="0" w:color="auto"/>
                <w:right w:val="none" w:sz="0" w:space="0" w:color="auto"/>
              </w:divBdr>
            </w:div>
          </w:divsChild>
        </w:div>
        <w:div w:id="809328385">
          <w:marLeft w:val="0"/>
          <w:marRight w:val="0"/>
          <w:marTop w:val="0"/>
          <w:marBottom w:val="0"/>
          <w:divBdr>
            <w:top w:val="none" w:sz="0" w:space="0" w:color="auto"/>
            <w:left w:val="none" w:sz="0" w:space="0" w:color="auto"/>
            <w:bottom w:val="none" w:sz="0" w:space="0" w:color="auto"/>
            <w:right w:val="none" w:sz="0" w:space="0" w:color="auto"/>
          </w:divBdr>
          <w:divsChild>
            <w:div w:id="1694571500">
              <w:marLeft w:val="0"/>
              <w:marRight w:val="0"/>
              <w:marTop w:val="0"/>
              <w:marBottom w:val="0"/>
              <w:divBdr>
                <w:top w:val="none" w:sz="0" w:space="0" w:color="auto"/>
                <w:left w:val="none" w:sz="0" w:space="0" w:color="auto"/>
                <w:bottom w:val="none" w:sz="0" w:space="0" w:color="auto"/>
                <w:right w:val="none" w:sz="0" w:space="0" w:color="auto"/>
              </w:divBdr>
            </w:div>
          </w:divsChild>
        </w:div>
        <w:div w:id="1127240219">
          <w:marLeft w:val="0"/>
          <w:marRight w:val="0"/>
          <w:marTop w:val="0"/>
          <w:marBottom w:val="0"/>
          <w:divBdr>
            <w:top w:val="none" w:sz="0" w:space="0" w:color="auto"/>
            <w:left w:val="none" w:sz="0" w:space="0" w:color="auto"/>
            <w:bottom w:val="none" w:sz="0" w:space="0" w:color="auto"/>
            <w:right w:val="none" w:sz="0" w:space="0" w:color="auto"/>
          </w:divBdr>
          <w:divsChild>
            <w:div w:id="1463697024">
              <w:marLeft w:val="0"/>
              <w:marRight w:val="0"/>
              <w:marTop w:val="0"/>
              <w:marBottom w:val="0"/>
              <w:divBdr>
                <w:top w:val="none" w:sz="0" w:space="0" w:color="auto"/>
                <w:left w:val="none" w:sz="0" w:space="0" w:color="auto"/>
                <w:bottom w:val="none" w:sz="0" w:space="0" w:color="auto"/>
                <w:right w:val="none" w:sz="0" w:space="0" w:color="auto"/>
              </w:divBdr>
            </w:div>
          </w:divsChild>
        </w:div>
        <w:div w:id="1167666816">
          <w:marLeft w:val="0"/>
          <w:marRight w:val="0"/>
          <w:marTop w:val="0"/>
          <w:marBottom w:val="0"/>
          <w:divBdr>
            <w:top w:val="none" w:sz="0" w:space="0" w:color="auto"/>
            <w:left w:val="none" w:sz="0" w:space="0" w:color="auto"/>
            <w:bottom w:val="none" w:sz="0" w:space="0" w:color="auto"/>
            <w:right w:val="none" w:sz="0" w:space="0" w:color="auto"/>
          </w:divBdr>
          <w:divsChild>
            <w:div w:id="447890365">
              <w:marLeft w:val="0"/>
              <w:marRight w:val="0"/>
              <w:marTop w:val="0"/>
              <w:marBottom w:val="0"/>
              <w:divBdr>
                <w:top w:val="none" w:sz="0" w:space="0" w:color="auto"/>
                <w:left w:val="none" w:sz="0" w:space="0" w:color="auto"/>
                <w:bottom w:val="none" w:sz="0" w:space="0" w:color="auto"/>
                <w:right w:val="none" w:sz="0" w:space="0" w:color="auto"/>
              </w:divBdr>
            </w:div>
          </w:divsChild>
        </w:div>
        <w:div w:id="1183083690">
          <w:marLeft w:val="0"/>
          <w:marRight w:val="0"/>
          <w:marTop w:val="0"/>
          <w:marBottom w:val="0"/>
          <w:divBdr>
            <w:top w:val="none" w:sz="0" w:space="0" w:color="auto"/>
            <w:left w:val="none" w:sz="0" w:space="0" w:color="auto"/>
            <w:bottom w:val="none" w:sz="0" w:space="0" w:color="auto"/>
            <w:right w:val="none" w:sz="0" w:space="0" w:color="auto"/>
          </w:divBdr>
          <w:divsChild>
            <w:div w:id="295110208">
              <w:marLeft w:val="0"/>
              <w:marRight w:val="0"/>
              <w:marTop w:val="0"/>
              <w:marBottom w:val="0"/>
              <w:divBdr>
                <w:top w:val="none" w:sz="0" w:space="0" w:color="auto"/>
                <w:left w:val="none" w:sz="0" w:space="0" w:color="auto"/>
                <w:bottom w:val="none" w:sz="0" w:space="0" w:color="auto"/>
                <w:right w:val="none" w:sz="0" w:space="0" w:color="auto"/>
              </w:divBdr>
            </w:div>
          </w:divsChild>
        </w:div>
        <w:div w:id="1260026537">
          <w:marLeft w:val="0"/>
          <w:marRight w:val="0"/>
          <w:marTop w:val="0"/>
          <w:marBottom w:val="0"/>
          <w:divBdr>
            <w:top w:val="none" w:sz="0" w:space="0" w:color="auto"/>
            <w:left w:val="none" w:sz="0" w:space="0" w:color="auto"/>
            <w:bottom w:val="none" w:sz="0" w:space="0" w:color="auto"/>
            <w:right w:val="none" w:sz="0" w:space="0" w:color="auto"/>
          </w:divBdr>
          <w:divsChild>
            <w:div w:id="132872359">
              <w:marLeft w:val="0"/>
              <w:marRight w:val="0"/>
              <w:marTop w:val="0"/>
              <w:marBottom w:val="0"/>
              <w:divBdr>
                <w:top w:val="none" w:sz="0" w:space="0" w:color="auto"/>
                <w:left w:val="none" w:sz="0" w:space="0" w:color="auto"/>
                <w:bottom w:val="none" w:sz="0" w:space="0" w:color="auto"/>
                <w:right w:val="none" w:sz="0" w:space="0" w:color="auto"/>
              </w:divBdr>
            </w:div>
          </w:divsChild>
        </w:div>
        <w:div w:id="1308048525">
          <w:marLeft w:val="0"/>
          <w:marRight w:val="0"/>
          <w:marTop w:val="0"/>
          <w:marBottom w:val="0"/>
          <w:divBdr>
            <w:top w:val="none" w:sz="0" w:space="0" w:color="auto"/>
            <w:left w:val="none" w:sz="0" w:space="0" w:color="auto"/>
            <w:bottom w:val="none" w:sz="0" w:space="0" w:color="auto"/>
            <w:right w:val="none" w:sz="0" w:space="0" w:color="auto"/>
          </w:divBdr>
          <w:divsChild>
            <w:div w:id="1507481591">
              <w:marLeft w:val="0"/>
              <w:marRight w:val="0"/>
              <w:marTop w:val="0"/>
              <w:marBottom w:val="0"/>
              <w:divBdr>
                <w:top w:val="none" w:sz="0" w:space="0" w:color="auto"/>
                <w:left w:val="none" w:sz="0" w:space="0" w:color="auto"/>
                <w:bottom w:val="none" w:sz="0" w:space="0" w:color="auto"/>
                <w:right w:val="none" w:sz="0" w:space="0" w:color="auto"/>
              </w:divBdr>
            </w:div>
          </w:divsChild>
        </w:div>
        <w:div w:id="1338270890">
          <w:marLeft w:val="0"/>
          <w:marRight w:val="0"/>
          <w:marTop w:val="0"/>
          <w:marBottom w:val="0"/>
          <w:divBdr>
            <w:top w:val="none" w:sz="0" w:space="0" w:color="auto"/>
            <w:left w:val="none" w:sz="0" w:space="0" w:color="auto"/>
            <w:bottom w:val="none" w:sz="0" w:space="0" w:color="auto"/>
            <w:right w:val="none" w:sz="0" w:space="0" w:color="auto"/>
          </w:divBdr>
          <w:divsChild>
            <w:div w:id="200947567">
              <w:marLeft w:val="0"/>
              <w:marRight w:val="0"/>
              <w:marTop w:val="0"/>
              <w:marBottom w:val="0"/>
              <w:divBdr>
                <w:top w:val="none" w:sz="0" w:space="0" w:color="auto"/>
                <w:left w:val="none" w:sz="0" w:space="0" w:color="auto"/>
                <w:bottom w:val="none" w:sz="0" w:space="0" w:color="auto"/>
                <w:right w:val="none" w:sz="0" w:space="0" w:color="auto"/>
              </w:divBdr>
            </w:div>
            <w:div w:id="538318194">
              <w:marLeft w:val="0"/>
              <w:marRight w:val="0"/>
              <w:marTop w:val="0"/>
              <w:marBottom w:val="0"/>
              <w:divBdr>
                <w:top w:val="none" w:sz="0" w:space="0" w:color="auto"/>
                <w:left w:val="none" w:sz="0" w:space="0" w:color="auto"/>
                <w:bottom w:val="none" w:sz="0" w:space="0" w:color="auto"/>
                <w:right w:val="none" w:sz="0" w:space="0" w:color="auto"/>
              </w:divBdr>
            </w:div>
            <w:div w:id="827479177">
              <w:marLeft w:val="0"/>
              <w:marRight w:val="0"/>
              <w:marTop w:val="0"/>
              <w:marBottom w:val="0"/>
              <w:divBdr>
                <w:top w:val="none" w:sz="0" w:space="0" w:color="auto"/>
                <w:left w:val="none" w:sz="0" w:space="0" w:color="auto"/>
                <w:bottom w:val="none" w:sz="0" w:space="0" w:color="auto"/>
                <w:right w:val="none" w:sz="0" w:space="0" w:color="auto"/>
              </w:divBdr>
            </w:div>
          </w:divsChild>
        </w:div>
        <w:div w:id="1347554791">
          <w:marLeft w:val="0"/>
          <w:marRight w:val="0"/>
          <w:marTop w:val="0"/>
          <w:marBottom w:val="0"/>
          <w:divBdr>
            <w:top w:val="none" w:sz="0" w:space="0" w:color="auto"/>
            <w:left w:val="none" w:sz="0" w:space="0" w:color="auto"/>
            <w:bottom w:val="none" w:sz="0" w:space="0" w:color="auto"/>
            <w:right w:val="none" w:sz="0" w:space="0" w:color="auto"/>
          </w:divBdr>
          <w:divsChild>
            <w:div w:id="2058235369">
              <w:marLeft w:val="0"/>
              <w:marRight w:val="0"/>
              <w:marTop w:val="0"/>
              <w:marBottom w:val="0"/>
              <w:divBdr>
                <w:top w:val="none" w:sz="0" w:space="0" w:color="auto"/>
                <w:left w:val="none" w:sz="0" w:space="0" w:color="auto"/>
                <w:bottom w:val="none" w:sz="0" w:space="0" w:color="auto"/>
                <w:right w:val="none" w:sz="0" w:space="0" w:color="auto"/>
              </w:divBdr>
            </w:div>
          </w:divsChild>
        </w:div>
        <w:div w:id="1410424894">
          <w:marLeft w:val="0"/>
          <w:marRight w:val="0"/>
          <w:marTop w:val="0"/>
          <w:marBottom w:val="0"/>
          <w:divBdr>
            <w:top w:val="none" w:sz="0" w:space="0" w:color="auto"/>
            <w:left w:val="none" w:sz="0" w:space="0" w:color="auto"/>
            <w:bottom w:val="none" w:sz="0" w:space="0" w:color="auto"/>
            <w:right w:val="none" w:sz="0" w:space="0" w:color="auto"/>
          </w:divBdr>
          <w:divsChild>
            <w:div w:id="2000035711">
              <w:marLeft w:val="0"/>
              <w:marRight w:val="0"/>
              <w:marTop w:val="0"/>
              <w:marBottom w:val="0"/>
              <w:divBdr>
                <w:top w:val="none" w:sz="0" w:space="0" w:color="auto"/>
                <w:left w:val="none" w:sz="0" w:space="0" w:color="auto"/>
                <w:bottom w:val="none" w:sz="0" w:space="0" w:color="auto"/>
                <w:right w:val="none" w:sz="0" w:space="0" w:color="auto"/>
              </w:divBdr>
            </w:div>
          </w:divsChild>
        </w:div>
        <w:div w:id="1461073192">
          <w:marLeft w:val="0"/>
          <w:marRight w:val="0"/>
          <w:marTop w:val="0"/>
          <w:marBottom w:val="0"/>
          <w:divBdr>
            <w:top w:val="none" w:sz="0" w:space="0" w:color="auto"/>
            <w:left w:val="none" w:sz="0" w:space="0" w:color="auto"/>
            <w:bottom w:val="none" w:sz="0" w:space="0" w:color="auto"/>
            <w:right w:val="none" w:sz="0" w:space="0" w:color="auto"/>
          </w:divBdr>
          <w:divsChild>
            <w:div w:id="1174564630">
              <w:marLeft w:val="0"/>
              <w:marRight w:val="0"/>
              <w:marTop w:val="0"/>
              <w:marBottom w:val="0"/>
              <w:divBdr>
                <w:top w:val="none" w:sz="0" w:space="0" w:color="auto"/>
                <w:left w:val="none" w:sz="0" w:space="0" w:color="auto"/>
                <w:bottom w:val="none" w:sz="0" w:space="0" w:color="auto"/>
                <w:right w:val="none" w:sz="0" w:space="0" w:color="auto"/>
              </w:divBdr>
            </w:div>
          </w:divsChild>
        </w:div>
        <w:div w:id="1552226991">
          <w:marLeft w:val="0"/>
          <w:marRight w:val="0"/>
          <w:marTop w:val="0"/>
          <w:marBottom w:val="0"/>
          <w:divBdr>
            <w:top w:val="none" w:sz="0" w:space="0" w:color="auto"/>
            <w:left w:val="none" w:sz="0" w:space="0" w:color="auto"/>
            <w:bottom w:val="none" w:sz="0" w:space="0" w:color="auto"/>
            <w:right w:val="none" w:sz="0" w:space="0" w:color="auto"/>
          </w:divBdr>
          <w:divsChild>
            <w:div w:id="1792361229">
              <w:marLeft w:val="0"/>
              <w:marRight w:val="0"/>
              <w:marTop w:val="0"/>
              <w:marBottom w:val="0"/>
              <w:divBdr>
                <w:top w:val="none" w:sz="0" w:space="0" w:color="auto"/>
                <w:left w:val="none" w:sz="0" w:space="0" w:color="auto"/>
                <w:bottom w:val="none" w:sz="0" w:space="0" w:color="auto"/>
                <w:right w:val="none" w:sz="0" w:space="0" w:color="auto"/>
              </w:divBdr>
            </w:div>
          </w:divsChild>
        </w:div>
        <w:div w:id="1575625775">
          <w:marLeft w:val="0"/>
          <w:marRight w:val="0"/>
          <w:marTop w:val="0"/>
          <w:marBottom w:val="0"/>
          <w:divBdr>
            <w:top w:val="none" w:sz="0" w:space="0" w:color="auto"/>
            <w:left w:val="none" w:sz="0" w:space="0" w:color="auto"/>
            <w:bottom w:val="none" w:sz="0" w:space="0" w:color="auto"/>
            <w:right w:val="none" w:sz="0" w:space="0" w:color="auto"/>
          </w:divBdr>
          <w:divsChild>
            <w:div w:id="1344555109">
              <w:marLeft w:val="0"/>
              <w:marRight w:val="0"/>
              <w:marTop w:val="0"/>
              <w:marBottom w:val="0"/>
              <w:divBdr>
                <w:top w:val="none" w:sz="0" w:space="0" w:color="auto"/>
                <w:left w:val="none" w:sz="0" w:space="0" w:color="auto"/>
                <w:bottom w:val="none" w:sz="0" w:space="0" w:color="auto"/>
                <w:right w:val="none" w:sz="0" w:space="0" w:color="auto"/>
              </w:divBdr>
            </w:div>
          </w:divsChild>
        </w:div>
        <w:div w:id="1637177863">
          <w:marLeft w:val="0"/>
          <w:marRight w:val="0"/>
          <w:marTop w:val="0"/>
          <w:marBottom w:val="0"/>
          <w:divBdr>
            <w:top w:val="none" w:sz="0" w:space="0" w:color="auto"/>
            <w:left w:val="none" w:sz="0" w:space="0" w:color="auto"/>
            <w:bottom w:val="none" w:sz="0" w:space="0" w:color="auto"/>
            <w:right w:val="none" w:sz="0" w:space="0" w:color="auto"/>
          </w:divBdr>
          <w:divsChild>
            <w:div w:id="796266119">
              <w:marLeft w:val="0"/>
              <w:marRight w:val="0"/>
              <w:marTop w:val="0"/>
              <w:marBottom w:val="0"/>
              <w:divBdr>
                <w:top w:val="none" w:sz="0" w:space="0" w:color="auto"/>
                <w:left w:val="none" w:sz="0" w:space="0" w:color="auto"/>
                <w:bottom w:val="none" w:sz="0" w:space="0" w:color="auto"/>
                <w:right w:val="none" w:sz="0" w:space="0" w:color="auto"/>
              </w:divBdr>
            </w:div>
          </w:divsChild>
        </w:div>
        <w:div w:id="1648392344">
          <w:marLeft w:val="0"/>
          <w:marRight w:val="0"/>
          <w:marTop w:val="0"/>
          <w:marBottom w:val="0"/>
          <w:divBdr>
            <w:top w:val="none" w:sz="0" w:space="0" w:color="auto"/>
            <w:left w:val="none" w:sz="0" w:space="0" w:color="auto"/>
            <w:bottom w:val="none" w:sz="0" w:space="0" w:color="auto"/>
            <w:right w:val="none" w:sz="0" w:space="0" w:color="auto"/>
          </w:divBdr>
          <w:divsChild>
            <w:div w:id="1397048554">
              <w:marLeft w:val="0"/>
              <w:marRight w:val="0"/>
              <w:marTop w:val="0"/>
              <w:marBottom w:val="0"/>
              <w:divBdr>
                <w:top w:val="none" w:sz="0" w:space="0" w:color="auto"/>
                <w:left w:val="none" w:sz="0" w:space="0" w:color="auto"/>
                <w:bottom w:val="none" w:sz="0" w:space="0" w:color="auto"/>
                <w:right w:val="none" w:sz="0" w:space="0" w:color="auto"/>
              </w:divBdr>
            </w:div>
          </w:divsChild>
        </w:div>
        <w:div w:id="1652170199">
          <w:marLeft w:val="0"/>
          <w:marRight w:val="0"/>
          <w:marTop w:val="0"/>
          <w:marBottom w:val="0"/>
          <w:divBdr>
            <w:top w:val="none" w:sz="0" w:space="0" w:color="auto"/>
            <w:left w:val="none" w:sz="0" w:space="0" w:color="auto"/>
            <w:bottom w:val="none" w:sz="0" w:space="0" w:color="auto"/>
            <w:right w:val="none" w:sz="0" w:space="0" w:color="auto"/>
          </w:divBdr>
          <w:divsChild>
            <w:div w:id="838664515">
              <w:marLeft w:val="0"/>
              <w:marRight w:val="0"/>
              <w:marTop w:val="0"/>
              <w:marBottom w:val="0"/>
              <w:divBdr>
                <w:top w:val="none" w:sz="0" w:space="0" w:color="auto"/>
                <w:left w:val="none" w:sz="0" w:space="0" w:color="auto"/>
                <w:bottom w:val="none" w:sz="0" w:space="0" w:color="auto"/>
                <w:right w:val="none" w:sz="0" w:space="0" w:color="auto"/>
              </w:divBdr>
            </w:div>
          </w:divsChild>
        </w:div>
        <w:div w:id="1677882605">
          <w:marLeft w:val="0"/>
          <w:marRight w:val="0"/>
          <w:marTop w:val="0"/>
          <w:marBottom w:val="0"/>
          <w:divBdr>
            <w:top w:val="none" w:sz="0" w:space="0" w:color="auto"/>
            <w:left w:val="none" w:sz="0" w:space="0" w:color="auto"/>
            <w:bottom w:val="none" w:sz="0" w:space="0" w:color="auto"/>
            <w:right w:val="none" w:sz="0" w:space="0" w:color="auto"/>
          </w:divBdr>
          <w:divsChild>
            <w:div w:id="1095440335">
              <w:marLeft w:val="0"/>
              <w:marRight w:val="0"/>
              <w:marTop w:val="0"/>
              <w:marBottom w:val="0"/>
              <w:divBdr>
                <w:top w:val="none" w:sz="0" w:space="0" w:color="auto"/>
                <w:left w:val="none" w:sz="0" w:space="0" w:color="auto"/>
                <w:bottom w:val="none" w:sz="0" w:space="0" w:color="auto"/>
                <w:right w:val="none" w:sz="0" w:space="0" w:color="auto"/>
              </w:divBdr>
            </w:div>
          </w:divsChild>
        </w:div>
        <w:div w:id="1736929911">
          <w:marLeft w:val="0"/>
          <w:marRight w:val="0"/>
          <w:marTop w:val="0"/>
          <w:marBottom w:val="0"/>
          <w:divBdr>
            <w:top w:val="none" w:sz="0" w:space="0" w:color="auto"/>
            <w:left w:val="none" w:sz="0" w:space="0" w:color="auto"/>
            <w:bottom w:val="none" w:sz="0" w:space="0" w:color="auto"/>
            <w:right w:val="none" w:sz="0" w:space="0" w:color="auto"/>
          </w:divBdr>
          <w:divsChild>
            <w:div w:id="661281361">
              <w:marLeft w:val="0"/>
              <w:marRight w:val="0"/>
              <w:marTop w:val="0"/>
              <w:marBottom w:val="0"/>
              <w:divBdr>
                <w:top w:val="none" w:sz="0" w:space="0" w:color="auto"/>
                <w:left w:val="none" w:sz="0" w:space="0" w:color="auto"/>
                <w:bottom w:val="none" w:sz="0" w:space="0" w:color="auto"/>
                <w:right w:val="none" w:sz="0" w:space="0" w:color="auto"/>
              </w:divBdr>
            </w:div>
          </w:divsChild>
        </w:div>
        <w:div w:id="2042975198">
          <w:marLeft w:val="0"/>
          <w:marRight w:val="0"/>
          <w:marTop w:val="0"/>
          <w:marBottom w:val="0"/>
          <w:divBdr>
            <w:top w:val="none" w:sz="0" w:space="0" w:color="auto"/>
            <w:left w:val="none" w:sz="0" w:space="0" w:color="auto"/>
            <w:bottom w:val="none" w:sz="0" w:space="0" w:color="auto"/>
            <w:right w:val="none" w:sz="0" w:space="0" w:color="auto"/>
          </w:divBdr>
          <w:divsChild>
            <w:div w:id="1689597609">
              <w:marLeft w:val="0"/>
              <w:marRight w:val="0"/>
              <w:marTop w:val="0"/>
              <w:marBottom w:val="0"/>
              <w:divBdr>
                <w:top w:val="none" w:sz="0" w:space="0" w:color="auto"/>
                <w:left w:val="none" w:sz="0" w:space="0" w:color="auto"/>
                <w:bottom w:val="none" w:sz="0" w:space="0" w:color="auto"/>
                <w:right w:val="none" w:sz="0" w:space="0" w:color="auto"/>
              </w:divBdr>
            </w:div>
          </w:divsChild>
        </w:div>
        <w:div w:id="2086801258">
          <w:marLeft w:val="0"/>
          <w:marRight w:val="0"/>
          <w:marTop w:val="0"/>
          <w:marBottom w:val="0"/>
          <w:divBdr>
            <w:top w:val="none" w:sz="0" w:space="0" w:color="auto"/>
            <w:left w:val="none" w:sz="0" w:space="0" w:color="auto"/>
            <w:bottom w:val="none" w:sz="0" w:space="0" w:color="auto"/>
            <w:right w:val="none" w:sz="0" w:space="0" w:color="auto"/>
          </w:divBdr>
          <w:divsChild>
            <w:div w:id="61413915">
              <w:marLeft w:val="0"/>
              <w:marRight w:val="0"/>
              <w:marTop w:val="0"/>
              <w:marBottom w:val="0"/>
              <w:divBdr>
                <w:top w:val="none" w:sz="0" w:space="0" w:color="auto"/>
                <w:left w:val="none" w:sz="0" w:space="0" w:color="auto"/>
                <w:bottom w:val="none" w:sz="0" w:space="0" w:color="auto"/>
                <w:right w:val="none" w:sz="0" w:space="0" w:color="auto"/>
              </w:divBdr>
            </w:div>
          </w:divsChild>
        </w:div>
        <w:div w:id="2134906188">
          <w:marLeft w:val="0"/>
          <w:marRight w:val="0"/>
          <w:marTop w:val="0"/>
          <w:marBottom w:val="0"/>
          <w:divBdr>
            <w:top w:val="none" w:sz="0" w:space="0" w:color="auto"/>
            <w:left w:val="none" w:sz="0" w:space="0" w:color="auto"/>
            <w:bottom w:val="none" w:sz="0" w:space="0" w:color="auto"/>
            <w:right w:val="none" w:sz="0" w:space="0" w:color="auto"/>
          </w:divBdr>
          <w:divsChild>
            <w:div w:id="52240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106933">
      <w:bodyDiv w:val="1"/>
      <w:marLeft w:val="0"/>
      <w:marRight w:val="0"/>
      <w:marTop w:val="0"/>
      <w:marBottom w:val="0"/>
      <w:divBdr>
        <w:top w:val="none" w:sz="0" w:space="0" w:color="auto"/>
        <w:left w:val="none" w:sz="0" w:space="0" w:color="auto"/>
        <w:bottom w:val="none" w:sz="0" w:space="0" w:color="auto"/>
        <w:right w:val="none" w:sz="0" w:space="0" w:color="auto"/>
      </w:divBdr>
    </w:div>
    <w:div w:id="1488285300">
      <w:bodyDiv w:val="1"/>
      <w:marLeft w:val="0"/>
      <w:marRight w:val="0"/>
      <w:marTop w:val="0"/>
      <w:marBottom w:val="0"/>
      <w:divBdr>
        <w:top w:val="none" w:sz="0" w:space="0" w:color="auto"/>
        <w:left w:val="none" w:sz="0" w:space="0" w:color="auto"/>
        <w:bottom w:val="none" w:sz="0" w:space="0" w:color="auto"/>
        <w:right w:val="none" w:sz="0" w:space="0" w:color="auto"/>
      </w:divBdr>
    </w:div>
    <w:div w:id="1521626110">
      <w:bodyDiv w:val="1"/>
      <w:marLeft w:val="0"/>
      <w:marRight w:val="0"/>
      <w:marTop w:val="0"/>
      <w:marBottom w:val="0"/>
      <w:divBdr>
        <w:top w:val="none" w:sz="0" w:space="0" w:color="auto"/>
        <w:left w:val="none" w:sz="0" w:space="0" w:color="auto"/>
        <w:bottom w:val="none" w:sz="0" w:space="0" w:color="auto"/>
        <w:right w:val="none" w:sz="0" w:space="0" w:color="auto"/>
      </w:divBdr>
      <w:divsChild>
        <w:div w:id="890307850">
          <w:marLeft w:val="0"/>
          <w:marRight w:val="0"/>
          <w:marTop w:val="0"/>
          <w:marBottom w:val="0"/>
          <w:divBdr>
            <w:top w:val="none" w:sz="0" w:space="0" w:color="auto"/>
            <w:left w:val="none" w:sz="0" w:space="0" w:color="auto"/>
            <w:bottom w:val="none" w:sz="0" w:space="0" w:color="auto"/>
            <w:right w:val="none" w:sz="0" w:space="0" w:color="auto"/>
          </w:divBdr>
          <w:divsChild>
            <w:div w:id="151336798">
              <w:marLeft w:val="0"/>
              <w:marRight w:val="0"/>
              <w:marTop w:val="0"/>
              <w:marBottom w:val="0"/>
              <w:divBdr>
                <w:top w:val="none" w:sz="0" w:space="0" w:color="auto"/>
                <w:left w:val="none" w:sz="0" w:space="0" w:color="auto"/>
                <w:bottom w:val="none" w:sz="0" w:space="0" w:color="auto"/>
                <w:right w:val="none" w:sz="0" w:space="0" w:color="auto"/>
              </w:divBdr>
              <w:divsChild>
                <w:div w:id="85032068">
                  <w:marLeft w:val="720"/>
                  <w:marRight w:val="0"/>
                  <w:marTop w:val="0"/>
                  <w:marBottom w:val="0"/>
                  <w:divBdr>
                    <w:top w:val="none" w:sz="0" w:space="0" w:color="auto"/>
                    <w:left w:val="none" w:sz="0" w:space="0" w:color="auto"/>
                    <w:bottom w:val="none" w:sz="0" w:space="0" w:color="auto"/>
                    <w:right w:val="none" w:sz="0" w:space="0" w:color="auto"/>
                  </w:divBdr>
                </w:div>
                <w:div w:id="667831241">
                  <w:marLeft w:val="720"/>
                  <w:marRight w:val="0"/>
                  <w:marTop w:val="0"/>
                  <w:marBottom w:val="0"/>
                  <w:divBdr>
                    <w:top w:val="none" w:sz="0" w:space="0" w:color="auto"/>
                    <w:left w:val="none" w:sz="0" w:space="0" w:color="auto"/>
                    <w:bottom w:val="none" w:sz="0" w:space="0" w:color="auto"/>
                    <w:right w:val="none" w:sz="0" w:space="0" w:color="auto"/>
                  </w:divBdr>
                </w:div>
                <w:div w:id="187080150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372686">
      <w:bodyDiv w:val="1"/>
      <w:marLeft w:val="0"/>
      <w:marRight w:val="0"/>
      <w:marTop w:val="0"/>
      <w:marBottom w:val="0"/>
      <w:divBdr>
        <w:top w:val="none" w:sz="0" w:space="0" w:color="auto"/>
        <w:left w:val="none" w:sz="0" w:space="0" w:color="auto"/>
        <w:bottom w:val="none" w:sz="0" w:space="0" w:color="auto"/>
        <w:right w:val="none" w:sz="0" w:space="0" w:color="auto"/>
      </w:divBdr>
      <w:divsChild>
        <w:div w:id="264114058">
          <w:marLeft w:val="0"/>
          <w:marRight w:val="0"/>
          <w:marTop w:val="0"/>
          <w:marBottom w:val="0"/>
          <w:divBdr>
            <w:top w:val="none" w:sz="0" w:space="0" w:color="auto"/>
            <w:left w:val="none" w:sz="0" w:space="0" w:color="auto"/>
            <w:bottom w:val="none" w:sz="0" w:space="0" w:color="auto"/>
            <w:right w:val="none" w:sz="0" w:space="0" w:color="auto"/>
          </w:divBdr>
          <w:divsChild>
            <w:div w:id="1997150423">
              <w:marLeft w:val="0"/>
              <w:marRight w:val="0"/>
              <w:marTop w:val="0"/>
              <w:marBottom w:val="0"/>
              <w:divBdr>
                <w:top w:val="none" w:sz="0" w:space="0" w:color="auto"/>
                <w:left w:val="none" w:sz="0" w:space="0" w:color="auto"/>
                <w:bottom w:val="none" w:sz="0" w:space="0" w:color="auto"/>
                <w:right w:val="none" w:sz="0" w:space="0" w:color="auto"/>
              </w:divBdr>
            </w:div>
          </w:divsChild>
        </w:div>
        <w:div w:id="411319623">
          <w:marLeft w:val="0"/>
          <w:marRight w:val="0"/>
          <w:marTop w:val="0"/>
          <w:marBottom w:val="0"/>
          <w:divBdr>
            <w:top w:val="none" w:sz="0" w:space="0" w:color="auto"/>
            <w:left w:val="none" w:sz="0" w:space="0" w:color="auto"/>
            <w:bottom w:val="none" w:sz="0" w:space="0" w:color="auto"/>
            <w:right w:val="none" w:sz="0" w:space="0" w:color="auto"/>
          </w:divBdr>
          <w:divsChild>
            <w:div w:id="94860694">
              <w:marLeft w:val="0"/>
              <w:marRight w:val="0"/>
              <w:marTop w:val="0"/>
              <w:marBottom w:val="0"/>
              <w:divBdr>
                <w:top w:val="none" w:sz="0" w:space="0" w:color="auto"/>
                <w:left w:val="none" w:sz="0" w:space="0" w:color="auto"/>
                <w:bottom w:val="none" w:sz="0" w:space="0" w:color="auto"/>
                <w:right w:val="none" w:sz="0" w:space="0" w:color="auto"/>
              </w:divBdr>
            </w:div>
          </w:divsChild>
        </w:div>
        <w:div w:id="438138021">
          <w:marLeft w:val="0"/>
          <w:marRight w:val="0"/>
          <w:marTop w:val="0"/>
          <w:marBottom w:val="0"/>
          <w:divBdr>
            <w:top w:val="none" w:sz="0" w:space="0" w:color="auto"/>
            <w:left w:val="none" w:sz="0" w:space="0" w:color="auto"/>
            <w:bottom w:val="none" w:sz="0" w:space="0" w:color="auto"/>
            <w:right w:val="none" w:sz="0" w:space="0" w:color="auto"/>
          </w:divBdr>
          <w:divsChild>
            <w:div w:id="1946958005">
              <w:marLeft w:val="0"/>
              <w:marRight w:val="0"/>
              <w:marTop w:val="0"/>
              <w:marBottom w:val="0"/>
              <w:divBdr>
                <w:top w:val="none" w:sz="0" w:space="0" w:color="auto"/>
                <w:left w:val="none" w:sz="0" w:space="0" w:color="auto"/>
                <w:bottom w:val="none" w:sz="0" w:space="0" w:color="auto"/>
                <w:right w:val="none" w:sz="0" w:space="0" w:color="auto"/>
              </w:divBdr>
            </w:div>
          </w:divsChild>
        </w:div>
        <w:div w:id="578754553">
          <w:marLeft w:val="0"/>
          <w:marRight w:val="0"/>
          <w:marTop w:val="0"/>
          <w:marBottom w:val="0"/>
          <w:divBdr>
            <w:top w:val="none" w:sz="0" w:space="0" w:color="auto"/>
            <w:left w:val="none" w:sz="0" w:space="0" w:color="auto"/>
            <w:bottom w:val="none" w:sz="0" w:space="0" w:color="auto"/>
            <w:right w:val="none" w:sz="0" w:space="0" w:color="auto"/>
          </w:divBdr>
          <w:divsChild>
            <w:div w:id="1944651140">
              <w:marLeft w:val="0"/>
              <w:marRight w:val="0"/>
              <w:marTop w:val="0"/>
              <w:marBottom w:val="0"/>
              <w:divBdr>
                <w:top w:val="none" w:sz="0" w:space="0" w:color="auto"/>
                <w:left w:val="none" w:sz="0" w:space="0" w:color="auto"/>
                <w:bottom w:val="none" w:sz="0" w:space="0" w:color="auto"/>
                <w:right w:val="none" w:sz="0" w:space="0" w:color="auto"/>
              </w:divBdr>
            </w:div>
          </w:divsChild>
        </w:div>
        <w:div w:id="716976626">
          <w:marLeft w:val="0"/>
          <w:marRight w:val="0"/>
          <w:marTop w:val="0"/>
          <w:marBottom w:val="0"/>
          <w:divBdr>
            <w:top w:val="none" w:sz="0" w:space="0" w:color="auto"/>
            <w:left w:val="none" w:sz="0" w:space="0" w:color="auto"/>
            <w:bottom w:val="none" w:sz="0" w:space="0" w:color="auto"/>
            <w:right w:val="none" w:sz="0" w:space="0" w:color="auto"/>
          </w:divBdr>
          <w:divsChild>
            <w:div w:id="1066297392">
              <w:marLeft w:val="0"/>
              <w:marRight w:val="0"/>
              <w:marTop w:val="0"/>
              <w:marBottom w:val="0"/>
              <w:divBdr>
                <w:top w:val="none" w:sz="0" w:space="0" w:color="auto"/>
                <w:left w:val="none" w:sz="0" w:space="0" w:color="auto"/>
                <w:bottom w:val="none" w:sz="0" w:space="0" w:color="auto"/>
                <w:right w:val="none" w:sz="0" w:space="0" w:color="auto"/>
              </w:divBdr>
            </w:div>
          </w:divsChild>
        </w:div>
        <w:div w:id="847642703">
          <w:marLeft w:val="0"/>
          <w:marRight w:val="0"/>
          <w:marTop w:val="0"/>
          <w:marBottom w:val="0"/>
          <w:divBdr>
            <w:top w:val="none" w:sz="0" w:space="0" w:color="auto"/>
            <w:left w:val="none" w:sz="0" w:space="0" w:color="auto"/>
            <w:bottom w:val="none" w:sz="0" w:space="0" w:color="auto"/>
            <w:right w:val="none" w:sz="0" w:space="0" w:color="auto"/>
          </w:divBdr>
          <w:divsChild>
            <w:div w:id="1069039862">
              <w:marLeft w:val="0"/>
              <w:marRight w:val="0"/>
              <w:marTop w:val="0"/>
              <w:marBottom w:val="0"/>
              <w:divBdr>
                <w:top w:val="none" w:sz="0" w:space="0" w:color="auto"/>
                <w:left w:val="none" w:sz="0" w:space="0" w:color="auto"/>
                <w:bottom w:val="none" w:sz="0" w:space="0" w:color="auto"/>
                <w:right w:val="none" w:sz="0" w:space="0" w:color="auto"/>
              </w:divBdr>
            </w:div>
          </w:divsChild>
        </w:div>
        <w:div w:id="1019161455">
          <w:marLeft w:val="0"/>
          <w:marRight w:val="0"/>
          <w:marTop w:val="0"/>
          <w:marBottom w:val="0"/>
          <w:divBdr>
            <w:top w:val="none" w:sz="0" w:space="0" w:color="auto"/>
            <w:left w:val="none" w:sz="0" w:space="0" w:color="auto"/>
            <w:bottom w:val="none" w:sz="0" w:space="0" w:color="auto"/>
            <w:right w:val="none" w:sz="0" w:space="0" w:color="auto"/>
          </w:divBdr>
          <w:divsChild>
            <w:div w:id="1736975060">
              <w:marLeft w:val="0"/>
              <w:marRight w:val="0"/>
              <w:marTop w:val="0"/>
              <w:marBottom w:val="0"/>
              <w:divBdr>
                <w:top w:val="none" w:sz="0" w:space="0" w:color="auto"/>
                <w:left w:val="none" w:sz="0" w:space="0" w:color="auto"/>
                <w:bottom w:val="none" w:sz="0" w:space="0" w:color="auto"/>
                <w:right w:val="none" w:sz="0" w:space="0" w:color="auto"/>
              </w:divBdr>
            </w:div>
          </w:divsChild>
        </w:div>
        <w:div w:id="1210728808">
          <w:marLeft w:val="0"/>
          <w:marRight w:val="0"/>
          <w:marTop w:val="0"/>
          <w:marBottom w:val="0"/>
          <w:divBdr>
            <w:top w:val="none" w:sz="0" w:space="0" w:color="auto"/>
            <w:left w:val="none" w:sz="0" w:space="0" w:color="auto"/>
            <w:bottom w:val="none" w:sz="0" w:space="0" w:color="auto"/>
            <w:right w:val="none" w:sz="0" w:space="0" w:color="auto"/>
          </w:divBdr>
          <w:divsChild>
            <w:div w:id="1086220547">
              <w:marLeft w:val="0"/>
              <w:marRight w:val="0"/>
              <w:marTop w:val="0"/>
              <w:marBottom w:val="0"/>
              <w:divBdr>
                <w:top w:val="none" w:sz="0" w:space="0" w:color="auto"/>
                <w:left w:val="none" w:sz="0" w:space="0" w:color="auto"/>
                <w:bottom w:val="none" w:sz="0" w:space="0" w:color="auto"/>
                <w:right w:val="none" w:sz="0" w:space="0" w:color="auto"/>
              </w:divBdr>
            </w:div>
          </w:divsChild>
        </w:div>
        <w:div w:id="1284462959">
          <w:marLeft w:val="0"/>
          <w:marRight w:val="0"/>
          <w:marTop w:val="0"/>
          <w:marBottom w:val="0"/>
          <w:divBdr>
            <w:top w:val="none" w:sz="0" w:space="0" w:color="auto"/>
            <w:left w:val="none" w:sz="0" w:space="0" w:color="auto"/>
            <w:bottom w:val="none" w:sz="0" w:space="0" w:color="auto"/>
            <w:right w:val="none" w:sz="0" w:space="0" w:color="auto"/>
          </w:divBdr>
          <w:divsChild>
            <w:div w:id="894001571">
              <w:marLeft w:val="0"/>
              <w:marRight w:val="0"/>
              <w:marTop w:val="0"/>
              <w:marBottom w:val="0"/>
              <w:divBdr>
                <w:top w:val="none" w:sz="0" w:space="0" w:color="auto"/>
                <w:left w:val="none" w:sz="0" w:space="0" w:color="auto"/>
                <w:bottom w:val="none" w:sz="0" w:space="0" w:color="auto"/>
                <w:right w:val="none" w:sz="0" w:space="0" w:color="auto"/>
              </w:divBdr>
            </w:div>
          </w:divsChild>
        </w:div>
        <w:div w:id="1368724891">
          <w:marLeft w:val="0"/>
          <w:marRight w:val="0"/>
          <w:marTop w:val="0"/>
          <w:marBottom w:val="0"/>
          <w:divBdr>
            <w:top w:val="none" w:sz="0" w:space="0" w:color="auto"/>
            <w:left w:val="none" w:sz="0" w:space="0" w:color="auto"/>
            <w:bottom w:val="none" w:sz="0" w:space="0" w:color="auto"/>
            <w:right w:val="none" w:sz="0" w:space="0" w:color="auto"/>
          </w:divBdr>
          <w:divsChild>
            <w:div w:id="2068141020">
              <w:marLeft w:val="0"/>
              <w:marRight w:val="0"/>
              <w:marTop w:val="0"/>
              <w:marBottom w:val="0"/>
              <w:divBdr>
                <w:top w:val="none" w:sz="0" w:space="0" w:color="auto"/>
                <w:left w:val="none" w:sz="0" w:space="0" w:color="auto"/>
                <w:bottom w:val="none" w:sz="0" w:space="0" w:color="auto"/>
                <w:right w:val="none" w:sz="0" w:space="0" w:color="auto"/>
              </w:divBdr>
            </w:div>
          </w:divsChild>
        </w:div>
        <w:div w:id="1544555943">
          <w:marLeft w:val="0"/>
          <w:marRight w:val="0"/>
          <w:marTop w:val="0"/>
          <w:marBottom w:val="0"/>
          <w:divBdr>
            <w:top w:val="none" w:sz="0" w:space="0" w:color="auto"/>
            <w:left w:val="none" w:sz="0" w:space="0" w:color="auto"/>
            <w:bottom w:val="none" w:sz="0" w:space="0" w:color="auto"/>
            <w:right w:val="none" w:sz="0" w:space="0" w:color="auto"/>
          </w:divBdr>
          <w:divsChild>
            <w:div w:id="1605311128">
              <w:marLeft w:val="0"/>
              <w:marRight w:val="0"/>
              <w:marTop w:val="0"/>
              <w:marBottom w:val="0"/>
              <w:divBdr>
                <w:top w:val="none" w:sz="0" w:space="0" w:color="auto"/>
                <w:left w:val="none" w:sz="0" w:space="0" w:color="auto"/>
                <w:bottom w:val="none" w:sz="0" w:space="0" w:color="auto"/>
                <w:right w:val="none" w:sz="0" w:space="0" w:color="auto"/>
              </w:divBdr>
            </w:div>
          </w:divsChild>
        </w:div>
        <w:div w:id="1552837662">
          <w:marLeft w:val="0"/>
          <w:marRight w:val="0"/>
          <w:marTop w:val="0"/>
          <w:marBottom w:val="0"/>
          <w:divBdr>
            <w:top w:val="none" w:sz="0" w:space="0" w:color="auto"/>
            <w:left w:val="none" w:sz="0" w:space="0" w:color="auto"/>
            <w:bottom w:val="none" w:sz="0" w:space="0" w:color="auto"/>
            <w:right w:val="none" w:sz="0" w:space="0" w:color="auto"/>
          </w:divBdr>
          <w:divsChild>
            <w:div w:id="954023335">
              <w:marLeft w:val="0"/>
              <w:marRight w:val="0"/>
              <w:marTop w:val="0"/>
              <w:marBottom w:val="0"/>
              <w:divBdr>
                <w:top w:val="none" w:sz="0" w:space="0" w:color="auto"/>
                <w:left w:val="none" w:sz="0" w:space="0" w:color="auto"/>
                <w:bottom w:val="none" w:sz="0" w:space="0" w:color="auto"/>
                <w:right w:val="none" w:sz="0" w:space="0" w:color="auto"/>
              </w:divBdr>
            </w:div>
          </w:divsChild>
        </w:div>
        <w:div w:id="1575816049">
          <w:marLeft w:val="0"/>
          <w:marRight w:val="0"/>
          <w:marTop w:val="0"/>
          <w:marBottom w:val="0"/>
          <w:divBdr>
            <w:top w:val="none" w:sz="0" w:space="0" w:color="auto"/>
            <w:left w:val="none" w:sz="0" w:space="0" w:color="auto"/>
            <w:bottom w:val="none" w:sz="0" w:space="0" w:color="auto"/>
            <w:right w:val="none" w:sz="0" w:space="0" w:color="auto"/>
          </w:divBdr>
          <w:divsChild>
            <w:div w:id="1495417152">
              <w:marLeft w:val="0"/>
              <w:marRight w:val="0"/>
              <w:marTop w:val="0"/>
              <w:marBottom w:val="0"/>
              <w:divBdr>
                <w:top w:val="none" w:sz="0" w:space="0" w:color="auto"/>
                <w:left w:val="none" w:sz="0" w:space="0" w:color="auto"/>
                <w:bottom w:val="none" w:sz="0" w:space="0" w:color="auto"/>
                <w:right w:val="none" w:sz="0" w:space="0" w:color="auto"/>
              </w:divBdr>
            </w:div>
          </w:divsChild>
        </w:div>
        <w:div w:id="1589146921">
          <w:marLeft w:val="0"/>
          <w:marRight w:val="0"/>
          <w:marTop w:val="0"/>
          <w:marBottom w:val="0"/>
          <w:divBdr>
            <w:top w:val="none" w:sz="0" w:space="0" w:color="auto"/>
            <w:left w:val="none" w:sz="0" w:space="0" w:color="auto"/>
            <w:bottom w:val="none" w:sz="0" w:space="0" w:color="auto"/>
            <w:right w:val="none" w:sz="0" w:space="0" w:color="auto"/>
          </w:divBdr>
          <w:divsChild>
            <w:div w:id="1372414121">
              <w:marLeft w:val="0"/>
              <w:marRight w:val="0"/>
              <w:marTop w:val="0"/>
              <w:marBottom w:val="0"/>
              <w:divBdr>
                <w:top w:val="none" w:sz="0" w:space="0" w:color="auto"/>
                <w:left w:val="none" w:sz="0" w:space="0" w:color="auto"/>
                <w:bottom w:val="none" w:sz="0" w:space="0" w:color="auto"/>
                <w:right w:val="none" w:sz="0" w:space="0" w:color="auto"/>
              </w:divBdr>
            </w:div>
          </w:divsChild>
        </w:div>
        <w:div w:id="1682853278">
          <w:marLeft w:val="0"/>
          <w:marRight w:val="0"/>
          <w:marTop w:val="0"/>
          <w:marBottom w:val="0"/>
          <w:divBdr>
            <w:top w:val="none" w:sz="0" w:space="0" w:color="auto"/>
            <w:left w:val="none" w:sz="0" w:space="0" w:color="auto"/>
            <w:bottom w:val="none" w:sz="0" w:space="0" w:color="auto"/>
            <w:right w:val="none" w:sz="0" w:space="0" w:color="auto"/>
          </w:divBdr>
          <w:divsChild>
            <w:div w:id="1137146284">
              <w:marLeft w:val="0"/>
              <w:marRight w:val="0"/>
              <w:marTop w:val="0"/>
              <w:marBottom w:val="0"/>
              <w:divBdr>
                <w:top w:val="none" w:sz="0" w:space="0" w:color="auto"/>
                <w:left w:val="none" w:sz="0" w:space="0" w:color="auto"/>
                <w:bottom w:val="none" w:sz="0" w:space="0" w:color="auto"/>
                <w:right w:val="none" w:sz="0" w:space="0" w:color="auto"/>
              </w:divBdr>
            </w:div>
          </w:divsChild>
        </w:div>
        <w:div w:id="1757314654">
          <w:marLeft w:val="0"/>
          <w:marRight w:val="0"/>
          <w:marTop w:val="0"/>
          <w:marBottom w:val="0"/>
          <w:divBdr>
            <w:top w:val="none" w:sz="0" w:space="0" w:color="auto"/>
            <w:left w:val="none" w:sz="0" w:space="0" w:color="auto"/>
            <w:bottom w:val="none" w:sz="0" w:space="0" w:color="auto"/>
            <w:right w:val="none" w:sz="0" w:space="0" w:color="auto"/>
          </w:divBdr>
          <w:divsChild>
            <w:div w:id="1913079709">
              <w:marLeft w:val="0"/>
              <w:marRight w:val="0"/>
              <w:marTop w:val="0"/>
              <w:marBottom w:val="0"/>
              <w:divBdr>
                <w:top w:val="none" w:sz="0" w:space="0" w:color="auto"/>
                <w:left w:val="none" w:sz="0" w:space="0" w:color="auto"/>
                <w:bottom w:val="none" w:sz="0" w:space="0" w:color="auto"/>
                <w:right w:val="none" w:sz="0" w:space="0" w:color="auto"/>
              </w:divBdr>
            </w:div>
          </w:divsChild>
        </w:div>
        <w:div w:id="1855148281">
          <w:marLeft w:val="0"/>
          <w:marRight w:val="0"/>
          <w:marTop w:val="0"/>
          <w:marBottom w:val="0"/>
          <w:divBdr>
            <w:top w:val="none" w:sz="0" w:space="0" w:color="auto"/>
            <w:left w:val="none" w:sz="0" w:space="0" w:color="auto"/>
            <w:bottom w:val="none" w:sz="0" w:space="0" w:color="auto"/>
            <w:right w:val="none" w:sz="0" w:space="0" w:color="auto"/>
          </w:divBdr>
          <w:divsChild>
            <w:div w:id="2088845232">
              <w:marLeft w:val="0"/>
              <w:marRight w:val="0"/>
              <w:marTop w:val="0"/>
              <w:marBottom w:val="0"/>
              <w:divBdr>
                <w:top w:val="none" w:sz="0" w:space="0" w:color="auto"/>
                <w:left w:val="none" w:sz="0" w:space="0" w:color="auto"/>
                <w:bottom w:val="none" w:sz="0" w:space="0" w:color="auto"/>
                <w:right w:val="none" w:sz="0" w:space="0" w:color="auto"/>
              </w:divBdr>
            </w:div>
          </w:divsChild>
        </w:div>
        <w:div w:id="1889029179">
          <w:marLeft w:val="0"/>
          <w:marRight w:val="0"/>
          <w:marTop w:val="0"/>
          <w:marBottom w:val="0"/>
          <w:divBdr>
            <w:top w:val="none" w:sz="0" w:space="0" w:color="auto"/>
            <w:left w:val="none" w:sz="0" w:space="0" w:color="auto"/>
            <w:bottom w:val="none" w:sz="0" w:space="0" w:color="auto"/>
            <w:right w:val="none" w:sz="0" w:space="0" w:color="auto"/>
          </w:divBdr>
          <w:divsChild>
            <w:div w:id="428232886">
              <w:marLeft w:val="0"/>
              <w:marRight w:val="0"/>
              <w:marTop w:val="0"/>
              <w:marBottom w:val="0"/>
              <w:divBdr>
                <w:top w:val="none" w:sz="0" w:space="0" w:color="auto"/>
                <w:left w:val="none" w:sz="0" w:space="0" w:color="auto"/>
                <w:bottom w:val="none" w:sz="0" w:space="0" w:color="auto"/>
                <w:right w:val="none" w:sz="0" w:space="0" w:color="auto"/>
              </w:divBdr>
            </w:div>
          </w:divsChild>
        </w:div>
        <w:div w:id="1907493785">
          <w:marLeft w:val="0"/>
          <w:marRight w:val="0"/>
          <w:marTop w:val="0"/>
          <w:marBottom w:val="0"/>
          <w:divBdr>
            <w:top w:val="none" w:sz="0" w:space="0" w:color="auto"/>
            <w:left w:val="none" w:sz="0" w:space="0" w:color="auto"/>
            <w:bottom w:val="none" w:sz="0" w:space="0" w:color="auto"/>
            <w:right w:val="none" w:sz="0" w:space="0" w:color="auto"/>
          </w:divBdr>
          <w:divsChild>
            <w:div w:id="514542917">
              <w:marLeft w:val="0"/>
              <w:marRight w:val="0"/>
              <w:marTop w:val="0"/>
              <w:marBottom w:val="0"/>
              <w:divBdr>
                <w:top w:val="none" w:sz="0" w:space="0" w:color="auto"/>
                <w:left w:val="none" w:sz="0" w:space="0" w:color="auto"/>
                <w:bottom w:val="none" w:sz="0" w:space="0" w:color="auto"/>
                <w:right w:val="none" w:sz="0" w:space="0" w:color="auto"/>
              </w:divBdr>
            </w:div>
          </w:divsChild>
        </w:div>
        <w:div w:id="1964991942">
          <w:marLeft w:val="0"/>
          <w:marRight w:val="0"/>
          <w:marTop w:val="0"/>
          <w:marBottom w:val="0"/>
          <w:divBdr>
            <w:top w:val="none" w:sz="0" w:space="0" w:color="auto"/>
            <w:left w:val="none" w:sz="0" w:space="0" w:color="auto"/>
            <w:bottom w:val="none" w:sz="0" w:space="0" w:color="auto"/>
            <w:right w:val="none" w:sz="0" w:space="0" w:color="auto"/>
          </w:divBdr>
          <w:divsChild>
            <w:div w:id="147407052">
              <w:marLeft w:val="0"/>
              <w:marRight w:val="0"/>
              <w:marTop w:val="0"/>
              <w:marBottom w:val="0"/>
              <w:divBdr>
                <w:top w:val="none" w:sz="0" w:space="0" w:color="auto"/>
                <w:left w:val="none" w:sz="0" w:space="0" w:color="auto"/>
                <w:bottom w:val="none" w:sz="0" w:space="0" w:color="auto"/>
                <w:right w:val="none" w:sz="0" w:space="0" w:color="auto"/>
              </w:divBdr>
            </w:div>
          </w:divsChild>
        </w:div>
        <w:div w:id="2140028218">
          <w:marLeft w:val="0"/>
          <w:marRight w:val="0"/>
          <w:marTop w:val="0"/>
          <w:marBottom w:val="0"/>
          <w:divBdr>
            <w:top w:val="none" w:sz="0" w:space="0" w:color="auto"/>
            <w:left w:val="none" w:sz="0" w:space="0" w:color="auto"/>
            <w:bottom w:val="none" w:sz="0" w:space="0" w:color="auto"/>
            <w:right w:val="none" w:sz="0" w:space="0" w:color="auto"/>
          </w:divBdr>
          <w:divsChild>
            <w:div w:id="103291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666777">
      <w:bodyDiv w:val="1"/>
      <w:marLeft w:val="0"/>
      <w:marRight w:val="0"/>
      <w:marTop w:val="0"/>
      <w:marBottom w:val="0"/>
      <w:divBdr>
        <w:top w:val="none" w:sz="0" w:space="0" w:color="auto"/>
        <w:left w:val="none" w:sz="0" w:space="0" w:color="auto"/>
        <w:bottom w:val="none" w:sz="0" w:space="0" w:color="auto"/>
        <w:right w:val="none" w:sz="0" w:space="0" w:color="auto"/>
      </w:divBdr>
    </w:div>
    <w:div w:id="1578008029">
      <w:bodyDiv w:val="1"/>
      <w:marLeft w:val="0"/>
      <w:marRight w:val="0"/>
      <w:marTop w:val="0"/>
      <w:marBottom w:val="0"/>
      <w:divBdr>
        <w:top w:val="none" w:sz="0" w:space="0" w:color="auto"/>
        <w:left w:val="none" w:sz="0" w:space="0" w:color="auto"/>
        <w:bottom w:val="none" w:sz="0" w:space="0" w:color="auto"/>
        <w:right w:val="none" w:sz="0" w:space="0" w:color="auto"/>
      </w:divBdr>
    </w:div>
    <w:div w:id="1581057664">
      <w:bodyDiv w:val="1"/>
      <w:marLeft w:val="0"/>
      <w:marRight w:val="0"/>
      <w:marTop w:val="0"/>
      <w:marBottom w:val="0"/>
      <w:divBdr>
        <w:top w:val="none" w:sz="0" w:space="0" w:color="auto"/>
        <w:left w:val="none" w:sz="0" w:space="0" w:color="auto"/>
        <w:bottom w:val="none" w:sz="0" w:space="0" w:color="auto"/>
        <w:right w:val="none" w:sz="0" w:space="0" w:color="auto"/>
      </w:divBdr>
      <w:divsChild>
        <w:div w:id="12418920">
          <w:marLeft w:val="0"/>
          <w:marRight w:val="0"/>
          <w:marTop w:val="0"/>
          <w:marBottom w:val="0"/>
          <w:divBdr>
            <w:top w:val="none" w:sz="0" w:space="0" w:color="auto"/>
            <w:left w:val="none" w:sz="0" w:space="0" w:color="auto"/>
            <w:bottom w:val="none" w:sz="0" w:space="0" w:color="auto"/>
            <w:right w:val="none" w:sz="0" w:space="0" w:color="auto"/>
          </w:divBdr>
          <w:divsChild>
            <w:div w:id="1647859645">
              <w:marLeft w:val="0"/>
              <w:marRight w:val="0"/>
              <w:marTop w:val="0"/>
              <w:marBottom w:val="0"/>
              <w:divBdr>
                <w:top w:val="none" w:sz="0" w:space="0" w:color="auto"/>
                <w:left w:val="none" w:sz="0" w:space="0" w:color="auto"/>
                <w:bottom w:val="none" w:sz="0" w:space="0" w:color="auto"/>
                <w:right w:val="none" w:sz="0" w:space="0" w:color="auto"/>
              </w:divBdr>
            </w:div>
          </w:divsChild>
        </w:div>
        <w:div w:id="33503229">
          <w:marLeft w:val="0"/>
          <w:marRight w:val="0"/>
          <w:marTop w:val="0"/>
          <w:marBottom w:val="0"/>
          <w:divBdr>
            <w:top w:val="none" w:sz="0" w:space="0" w:color="auto"/>
            <w:left w:val="none" w:sz="0" w:space="0" w:color="auto"/>
            <w:bottom w:val="none" w:sz="0" w:space="0" w:color="auto"/>
            <w:right w:val="none" w:sz="0" w:space="0" w:color="auto"/>
          </w:divBdr>
          <w:divsChild>
            <w:div w:id="761417139">
              <w:marLeft w:val="0"/>
              <w:marRight w:val="0"/>
              <w:marTop w:val="0"/>
              <w:marBottom w:val="0"/>
              <w:divBdr>
                <w:top w:val="none" w:sz="0" w:space="0" w:color="auto"/>
                <w:left w:val="none" w:sz="0" w:space="0" w:color="auto"/>
                <w:bottom w:val="none" w:sz="0" w:space="0" w:color="auto"/>
                <w:right w:val="none" w:sz="0" w:space="0" w:color="auto"/>
              </w:divBdr>
            </w:div>
            <w:div w:id="2054503825">
              <w:marLeft w:val="0"/>
              <w:marRight w:val="0"/>
              <w:marTop w:val="0"/>
              <w:marBottom w:val="0"/>
              <w:divBdr>
                <w:top w:val="none" w:sz="0" w:space="0" w:color="auto"/>
                <w:left w:val="none" w:sz="0" w:space="0" w:color="auto"/>
                <w:bottom w:val="none" w:sz="0" w:space="0" w:color="auto"/>
                <w:right w:val="none" w:sz="0" w:space="0" w:color="auto"/>
              </w:divBdr>
            </w:div>
          </w:divsChild>
        </w:div>
        <w:div w:id="87507129">
          <w:marLeft w:val="0"/>
          <w:marRight w:val="0"/>
          <w:marTop w:val="0"/>
          <w:marBottom w:val="0"/>
          <w:divBdr>
            <w:top w:val="none" w:sz="0" w:space="0" w:color="auto"/>
            <w:left w:val="none" w:sz="0" w:space="0" w:color="auto"/>
            <w:bottom w:val="none" w:sz="0" w:space="0" w:color="auto"/>
            <w:right w:val="none" w:sz="0" w:space="0" w:color="auto"/>
          </w:divBdr>
          <w:divsChild>
            <w:div w:id="288557363">
              <w:marLeft w:val="0"/>
              <w:marRight w:val="0"/>
              <w:marTop w:val="0"/>
              <w:marBottom w:val="0"/>
              <w:divBdr>
                <w:top w:val="none" w:sz="0" w:space="0" w:color="auto"/>
                <w:left w:val="none" w:sz="0" w:space="0" w:color="auto"/>
                <w:bottom w:val="none" w:sz="0" w:space="0" w:color="auto"/>
                <w:right w:val="none" w:sz="0" w:space="0" w:color="auto"/>
              </w:divBdr>
            </w:div>
          </w:divsChild>
        </w:div>
        <w:div w:id="91515857">
          <w:marLeft w:val="0"/>
          <w:marRight w:val="0"/>
          <w:marTop w:val="0"/>
          <w:marBottom w:val="0"/>
          <w:divBdr>
            <w:top w:val="none" w:sz="0" w:space="0" w:color="auto"/>
            <w:left w:val="none" w:sz="0" w:space="0" w:color="auto"/>
            <w:bottom w:val="none" w:sz="0" w:space="0" w:color="auto"/>
            <w:right w:val="none" w:sz="0" w:space="0" w:color="auto"/>
          </w:divBdr>
          <w:divsChild>
            <w:div w:id="1602837497">
              <w:marLeft w:val="0"/>
              <w:marRight w:val="0"/>
              <w:marTop w:val="0"/>
              <w:marBottom w:val="0"/>
              <w:divBdr>
                <w:top w:val="none" w:sz="0" w:space="0" w:color="auto"/>
                <w:left w:val="none" w:sz="0" w:space="0" w:color="auto"/>
                <w:bottom w:val="none" w:sz="0" w:space="0" w:color="auto"/>
                <w:right w:val="none" w:sz="0" w:space="0" w:color="auto"/>
              </w:divBdr>
            </w:div>
          </w:divsChild>
        </w:div>
        <w:div w:id="156965464">
          <w:marLeft w:val="0"/>
          <w:marRight w:val="0"/>
          <w:marTop w:val="0"/>
          <w:marBottom w:val="0"/>
          <w:divBdr>
            <w:top w:val="none" w:sz="0" w:space="0" w:color="auto"/>
            <w:left w:val="none" w:sz="0" w:space="0" w:color="auto"/>
            <w:bottom w:val="none" w:sz="0" w:space="0" w:color="auto"/>
            <w:right w:val="none" w:sz="0" w:space="0" w:color="auto"/>
          </w:divBdr>
          <w:divsChild>
            <w:div w:id="1190098425">
              <w:marLeft w:val="0"/>
              <w:marRight w:val="0"/>
              <w:marTop w:val="0"/>
              <w:marBottom w:val="0"/>
              <w:divBdr>
                <w:top w:val="none" w:sz="0" w:space="0" w:color="auto"/>
                <w:left w:val="none" w:sz="0" w:space="0" w:color="auto"/>
                <w:bottom w:val="none" w:sz="0" w:space="0" w:color="auto"/>
                <w:right w:val="none" w:sz="0" w:space="0" w:color="auto"/>
              </w:divBdr>
            </w:div>
          </w:divsChild>
        </w:div>
        <w:div w:id="217716292">
          <w:marLeft w:val="0"/>
          <w:marRight w:val="0"/>
          <w:marTop w:val="0"/>
          <w:marBottom w:val="0"/>
          <w:divBdr>
            <w:top w:val="none" w:sz="0" w:space="0" w:color="auto"/>
            <w:left w:val="none" w:sz="0" w:space="0" w:color="auto"/>
            <w:bottom w:val="none" w:sz="0" w:space="0" w:color="auto"/>
            <w:right w:val="none" w:sz="0" w:space="0" w:color="auto"/>
          </w:divBdr>
          <w:divsChild>
            <w:div w:id="1846170877">
              <w:marLeft w:val="0"/>
              <w:marRight w:val="0"/>
              <w:marTop w:val="0"/>
              <w:marBottom w:val="0"/>
              <w:divBdr>
                <w:top w:val="none" w:sz="0" w:space="0" w:color="auto"/>
                <w:left w:val="none" w:sz="0" w:space="0" w:color="auto"/>
                <w:bottom w:val="none" w:sz="0" w:space="0" w:color="auto"/>
                <w:right w:val="none" w:sz="0" w:space="0" w:color="auto"/>
              </w:divBdr>
            </w:div>
          </w:divsChild>
        </w:div>
        <w:div w:id="221019601">
          <w:marLeft w:val="0"/>
          <w:marRight w:val="0"/>
          <w:marTop w:val="0"/>
          <w:marBottom w:val="0"/>
          <w:divBdr>
            <w:top w:val="none" w:sz="0" w:space="0" w:color="auto"/>
            <w:left w:val="none" w:sz="0" w:space="0" w:color="auto"/>
            <w:bottom w:val="none" w:sz="0" w:space="0" w:color="auto"/>
            <w:right w:val="none" w:sz="0" w:space="0" w:color="auto"/>
          </w:divBdr>
          <w:divsChild>
            <w:div w:id="1160118829">
              <w:marLeft w:val="0"/>
              <w:marRight w:val="0"/>
              <w:marTop w:val="0"/>
              <w:marBottom w:val="0"/>
              <w:divBdr>
                <w:top w:val="none" w:sz="0" w:space="0" w:color="auto"/>
                <w:left w:val="none" w:sz="0" w:space="0" w:color="auto"/>
                <w:bottom w:val="none" w:sz="0" w:space="0" w:color="auto"/>
                <w:right w:val="none" w:sz="0" w:space="0" w:color="auto"/>
              </w:divBdr>
            </w:div>
          </w:divsChild>
        </w:div>
        <w:div w:id="252323579">
          <w:marLeft w:val="0"/>
          <w:marRight w:val="0"/>
          <w:marTop w:val="0"/>
          <w:marBottom w:val="0"/>
          <w:divBdr>
            <w:top w:val="none" w:sz="0" w:space="0" w:color="auto"/>
            <w:left w:val="none" w:sz="0" w:space="0" w:color="auto"/>
            <w:bottom w:val="none" w:sz="0" w:space="0" w:color="auto"/>
            <w:right w:val="none" w:sz="0" w:space="0" w:color="auto"/>
          </w:divBdr>
          <w:divsChild>
            <w:div w:id="1404716304">
              <w:marLeft w:val="0"/>
              <w:marRight w:val="0"/>
              <w:marTop w:val="0"/>
              <w:marBottom w:val="0"/>
              <w:divBdr>
                <w:top w:val="none" w:sz="0" w:space="0" w:color="auto"/>
                <w:left w:val="none" w:sz="0" w:space="0" w:color="auto"/>
                <w:bottom w:val="none" w:sz="0" w:space="0" w:color="auto"/>
                <w:right w:val="none" w:sz="0" w:space="0" w:color="auto"/>
              </w:divBdr>
            </w:div>
          </w:divsChild>
        </w:div>
        <w:div w:id="264925974">
          <w:marLeft w:val="0"/>
          <w:marRight w:val="0"/>
          <w:marTop w:val="0"/>
          <w:marBottom w:val="0"/>
          <w:divBdr>
            <w:top w:val="none" w:sz="0" w:space="0" w:color="auto"/>
            <w:left w:val="none" w:sz="0" w:space="0" w:color="auto"/>
            <w:bottom w:val="none" w:sz="0" w:space="0" w:color="auto"/>
            <w:right w:val="none" w:sz="0" w:space="0" w:color="auto"/>
          </w:divBdr>
          <w:divsChild>
            <w:div w:id="607658247">
              <w:marLeft w:val="0"/>
              <w:marRight w:val="0"/>
              <w:marTop w:val="0"/>
              <w:marBottom w:val="0"/>
              <w:divBdr>
                <w:top w:val="none" w:sz="0" w:space="0" w:color="auto"/>
                <w:left w:val="none" w:sz="0" w:space="0" w:color="auto"/>
                <w:bottom w:val="none" w:sz="0" w:space="0" w:color="auto"/>
                <w:right w:val="none" w:sz="0" w:space="0" w:color="auto"/>
              </w:divBdr>
            </w:div>
          </w:divsChild>
        </w:div>
        <w:div w:id="265819122">
          <w:marLeft w:val="0"/>
          <w:marRight w:val="0"/>
          <w:marTop w:val="0"/>
          <w:marBottom w:val="0"/>
          <w:divBdr>
            <w:top w:val="none" w:sz="0" w:space="0" w:color="auto"/>
            <w:left w:val="none" w:sz="0" w:space="0" w:color="auto"/>
            <w:bottom w:val="none" w:sz="0" w:space="0" w:color="auto"/>
            <w:right w:val="none" w:sz="0" w:space="0" w:color="auto"/>
          </w:divBdr>
          <w:divsChild>
            <w:div w:id="222255481">
              <w:marLeft w:val="0"/>
              <w:marRight w:val="0"/>
              <w:marTop w:val="0"/>
              <w:marBottom w:val="0"/>
              <w:divBdr>
                <w:top w:val="none" w:sz="0" w:space="0" w:color="auto"/>
                <w:left w:val="none" w:sz="0" w:space="0" w:color="auto"/>
                <w:bottom w:val="none" w:sz="0" w:space="0" w:color="auto"/>
                <w:right w:val="none" w:sz="0" w:space="0" w:color="auto"/>
              </w:divBdr>
            </w:div>
          </w:divsChild>
        </w:div>
        <w:div w:id="268007190">
          <w:marLeft w:val="0"/>
          <w:marRight w:val="0"/>
          <w:marTop w:val="0"/>
          <w:marBottom w:val="0"/>
          <w:divBdr>
            <w:top w:val="none" w:sz="0" w:space="0" w:color="auto"/>
            <w:left w:val="none" w:sz="0" w:space="0" w:color="auto"/>
            <w:bottom w:val="none" w:sz="0" w:space="0" w:color="auto"/>
            <w:right w:val="none" w:sz="0" w:space="0" w:color="auto"/>
          </w:divBdr>
          <w:divsChild>
            <w:div w:id="1869487250">
              <w:marLeft w:val="0"/>
              <w:marRight w:val="0"/>
              <w:marTop w:val="0"/>
              <w:marBottom w:val="0"/>
              <w:divBdr>
                <w:top w:val="none" w:sz="0" w:space="0" w:color="auto"/>
                <w:left w:val="none" w:sz="0" w:space="0" w:color="auto"/>
                <w:bottom w:val="none" w:sz="0" w:space="0" w:color="auto"/>
                <w:right w:val="none" w:sz="0" w:space="0" w:color="auto"/>
              </w:divBdr>
            </w:div>
          </w:divsChild>
        </w:div>
        <w:div w:id="353770548">
          <w:marLeft w:val="0"/>
          <w:marRight w:val="0"/>
          <w:marTop w:val="0"/>
          <w:marBottom w:val="0"/>
          <w:divBdr>
            <w:top w:val="none" w:sz="0" w:space="0" w:color="auto"/>
            <w:left w:val="none" w:sz="0" w:space="0" w:color="auto"/>
            <w:bottom w:val="none" w:sz="0" w:space="0" w:color="auto"/>
            <w:right w:val="none" w:sz="0" w:space="0" w:color="auto"/>
          </w:divBdr>
          <w:divsChild>
            <w:div w:id="1091437098">
              <w:marLeft w:val="0"/>
              <w:marRight w:val="0"/>
              <w:marTop w:val="0"/>
              <w:marBottom w:val="0"/>
              <w:divBdr>
                <w:top w:val="none" w:sz="0" w:space="0" w:color="auto"/>
                <w:left w:val="none" w:sz="0" w:space="0" w:color="auto"/>
                <w:bottom w:val="none" w:sz="0" w:space="0" w:color="auto"/>
                <w:right w:val="none" w:sz="0" w:space="0" w:color="auto"/>
              </w:divBdr>
            </w:div>
          </w:divsChild>
        </w:div>
        <w:div w:id="381371275">
          <w:marLeft w:val="0"/>
          <w:marRight w:val="0"/>
          <w:marTop w:val="0"/>
          <w:marBottom w:val="0"/>
          <w:divBdr>
            <w:top w:val="none" w:sz="0" w:space="0" w:color="auto"/>
            <w:left w:val="none" w:sz="0" w:space="0" w:color="auto"/>
            <w:bottom w:val="none" w:sz="0" w:space="0" w:color="auto"/>
            <w:right w:val="none" w:sz="0" w:space="0" w:color="auto"/>
          </w:divBdr>
          <w:divsChild>
            <w:div w:id="1856847470">
              <w:marLeft w:val="0"/>
              <w:marRight w:val="0"/>
              <w:marTop w:val="0"/>
              <w:marBottom w:val="0"/>
              <w:divBdr>
                <w:top w:val="none" w:sz="0" w:space="0" w:color="auto"/>
                <w:left w:val="none" w:sz="0" w:space="0" w:color="auto"/>
                <w:bottom w:val="none" w:sz="0" w:space="0" w:color="auto"/>
                <w:right w:val="none" w:sz="0" w:space="0" w:color="auto"/>
              </w:divBdr>
            </w:div>
          </w:divsChild>
        </w:div>
        <w:div w:id="384525581">
          <w:marLeft w:val="0"/>
          <w:marRight w:val="0"/>
          <w:marTop w:val="0"/>
          <w:marBottom w:val="0"/>
          <w:divBdr>
            <w:top w:val="none" w:sz="0" w:space="0" w:color="auto"/>
            <w:left w:val="none" w:sz="0" w:space="0" w:color="auto"/>
            <w:bottom w:val="none" w:sz="0" w:space="0" w:color="auto"/>
            <w:right w:val="none" w:sz="0" w:space="0" w:color="auto"/>
          </w:divBdr>
          <w:divsChild>
            <w:div w:id="1778867150">
              <w:marLeft w:val="0"/>
              <w:marRight w:val="0"/>
              <w:marTop w:val="0"/>
              <w:marBottom w:val="0"/>
              <w:divBdr>
                <w:top w:val="none" w:sz="0" w:space="0" w:color="auto"/>
                <w:left w:val="none" w:sz="0" w:space="0" w:color="auto"/>
                <w:bottom w:val="none" w:sz="0" w:space="0" w:color="auto"/>
                <w:right w:val="none" w:sz="0" w:space="0" w:color="auto"/>
              </w:divBdr>
            </w:div>
          </w:divsChild>
        </w:div>
        <w:div w:id="430662522">
          <w:marLeft w:val="0"/>
          <w:marRight w:val="0"/>
          <w:marTop w:val="0"/>
          <w:marBottom w:val="0"/>
          <w:divBdr>
            <w:top w:val="none" w:sz="0" w:space="0" w:color="auto"/>
            <w:left w:val="none" w:sz="0" w:space="0" w:color="auto"/>
            <w:bottom w:val="none" w:sz="0" w:space="0" w:color="auto"/>
            <w:right w:val="none" w:sz="0" w:space="0" w:color="auto"/>
          </w:divBdr>
          <w:divsChild>
            <w:div w:id="1091124502">
              <w:marLeft w:val="0"/>
              <w:marRight w:val="0"/>
              <w:marTop w:val="0"/>
              <w:marBottom w:val="0"/>
              <w:divBdr>
                <w:top w:val="none" w:sz="0" w:space="0" w:color="auto"/>
                <w:left w:val="none" w:sz="0" w:space="0" w:color="auto"/>
                <w:bottom w:val="none" w:sz="0" w:space="0" w:color="auto"/>
                <w:right w:val="none" w:sz="0" w:space="0" w:color="auto"/>
              </w:divBdr>
            </w:div>
          </w:divsChild>
        </w:div>
        <w:div w:id="434327915">
          <w:marLeft w:val="0"/>
          <w:marRight w:val="0"/>
          <w:marTop w:val="0"/>
          <w:marBottom w:val="0"/>
          <w:divBdr>
            <w:top w:val="none" w:sz="0" w:space="0" w:color="auto"/>
            <w:left w:val="none" w:sz="0" w:space="0" w:color="auto"/>
            <w:bottom w:val="none" w:sz="0" w:space="0" w:color="auto"/>
            <w:right w:val="none" w:sz="0" w:space="0" w:color="auto"/>
          </w:divBdr>
          <w:divsChild>
            <w:div w:id="125778171">
              <w:marLeft w:val="0"/>
              <w:marRight w:val="0"/>
              <w:marTop w:val="0"/>
              <w:marBottom w:val="0"/>
              <w:divBdr>
                <w:top w:val="none" w:sz="0" w:space="0" w:color="auto"/>
                <w:left w:val="none" w:sz="0" w:space="0" w:color="auto"/>
                <w:bottom w:val="none" w:sz="0" w:space="0" w:color="auto"/>
                <w:right w:val="none" w:sz="0" w:space="0" w:color="auto"/>
              </w:divBdr>
            </w:div>
          </w:divsChild>
        </w:div>
        <w:div w:id="468863938">
          <w:marLeft w:val="0"/>
          <w:marRight w:val="0"/>
          <w:marTop w:val="0"/>
          <w:marBottom w:val="0"/>
          <w:divBdr>
            <w:top w:val="none" w:sz="0" w:space="0" w:color="auto"/>
            <w:left w:val="none" w:sz="0" w:space="0" w:color="auto"/>
            <w:bottom w:val="none" w:sz="0" w:space="0" w:color="auto"/>
            <w:right w:val="none" w:sz="0" w:space="0" w:color="auto"/>
          </w:divBdr>
          <w:divsChild>
            <w:div w:id="324626810">
              <w:marLeft w:val="0"/>
              <w:marRight w:val="0"/>
              <w:marTop w:val="0"/>
              <w:marBottom w:val="0"/>
              <w:divBdr>
                <w:top w:val="none" w:sz="0" w:space="0" w:color="auto"/>
                <w:left w:val="none" w:sz="0" w:space="0" w:color="auto"/>
                <w:bottom w:val="none" w:sz="0" w:space="0" w:color="auto"/>
                <w:right w:val="none" w:sz="0" w:space="0" w:color="auto"/>
              </w:divBdr>
            </w:div>
          </w:divsChild>
        </w:div>
        <w:div w:id="490760069">
          <w:marLeft w:val="0"/>
          <w:marRight w:val="0"/>
          <w:marTop w:val="0"/>
          <w:marBottom w:val="0"/>
          <w:divBdr>
            <w:top w:val="none" w:sz="0" w:space="0" w:color="auto"/>
            <w:left w:val="none" w:sz="0" w:space="0" w:color="auto"/>
            <w:bottom w:val="none" w:sz="0" w:space="0" w:color="auto"/>
            <w:right w:val="none" w:sz="0" w:space="0" w:color="auto"/>
          </w:divBdr>
          <w:divsChild>
            <w:div w:id="703597126">
              <w:marLeft w:val="0"/>
              <w:marRight w:val="0"/>
              <w:marTop w:val="0"/>
              <w:marBottom w:val="0"/>
              <w:divBdr>
                <w:top w:val="none" w:sz="0" w:space="0" w:color="auto"/>
                <w:left w:val="none" w:sz="0" w:space="0" w:color="auto"/>
                <w:bottom w:val="none" w:sz="0" w:space="0" w:color="auto"/>
                <w:right w:val="none" w:sz="0" w:space="0" w:color="auto"/>
              </w:divBdr>
            </w:div>
          </w:divsChild>
        </w:div>
        <w:div w:id="500395584">
          <w:marLeft w:val="0"/>
          <w:marRight w:val="0"/>
          <w:marTop w:val="0"/>
          <w:marBottom w:val="0"/>
          <w:divBdr>
            <w:top w:val="none" w:sz="0" w:space="0" w:color="auto"/>
            <w:left w:val="none" w:sz="0" w:space="0" w:color="auto"/>
            <w:bottom w:val="none" w:sz="0" w:space="0" w:color="auto"/>
            <w:right w:val="none" w:sz="0" w:space="0" w:color="auto"/>
          </w:divBdr>
          <w:divsChild>
            <w:div w:id="1474180274">
              <w:marLeft w:val="0"/>
              <w:marRight w:val="0"/>
              <w:marTop w:val="0"/>
              <w:marBottom w:val="0"/>
              <w:divBdr>
                <w:top w:val="none" w:sz="0" w:space="0" w:color="auto"/>
                <w:left w:val="none" w:sz="0" w:space="0" w:color="auto"/>
                <w:bottom w:val="none" w:sz="0" w:space="0" w:color="auto"/>
                <w:right w:val="none" w:sz="0" w:space="0" w:color="auto"/>
              </w:divBdr>
            </w:div>
          </w:divsChild>
        </w:div>
        <w:div w:id="525602202">
          <w:marLeft w:val="0"/>
          <w:marRight w:val="0"/>
          <w:marTop w:val="0"/>
          <w:marBottom w:val="0"/>
          <w:divBdr>
            <w:top w:val="none" w:sz="0" w:space="0" w:color="auto"/>
            <w:left w:val="none" w:sz="0" w:space="0" w:color="auto"/>
            <w:bottom w:val="none" w:sz="0" w:space="0" w:color="auto"/>
            <w:right w:val="none" w:sz="0" w:space="0" w:color="auto"/>
          </w:divBdr>
          <w:divsChild>
            <w:div w:id="205487754">
              <w:marLeft w:val="0"/>
              <w:marRight w:val="0"/>
              <w:marTop w:val="0"/>
              <w:marBottom w:val="0"/>
              <w:divBdr>
                <w:top w:val="none" w:sz="0" w:space="0" w:color="auto"/>
                <w:left w:val="none" w:sz="0" w:space="0" w:color="auto"/>
                <w:bottom w:val="none" w:sz="0" w:space="0" w:color="auto"/>
                <w:right w:val="none" w:sz="0" w:space="0" w:color="auto"/>
              </w:divBdr>
            </w:div>
          </w:divsChild>
        </w:div>
        <w:div w:id="557472170">
          <w:marLeft w:val="0"/>
          <w:marRight w:val="0"/>
          <w:marTop w:val="0"/>
          <w:marBottom w:val="0"/>
          <w:divBdr>
            <w:top w:val="none" w:sz="0" w:space="0" w:color="auto"/>
            <w:left w:val="none" w:sz="0" w:space="0" w:color="auto"/>
            <w:bottom w:val="none" w:sz="0" w:space="0" w:color="auto"/>
            <w:right w:val="none" w:sz="0" w:space="0" w:color="auto"/>
          </w:divBdr>
          <w:divsChild>
            <w:div w:id="1549537048">
              <w:marLeft w:val="0"/>
              <w:marRight w:val="0"/>
              <w:marTop w:val="0"/>
              <w:marBottom w:val="0"/>
              <w:divBdr>
                <w:top w:val="none" w:sz="0" w:space="0" w:color="auto"/>
                <w:left w:val="none" w:sz="0" w:space="0" w:color="auto"/>
                <w:bottom w:val="none" w:sz="0" w:space="0" w:color="auto"/>
                <w:right w:val="none" w:sz="0" w:space="0" w:color="auto"/>
              </w:divBdr>
            </w:div>
          </w:divsChild>
        </w:div>
        <w:div w:id="597714586">
          <w:marLeft w:val="0"/>
          <w:marRight w:val="0"/>
          <w:marTop w:val="0"/>
          <w:marBottom w:val="0"/>
          <w:divBdr>
            <w:top w:val="none" w:sz="0" w:space="0" w:color="auto"/>
            <w:left w:val="none" w:sz="0" w:space="0" w:color="auto"/>
            <w:bottom w:val="none" w:sz="0" w:space="0" w:color="auto"/>
            <w:right w:val="none" w:sz="0" w:space="0" w:color="auto"/>
          </w:divBdr>
          <w:divsChild>
            <w:div w:id="1614899592">
              <w:marLeft w:val="0"/>
              <w:marRight w:val="0"/>
              <w:marTop w:val="0"/>
              <w:marBottom w:val="0"/>
              <w:divBdr>
                <w:top w:val="none" w:sz="0" w:space="0" w:color="auto"/>
                <w:left w:val="none" w:sz="0" w:space="0" w:color="auto"/>
                <w:bottom w:val="none" w:sz="0" w:space="0" w:color="auto"/>
                <w:right w:val="none" w:sz="0" w:space="0" w:color="auto"/>
              </w:divBdr>
            </w:div>
          </w:divsChild>
        </w:div>
        <w:div w:id="608781497">
          <w:marLeft w:val="0"/>
          <w:marRight w:val="0"/>
          <w:marTop w:val="0"/>
          <w:marBottom w:val="0"/>
          <w:divBdr>
            <w:top w:val="none" w:sz="0" w:space="0" w:color="auto"/>
            <w:left w:val="none" w:sz="0" w:space="0" w:color="auto"/>
            <w:bottom w:val="none" w:sz="0" w:space="0" w:color="auto"/>
            <w:right w:val="none" w:sz="0" w:space="0" w:color="auto"/>
          </w:divBdr>
          <w:divsChild>
            <w:div w:id="1948389141">
              <w:marLeft w:val="0"/>
              <w:marRight w:val="0"/>
              <w:marTop w:val="0"/>
              <w:marBottom w:val="0"/>
              <w:divBdr>
                <w:top w:val="none" w:sz="0" w:space="0" w:color="auto"/>
                <w:left w:val="none" w:sz="0" w:space="0" w:color="auto"/>
                <w:bottom w:val="none" w:sz="0" w:space="0" w:color="auto"/>
                <w:right w:val="none" w:sz="0" w:space="0" w:color="auto"/>
              </w:divBdr>
            </w:div>
          </w:divsChild>
        </w:div>
        <w:div w:id="639580039">
          <w:marLeft w:val="0"/>
          <w:marRight w:val="0"/>
          <w:marTop w:val="0"/>
          <w:marBottom w:val="0"/>
          <w:divBdr>
            <w:top w:val="none" w:sz="0" w:space="0" w:color="auto"/>
            <w:left w:val="none" w:sz="0" w:space="0" w:color="auto"/>
            <w:bottom w:val="none" w:sz="0" w:space="0" w:color="auto"/>
            <w:right w:val="none" w:sz="0" w:space="0" w:color="auto"/>
          </w:divBdr>
          <w:divsChild>
            <w:div w:id="1021056032">
              <w:marLeft w:val="0"/>
              <w:marRight w:val="0"/>
              <w:marTop w:val="0"/>
              <w:marBottom w:val="0"/>
              <w:divBdr>
                <w:top w:val="none" w:sz="0" w:space="0" w:color="auto"/>
                <w:left w:val="none" w:sz="0" w:space="0" w:color="auto"/>
                <w:bottom w:val="none" w:sz="0" w:space="0" w:color="auto"/>
                <w:right w:val="none" w:sz="0" w:space="0" w:color="auto"/>
              </w:divBdr>
            </w:div>
          </w:divsChild>
        </w:div>
        <w:div w:id="679545699">
          <w:marLeft w:val="0"/>
          <w:marRight w:val="0"/>
          <w:marTop w:val="0"/>
          <w:marBottom w:val="0"/>
          <w:divBdr>
            <w:top w:val="none" w:sz="0" w:space="0" w:color="auto"/>
            <w:left w:val="none" w:sz="0" w:space="0" w:color="auto"/>
            <w:bottom w:val="none" w:sz="0" w:space="0" w:color="auto"/>
            <w:right w:val="none" w:sz="0" w:space="0" w:color="auto"/>
          </w:divBdr>
          <w:divsChild>
            <w:div w:id="1533684513">
              <w:marLeft w:val="0"/>
              <w:marRight w:val="0"/>
              <w:marTop w:val="0"/>
              <w:marBottom w:val="0"/>
              <w:divBdr>
                <w:top w:val="none" w:sz="0" w:space="0" w:color="auto"/>
                <w:left w:val="none" w:sz="0" w:space="0" w:color="auto"/>
                <w:bottom w:val="none" w:sz="0" w:space="0" w:color="auto"/>
                <w:right w:val="none" w:sz="0" w:space="0" w:color="auto"/>
              </w:divBdr>
            </w:div>
          </w:divsChild>
        </w:div>
        <w:div w:id="709845106">
          <w:marLeft w:val="0"/>
          <w:marRight w:val="0"/>
          <w:marTop w:val="0"/>
          <w:marBottom w:val="0"/>
          <w:divBdr>
            <w:top w:val="none" w:sz="0" w:space="0" w:color="auto"/>
            <w:left w:val="none" w:sz="0" w:space="0" w:color="auto"/>
            <w:bottom w:val="none" w:sz="0" w:space="0" w:color="auto"/>
            <w:right w:val="none" w:sz="0" w:space="0" w:color="auto"/>
          </w:divBdr>
          <w:divsChild>
            <w:div w:id="1219515299">
              <w:marLeft w:val="0"/>
              <w:marRight w:val="0"/>
              <w:marTop w:val="0"/>
              <w:marBottom w:val="0"/>
              <w:divBdr>
                <w:top w:val="none" w:sz="0" w:space="0" w:color="auto"/>
                <w:left w:val="none" w:sz="0" w:space="0" w:color="auto"/>
                <w:bottom w:val="none" w:sz="0" w:space="0" w:color="auto"/>
                <w:right w:val="none" w:sz="0" w:space="0" w:color="auto"/>
              </w:divBdr>
            </w:div>
          </w:divsChild>
        </w:div>
        <w:div w:id="752161977">
          <w:marLeft w:val="0"/>
          <w:marRight w:val="0"/>
          <w:marTop w:val="0"/>
          <w:marBottom w:val="0"/>
          <w:divBdr>
            <w:top w:val="none" w:sz="0" w:space="0" w:color="auto"/>
            <w:left w:val="none" w:sz="0" w:space="0" w:color="auto"/>
            <w:bottom w:val="none" w:sz="0" w:space="0" w:color="auto"/>
            <w:right w:val="none" w:sz="0" w:space="0" w:color="auto"/>
          </w:divBdr>
          <w:divsChild>
            <w:div w:id="1199851713">
              <w:marLeft w:val="0"/>
              <w:marRight w:val="0"/>
              <w:marTop w:val="0"/>
              <w:marBottom w:val="0"/>
              <w:divBdr>
                <w:top w:val="none" w:sz="0" w:space="0" w:color="auto"/>
                <w:left w:val="none" w:sz="0" w:space="0" w:color="auto"/>
                <w:bottom w:val="none" w:sz="0" w:space="0" w:color="auto"/>
                <w:right w:val="none" w:sz="0" w:space="0" w:color="auto"/>
              </w:divBdr>
            </w:div>
          </w:divsChild>
        </w:div>
        <w:div w:id="830293305">
          <w:marLeft w:val="0"/>
          <w:marRight w:val="0"/>
          <w:marTop w:val="0"/>
          <w:marBottom w:val="0"/>
          <w:divBdr>
            <w:top w:val="none" w:sz="0" w:space="0" w:color="auto"/>
            <w:left w:val="none" w:sz="0" w:space="0" w:color="auto"/>
            <w:bottom w:val="none" w:sz="0" w:space="0" w:color="auto"/>
            <w:right w:val="none" w:sz="0" w:space="0" w:color="auto"/>
          </w:divBdr>
          <w:divsChild>
            <w:div w:id="222370946">
              <w:marLeft w:val="0"/>
              <w:marRight w:val="0"/>
              <w:marTop w:val="0"/>
              <w:marBottom w:val="0"/>
              <w:divBdr>
                <w:top w:val="none" w:sz="0" w:space="0" w:color="auto"/>
                <w:left w:val="none" w:sz="0" w:space="0" w:color="auto"/>
                <w:bottom w:val="none" w:sz="0" w:space="0" w:color="auto"/>
                <w:right w:val="none" w:sz="0" w:space="0" w:color="auto"/>
              </w:divBdr>
            </w:div>
          </w:divsChild>
        </w:div>
        <w:div w:id="884951608">
          <w:marLeft w:val="0"/>
          <w:marRight w:val="0"/>
          <w:marTop w:val="0"/>
          <w:marBottom w:val="0"/>
          <w:divBdr>
            <w:top w:val="none" w:sz="0" w:space="0" w:color="auto"/>
            <w:left w:val="none" w:sz="0" w:space="0" w:color="auto"/>
            <w:bottom w:val="none" w:sz="0" w:space="0" w:color="auto"/>
            <w:right w:val="none" w:sz="0" w:space="0" w:color="auto"/>
          </w:divBdr>
          <w:divsChild>
            <w:div w:id="31926596">
              <w:marLeft w:val="0"/>
              <w:marRight w:val="0"/>
              <w:marTop w:val="0"/>
              <w:marBottom w:val="0"/>
              <w:divBdr>
                <w:top w:val="none" w:sz="0" w:space="0" w:color="auto"/>
                <w:left w:val="none" w:sz="0" w:space="0" w:color="auto"/>
                <w:bottom w:val="none" w:sz="0" w:space="0" w:color="auto"/>
                <w:right w:val="none" w:sz="0" w:space="0" w:color="auto"/>
              </w:divBdr>
            </w:div>
          </w:divsChild>
        </w:div>
        <w:div w:id="904802814">
          <w:marLeft w:val="0"/>
          <w:marRight w:val="0"/>
          <w:marTop w:val="0"/>
          <w:marBottom w:val="0"/>
          <w:divBdr>
            <w:top w:val="none" w:sz="0" w:space="0" w:color="auto"/>
            <w:left w:val="none" w:sz="0" w:space="0" w:color="auto"/>
            <w:bottom w:val="none" w:sz="0" w:space="0" w:color="auto"/>
            <w:right w:val="none" w:sz="0" w:space="0" w:color="auto"/>
          </w:divBdr>
          <w:divsChild>
            <w:div w:id="1862089393">
              <w:marLeft w:val="0"/>
              <w:marRight w:val="0"/>
              <w:marTop w:val="0"/>
              <w:marBottom w:val="0"/>
              <w:divBdr>
                <w:top w:val="none" w:sz="0" w:space="0" w:color="auto"/>
                <w:left w:val="none" w:sz="0" w:space="0" w:color="auto"/>
                <w:bottom w:val="none" w:sz="0" w:space="0" w:color="auto"/>
                <w:right w:val="none" w:sz="0" w:space="0" w:color="auto"/>
              </w:divBdr>
            </w:div>
          </w:divsChild>
        </w:div>
        <w:div w:id="910774565">
          <w:marLeft w:val="0"/>
          <w:marRight w:val="0"/>
          <w:marTop w:val="0"/>
          <w:marBottom w:val="0"/>
          <w:divBdr>
            <w:top w:val="none" w:sz="0" w:space="0" w:color="auto"/>
            <w:left w:val="none" w:sz="0" w:space="0" w:color="auto"/>
            <w:bottom w:val="none" w:sz="0" w:space="0" w:color="auto"/>
            <w:right w:val="none" w:sz="0" w:space="0" w:color="auto"/>
          </w:divBdr>
          <w:divsChild>
            <w:div w:id="2021392862">
              <w:marLeft w:val="0"/>
              <w:marRight w:val="0"/>
              <w:marTop w:val="0"/>
              <w:marBottom w:val="0"/>
              <w:divBdr>
                <w:top w:val="none" w:sz="0" w:space="0" w:color="auto"/>
                <w:left w:val="none" w:sz="0" w:space="0" w:color="auto"/>
                <w:bottom w:val="none" w:sz="0" w:space="0" w:color="auto"/>
                <w:right w:val="none" w:sz="0" w:space="0" w:color="auto"/>
              </w:divBdr>
            </w:div>
          </w:divsChild>
        </w:div>
        <w:div w:id="920791423">
          <w:marLeft w:val="0"/>
          <w:marRight w:val="0"/>
          <w:marTop w:val="0"/>
          <w:marBottom w:val="0"/>
          <w:divBdr>
            <w:top w:val="none" w:sz="0" w:space="0" w:color="auto"/>
            <w:left w:val="none" w:sz="0" w:space="0" w:color="auto"/>
            <w:bottom w:val="none" w:sz="0" w:space="0" w:color="auto"/>
            <w:right w:val="none" w:sz="0" w:space="0" w:color="auto"/>
          </w:divBdr>
          <w:divsChild>
            <w:div w:id="2036926396">
              <w:marLeft w:val="0"/>
              <w:marRight w:val="0"/>
              <w:marTop w:val="0"/>
              <w:marBottom w:val="0"/>
              <w:divBdr>
                <w:top w:val="none" w:sz="0" w:space="0" w:color="auto"/>
                <w:left w:val="none" w:sz="0" w:space="0" w:color="auto"/>
                <w:bottom w:val="none" w:sz="0" w:space="0" w:color="auto"/>
                <w:right w:val="none" w:sz="0" w:space="0" w:color="auto"/>
              </w:divBdr>
            </w:div>
          </w:divsChild>
        </w:div>
        <w:div w:id="1039667568">
          <w:marLeft w:val="0"/>
          <w:marRight w:val="0"/>
          <w:marTop w:val="0"/>
          <w:marBottom w:val="0"/>
          <w:divBdr>
            <w:top w:val="none" w:sz="0" w:space="0" w:color="auto"/>
            <w:left w:val="none" w:sz="0" w:space="0" w:color="auto"/>
            <w:bottom w:val="none" w:sz="0" w:space="0" w:color="auto"/>
            <w:right w:val="none" w:sz="0" w:space="0" w:color="auto"/>
          </w:divBdr>
          <w:divsChild>
            <w:div w:id="322394937">
              <w:marLeft w:val="0"/>
              <w:marRight w:val="0"/>
              <w:marTop w:val="0"/>
              <w:marBottom w:val="0"/>
              <w:divBdr>
                <w:top w:val="none" w:sz="0" w:space="0" w:color="auto"/>
                <w:left w:val="none" w:sz="0" w:space="0" w:color="auto"/>
                <w:bottom w:val="none" w:sz="0" w:space="0" w:color="auto"/>
                <w:right w:val="none" w:sz="0" w:space="0" w:color="auto"/>
              </w:divBdr>
            </w:div>
          </w:divsChild>
        </w:div>
        <w:div w:id="1075665073">
          <w:marLeft w:val="0"/>
          <w:marRight w:val="0"/>
          <w:marTop w:val="0"/>
          <w:marBottom w:val="0"/>
          <w:divBdr>
            <w:top w:val="none" w:sz="0" w:space="0" w:color="auto"/>
            <w:left w:val="none" w:sz="0" w:space="0" w:color="auto"/>
            <w:bottom w:val="none" w:sz="0" w:space="0" w:color="auto"/>
            <w:right w:val="none" w:sz="0" w:space="0" w:color="auto"/>
          </w:divBdr>
          <w:divsChild>
            <w:div w:id="188372052">
              <w:marLeft w:val="0"/>
              <w:marRight w:val="0"/>
              <w:marTop w:val="0"/>
              <w:marBottom w:val="0"/>
              <w:divBdr>
                <w:top w:val="none" w:sz="0" w:space="0" w:color="auto"/>
                <w:left w:val="none" w:sz="0" w:space="0" w:color="auto"/>
                <w:bottom w:val="none" w:sz="0" w:space="0" w:color="auto"/>
                <w:right w:val="none" w:sz="0" w:space="0" w:color="auto"/>
              </w:divBdr>
            </w:div>
          </w:divsChild>
        </w:div>
        <w:div w:id="1078987610">
          <w:marLeft w:val="0"/>
          <w:marRight w:val="0"/>
          <w:marTop w:val="0"/>
          <w:marBottom w:val="0"/>
          <w:divBdr>
            <w:top w:val="none" w:sz="0" w:space="0" w:color="auto"/>
            <w:left w:val="none" w:sz="0" w:space="0" w:color="auto"/>
            <w:bottom w:val="none" w:sz="0" w:space="0" w:color="auto"/>
            <w:right w:val="none" w:sz="0" w:space="0" w:color="auto"/>
          </w:divBdr>
          <w:divsChild>
            <w:div w:id="1250118222">
              <w:marLeft w:val="0"/>
              <w:marRight w:val="0"/>
              <w:marTop w:val="0"/>
              <w:marBottom w:val="0"/>
              <w:divBdr>
                <w:top w:val="none" w:sz="0" w:space="0" w:color="auto"/>
                <w:left w:val="none" w:sz="0" w:space="0" w:color="auto"/>
                <w:bottom w:val="none" w:sz="0" w:space="0" w:color="auto"/>
                <w:right w:val="none" w:sz="0" w:space="0" w:color="auto"/>
              </w:divBdr>
            </w:div>
          </w:divsChild>
        </w:div>
        <w:div w:id="1105611702">
          <w:marLeft w:val="0"/>
          <w:marRight w:val="0"/>
          <w:marTop w:val="0"/>
          <w:marBottom w:val="0"/>
          <w:divBdr>
            <w:top w:val="none" w:sz="0" w:space="0" w:color="auto"/>
            <w:left w:val="none" w:sz="0" w:space="0" w:color="auto"/>
            <w:bottom w:val="none" w:sz="0" w:space="0" w:color="auto"/>
            <w:right w:val="none" w:sz="0" w:space="0" w:color="auto"/>
          </w:divBdr>
          <w:divsChild>
            <w:div w:id="676343399">
              <w:marLeft w:val="0"/>
              <w:marRight w:val="0"/>
              <w:marTop w:val="0"/>
              <w:marBottom w:val="0"/>
              <w:divBdr>
                <w:top w:val="none" w:sz="0" w:space="0" w:color="auto"/>
                <w:left w:val="none" w:sz="0" w:space="0" w:color="auto"/>
                <w:bottom w:val="none" w:sz="0" w:space="0" w:color="auto"/>
                <w:right w:val="none" w:sz="0" w:space="0" w:color="auto"/>
              </w:divBdr>
            </w:div>
          </w:divsChild>
        </w:div>
        <w:div w:id="1182671808">
          <w:marLeft w:val="0"/>
          <w:marRight w:val="0"/>
          <w:marTop w:val="0"/>
          <w:marBottom w:val="0"/>
          <w:divBdr>
            <w:top w:val="none" w:sz="0" w:space="0" w:color="auto"/>
            <w:left w:val="none" w:sz="0" w:space="0" w:color="auto"/>
            <w:bottom w:val="none" w:sz="0" w:space="0" w:color="auto"/>
            <w:right w:val="none" w:sz="0" w:space="0" w:color="auto"/>
          </w:divBdr>
          <w:divsChild>
            <w:div w:id="304237101">
              <w:marLeft w:val="0"/>
              <w:marRight w:val="0"/>
              <w:marTop w:val="0"/>
              <w:marBottom w:val="0"/>
              <w:divBdr>
                <w:top w:val="none" w:sz="0" w:space="0" w:color="auto"/>
                <w:left w:val="none" w:sz="0" w:space="0" w:color="auto"/>
                <w:bottom w:val="none" w:sz="0" w:space="0" w:color="auto"/>
                <w:right w:val="none" w:sz="0" w:space="0" w:color="auto"/>
              </w:divBdr>
            </w:div>
          </w:divsChild>
        </w:div>
        <w:div w:id="1201750605">
          <w:marLeft w:val="0"/>
          <w:marRight w:val="0"/>
          <w:marTop w:val="0"/>
          <w:marBottom w:val="0"/>
          <w:divBdr>
            <w:top w:val="none" w:sz="0" w:space="0" w:color="auto"/>
            <w:left w:val="none" w:sz="0" w:space="0" w:color="auto"/>
            <w:bottom w:val="none" w:sz="0" w:space="0" w:color="auto"/>
            <w:right w:val="none" w:sz="0" w:space="0" w:color="auto"/>
          </w:divBdr>
          <w:divsChild>
            <w:div w:id="1420712211">
              <w:marLeft w:val="0"/>
              <w:marRight w:val="0"/>
              <w:marTop w:val="0"/>
              <w:marBottom w:val="0"/>
              <w:divBdr>
                <w:top w:val="none" w:sz="0" w:space="0" w:color="auto"/>
                <w:left w:val="none" w:sz="0" w:space="0" w:color="auto"/>
                <w:bottom w:val="none" w:sz="0" w:space="0" w:color="auto"/>
                <w:right w:val="none" w:sz="0" w:space="0" w:color="auto"/>
              </w:divBdr>
            </w:div>
          </w:divsChild>
        </w:div>
        <w:div w:id="1210461338">
          <w:marLeft w:val="0"/>
          <w:marRight w:val="0"/>
          <w:marTop w:val="0"/>
          <w:marBottom w:val="0"/>
          <w:divBdr>
            <w:top w:val="none" w:sz="0" w:space="0" w:color="auto"/>
            <w:left w:val="none" w:sz="0" w:space="0" w:color="auto"/>
            <w:bottom w:val="none" w:sz="0" w:space="0" w:color="auto"/>
            <w:right w:val="none" w:sz="0" w:space="0" w:color="auto"/>
          </w:divBdr>
          <w:divsChild>
            <w:div w:id="1075394986">
              <w:marLeft w:val="0"/>
              <w:marRight w:val="0"/>
              <w:marTop w:val="0"/>
              <w:marBottom w:val="0"/>
              <w:divBdr>
                <w:top w:val="none" w:sz="0" w:space="0" w:color="auto"/>
                <w:left w:val="none" w:sz="0" w:space="0" w:color="auto"/>
                <w:bottom w:val="none" w:sz="0" w:space="0" w:color="auto"/>
                <w:right w:val="none" w:sz="0" w:space="0" w:color="auto"/>
              </w:divBdr>
            </w:div>
          </w:divsChild>
        </w:div>
        <w:div w:id="1235624007">
          <w:marLeft w:val="0"/>
          <w:marRight w:val="0"/>
          <w:marTop w:val="0"/>
          <w:marBottom w:val="0"/>
          <w:divBdr>
            <w:top w:val="none" w:sz="0" w:space="0" w:color="auto"/>
            <w:left w:val="none" w:sz="0" w:space="0" w:color="auto"/>
            <w:bottom w:val="none" w:sz="0" w:space="0" w:color="auto"/>
            <w:right w:val="none" w:sz="0" w:space="0" w:color="auto"/>
          </w:divBdr>
          <w:divsChild>
            <w:div w:id="1848402022">
              <w:marLeft w:val="0"/>
              <w:marRight w:val="0"/>
              <w:marTop w:val="0"/>
              <w:marBottom w:val="0"/>
              <w:divBdr>
                <w:top w:val="none" w:sz="0" w:space="0" w:color="auto"/>
                <w:left w:val="none" w:sz="0" w:space="0" w:color="auto"/>
                <w:bottom w:val="none" w:sz="0" w:space="0" w:color="auto"/>
                <w:right w:val="none" w:sz="0" w:space="0" w:color="auto"/>
              </w:divBdr>
            </w:div>
          </w:divsChild>
        </w:div>
        <w:div w:id="1288849044">
          <w:marLeft w:val="0"/>
          <w:marRight w:val="0"/>
          <w:marTop w:val="0"/>
          <w:marBottom w:val="0"/>
          <w:divBdr>
            <w:top w:val="none" w:sz="0" w:space="0" w:color="auto"/>
            <w:left w:val="none" w:sz="0" w:space="0" w:color="auto"/>
            <w:bottom w:val="none" w:sz="0" w:space="0" w:color="auto"/>
            <w:right w:val="none" w:sz="0" w:space="0" w:color="auto"/>
          </w:divBdr>
          <w:divsChild>
            <w:div w:id="1453549307">
              <w:marLeft w:val="0"/>
              <w:marRight w:val="0"/>
              <w:marTop w:val="0"/>
              <w:marBottom w:val="0"/>
              <w:divBdr>
                <w:top w:val="none" w:sz="0" w:space="0" w:color="auto"/>
                <w:left w:val="none" w:sz="0" w:space="0" w:color="auto"/>
                <w:bottom w:val="none" w:sz="0" w:space="0" w:color="auto"/>
                <w:right w:val="none" w:sz="0" w:space="0" w:color="auto"/>
              </w:divBdr>
            </w:div>
          </w:divsChild>
        </w:div>
        <w:div w:id="1359937593">
          <w:marLeft w:val="0"/>
          <w:marRight w:val="0"/>
          <w:marTop w:val="0"/>
          <w:marBottom w:val="0"/>
          <w:divBdr>
            <w:top w:val="none" w:sz="0" w:space="0" w:color="auto"/>
            <w:left w:val="none" w:sz="0" w:space="0" w:color="auto"/>
            <w:bottom w:val="none" w:sz="0" w:space="0" w:color="auto"/>
            <w:right w:val="none" w:sz="0" w:space="0" w:color="auto"/>
          </w:divBdr>
          <w:divsChild>
            <w:div w:id="1714309220">
              <w:marLeft w:val="0"/>
              <w:marRight w:val="0"/>
              <w:marTop w:val="0"/>
              <w:marBottom w:val="0"/>
              <w:divBdr>
                <w:top w:val="none" w:sz="0" w:space="0" w:color="auto"/>
                <w:left w:val="none" w:sz="0" w:space="0" w:color="auto"/>
                <w:bottom w:val="none" w:sz="0" w:space="0" w:color="auto"/>
                <w:right w:val="none" w:sz="0" w:space="0" w:color="auto"/>
              </w:divBdr>
            </w:div>
          </w:divsChild>
        </w:div>
        <w:div w:id="1382943233">
          <w:marLeft w:val="0"/>
          <w:marRight w:val="0"/>
          <w:marTop w:val="0"/>
          <w:marBottom w:val="0"/>
          <w:divBdr>
            <w:top w:val="none" w:sz="0" w:space="0" w:color="auto"/>
            <w:left w:val="none" w:sz="0" w:space="0" w:color="auto"/>
            <w:bottom w:val="none" w:sz="0" w:space="0" w:color="auto"/>
            <w:right w:val="none" w:sz="0" w:space="0" w:color="auto"/>
          </w:divBdr>
          <w:divsChild>
            <w:div w:id="1644116491">
              <w:marLeft w:val="0"/>
              <w:marRight w:val="0"/>
              <w:marTop w:val="0"/>
              <w:marBottom w:val="0"/>
              <w:divBdr>
                <w:top w:val="none" w:sz="0" w:space="0" w:color="auto"/>
                <w:left w:val="none" w:sz="0" w:space="0" w:color="auto"/>
                <w:bottom w:val="none" w:sz="0" w:space="0" w:color="auto"/>
                <w:right w:val="none" w:sz="0" w:space="0" w:color="auto"/>
              </w:divBdr>
            </w:div>
          </w:divsChild>
        </w:div>
        <w:div w:id="1400982205">
          <w:marLeft w:val="0"/>
          <w:marRight w:val="0"/>
          <w:marTop w:val="0"/>
          <w:marBottom w:val="0"/>
          <w:divBdr>
            <w:top w:val="none" w:sz="0" w:space="0" w:color="auto"/>
            <w:left w:val="none" w:sz="0" w:space="0" w:color="auto"/>
            <w:bottom w:val="none" w:sz="0" w:space="0" w:color="auto"/>
            <w:right w:val="none" w:sz="0" w:space="0" w:color="auto"/>
          </w:divBdr>
          <w:divsChild>
            <w:div w:id="1768306397">
              <w:marLeft w:val="0"/>
              <w:marRight w:val="0"/>
              <w:marTop w:val="0"/>
              <w:marBottom w:val="0"/>
              <w:divBdr>
                <w:top w:val="none" w:sz="0" w:space="0" w:color="auto"/>
                <w:left w:val="none" w:sz="0" w:space="0" w:color="auto"/>
                <w:bottom w:val="none" w:sz="0" w:space="0" w:color="auto"/>
                <w:right w:val="none" w:sz="0" w:space="0" w:color="auto"/>
              </w:divBdr>
            </w:div>
          </w:divsChild>
        </w:div>
        <w:div w:id="1439065491">
          <w:marLeft w:val="0"/>
          <w:marRight w:val="0"/>
          <w:marTop w:val="0"/>
          <w:marBottom w:val="0"/>
          <w:divBdr>
            <w:top w:val="none" w:sz="0" w:space="0" w:color="auto"/>
            <w:left w:val="none" w:sz="0" w:space="0" w:color="auto"/>
            <w:bottom w:val="none" w:sz="0" w:space="0" w:color="auto"/>
            <w:right w:val="none" w:sz="0" w:space="0" w:color="auto"/>
          </w:divBdr>
          <w:divsChild>
            <w:div w:id="1653295511">
              <w:marLeft w:val="0"/>
              <w:marRight w:val="0"/>
              <w:marTop w:val="0"/>
              <w:marBottom w:val="0"/>
              <w:divBdr>
                <w:top w:val="none" w:sz="0" w:space="0" w:color="auto"/>
                <w:left w:val="none" w:sz="0" w:space="0" w:color="auto"/>
                <w:bottom w:val="none" w:sz="0" w:space="0" w:color="auto"/>
                <w:right w:val="none" w:sz="0" w:space="0" w:color="auto"/>
              </w:divBdr>
            </w:div>
          </w:divsChild>
        </w:div>
        <w:div w:id="1445077249">
          <w:marLeft w:val="0"/>
          <w:marRight w:val="0"/>
          <w:marTop w:val="0"/>
          <w:marBottom w:val="0"/>
          <w:divBdr>
            <w:top w:val="none" w:sz="0" w:space="0" w:color="auto"/>
            <w:left w:val="none" w:sz="0" w:space="0" w:color="auto"/>
            <w:bottom w:val="none" w:sz="0" w:space="0" w:color="auto"/>
            <w:right w:val="none" w:sz="0" w:space="0" w:color="auto"/>
          </w:divBdr>
          <w:divsChild>
            <w:div w:id="1262564811">
              <w:marLeft w:val="0"/>
              <w:marRight w:val="0"/>
              <w:marTop w:val="0"/>
              <w:marBottom w:val="0"/>
              <w:divBdr>
                <w:top w:val="none" w:sz="0" w:space="0" w:color="auto"/>
                <w:left w:val="none" w:sz="0" w:space="0" w:color="auto"/>
                <w:bottom w:val="none" w:sz="0" w:space="0" w:color="auto"/>
                <w:right w:val="none" w:sz="0" w:space="0" w:color="auto"/>
              </w:divBdr>
            </w:div>
          </w:divsChild>
        </w:div>
        <w:div w:id="1483622689">
          <w:marLeft w:val="0"/>
          <w:marRight w:val="0"/>
          <w:marTop w:val="0"/>
          <w:marBottom w:val="0"/>
          <w:divBdr>
            <w:top w:val="none" w:sz="0" w:space="0" w:color="auto"/>
            <w:left w:val="none" w:sz="0" w:space="0" w:color="auto"/>
            <w:bottom w:val="none" w:sz="0" w:space="0" w:color="auto"/>
            <w:right w:val="none" w:sz="0" w:space="0" w:color="auto"/>
          </w:divBdr>
          <w:divsChild>
            <w:div w:id="41449336">
              <w:marLeft w:val="0"/>
              <w:marRight w:val="0"/>
              <w:marTop w:val="0"/>
              <w:marBottom w:val="0"/>
              <w:divBdr>
                <w:top w:val="none" w:sz="0" w:space="0" w:color="auto"/>
                <w:left w:val="none" w:sz="0" w:space="0" w:color="auto"/>
                <w:bottom w:val="none" w:sz="0" w:space="0" w:color="auto"/>
                <w:right w:val="none" w:sz="0" w:space="0" w:color="auto"/>
              </w:divBdr>
            </w:div>
          </w:divsChild>
        </w:div>
        <w:div w:id="1524783543">
          <w:marLeft w:val="0"/>
          <w:marRight w:val="0"/>
          <w:marTop w:val="0"/>
          <w:marBottom w:val="0"/>
          <w:divBdr>
            <w:top w:val="none" w:sz="0" w:space="0" w:color="auto"/>
            <w:left w:val="none" w:sz="0" w:space="0" w:color="auto"/>
            <w:bottom w:val="none" w:sz="0" w:space="0" w:color="auto"/>
            <w:right w:val="none" w:sz="0" w:space="0" w:color="auto"/>
          </w:divBdr>
          <w:divsChild>
            <w:div w:id="1105996655">
              <w:marLeft w:val="0"/>
              <w:marRight w:val="0"/>
              <w:marTop w:val="0"/>
              <w:marBottom w:val="0"/>
              <w:divBdr>
                <w:top w:val="none" w:sz="0" w:space="0" w:color="auto"/>
                <w:left w:val="none" w:sz="0" w:space="0" w:color="auto"/>
                <w:bottom w:val="none" w:sz="0" w:space="0" w:color="auto"/>
                <w:right w:val="none" w:sz="0" w:space="0" w:color="auto"/>
              </w:divBdr>
            </w:div>
          </w:divsChild>
        </w:div>
        <w:div w:id="1551723631">
          <w:marLeft w:val="0"/>
          <w:marRight w:val="0"/>
          <w:marTop w:val="0"/>
          <w:marBottom w:val="0"/>
          <w:divBdr>
            <w:top w:val="none" w:sz="0" w:space="0" w:color="auto"/>
            <w:left w:val="none" w:sz="0" w:space="0" w:color="auto"/>
            <w:bottom w:val="none" w:sz="0" w:space="0" w:color="auto"/>
            <w:right w:val="none" w:sz="0" w:space="0" w:color="auto"/>
          </w:divBdr>
          <w:divsChild>
            <w:div w:id="1071581324">
              <w:marLeft w:val="0"/>
              <w:marRight w:val="0"/>
              <w:marTop w:val="0"/>
              <w:marBottom w:val="0"/>
              <w:divBdr>
                <w:top w:val="none" w:sz="0" w:space="0" w:color="auto"/>
                <w:left w:val="none" w:sz="0" w:space="0" w:color="auto"/>
                <w:bottom w:val="none" w:sz="0" w:space="0" w:color="auto"/>
                <w:right w:val="none" w:sz="0" w:space="0" w:color="auto"/>
              </w:divBdr>
            </w:div>
          </w:divsChild>
        </w:div>
        <w:div w:id="1620062646">
          <w:marLeft w:val="0"/>
          <w:marRight w:val="0"/>
          <w:marTop w:val="0"/>
          <w:marBottom w:val="0"/>
          <w:divBdr>
            <w:top w:val="none" w:sz="0" w:space="0" w:color="auto"/>
            <w:left w:val="none" w:sz="0" w:space="0" w:color="auto"/>
            <w:bottom w:val="none" w:sz="0" w:space="0" w:color="auto"/>
            <w:right w:val="none" w:sz="0" w:space="0" w:color="auto"/>
          </w:divBdr>
          <w:divsChild>
            <w:div w:id="294801096">
              <w:marLeft w:val="0"/>
              <w:marRight w:val="0"/>
              <w:marTop w:val="0"/>
              <w:marBottom w:val="0"/>
              <w:divBdr>
                <w:top w:val="none" w:sz="0" w:space="0" w:color="auto"/>
                <w:left w:val="none" w:sz="0" w:space="0" w:color="auto"/>
                <w:bottom w:val="none" w:sz="0" w:space="0" w:color="auto"/>
                <w:right w:val="none" w:sz="0" w:space="0" w:color="auto"/>
              </w:divBdr>
            </w:div>
          </w:divsChild>
        </w:div>
        <w:div w:id="1667705219">
          <w:marLeft w:val="0"/>
          <w:marRight w:val="0"/>
          <w:marTop w:val="0"/>
          <w:marBottom w:val="0"/>
          <w:divBdr>
            <w:top w:val="none" w:sz="0" w:space="0" w:color="auto"/>
            <w:left w:val="none" w:sz="0" w:space="0" w:color="auto"/>
            <w:bottom w:val="none" w:sz="0" w:space="0" w:color="auto"/>
            <w:right w:val="none" w:sz="0" w:space="0" w:color="auto"/>
          </w:divBdr>
          <w:divsChild>
            <w:div w:id="1963537357">
              <w:marLeft w:val="0"/>
              <w:marRight w:val="0"/>
              <w:marTop w:val="0"/>
              <w:marBottom w:val="0"/>
              <w:divBdr>
                <w:top w:val="none" w:sz="0" w:space="0" w:color="auto"/>
                <w:left w:val="none" w:sz="0" w:space="0" w:color="auto"/>
                <w:bottom w:val="none" w:sz="0" w:space="0" w:color="auto"/>
                <w:right w:val="none" w:sz="0" w:space="0" w:color="auto"/>
              </w:divBdr>
            </w:div>
          </w:divsChild>
        </w:div>
        <w:div w:id="1682197361">
          <w:marLeft w:val="0"/>
          <w:marRight w:val="0"/>
          <w:marTop w:val="0"/>
          <w:marBottom w:val="0"/>
          <w:divBdr>
            <w:top w:val="none" w:sz="0" w:space="0" w:color="auto"/>
            <w:left w:val="none" w:sz="0" w:space="0" w:color="auto"/>
            <w:bottom w:val="none" w:sz="0" w:space="0" w:color="auto"/>
            <w:right w:val="none" w:sz="0" w:space="0" w:color="auto"/>
          </w:divBdr>
          <w:divsChild>
            <w:div w:id="670564965">
              <w:marLeft w:val="0"/>
              <w:marRight w:val="0"/>
              <w:marTop w:val="0"/>
              <w:marBottom w:val="0"/>
              <w:divBdr>
                <w:top w:val="none" w:sz="0" w:space="0" w:color="auto"/>
                <w:left w:val="none" w:sz="0" w:space="0" w:color="auto"/>
                <w:bottom w:val="none" w:sz="0" w:space="0" w:color="auto"/>
                <w:right w:val="none" w:sz="0" w:space="0" w:color="auto"/>
              </w:divBdr>
            </w:div>
          </w:divsChild>
        </w:div>
        <w:div w:id="1731493786">
          <w:marLeft w:val="0"/>
          <w:marRight w:val="0"/>
          <w:marTop w:val="0"/>
          <w:marBottom w:val="0"/>
          <w:divBdr>
            <w:top w:val="none" w:sz="0" w:space="0" w:color="auto"/>
            <w:left w:val="none" w:sz="0" w:space="0" w:color="auto"/>
            <w:bottom w:val="none" w:sz="0" w:space="0" w:color="auto"/>
            <w:right w:val="none" w:sz="0" w:space="0" w:color="auto"/>
          </w:divBdr>
          <w:divsChild>
            <w:div w:id="1992321785">
              <w:marLeft w:val="0"/>
              <w:marRight w:val="0"/>
              <w:marTop w:val="0"/>
              <w:marBottom w:val="0"/>
              <w:divBdr>
                <w:top w:val="none" w:sz="0" w:space="0" w:color="auto"/>
                <w:left w:val="none" w:sz="0" w:space="0" w:color="auto"/>
                <w:bottom w:val="none" w:sz="0" w:space="0" w:color="auto"/>
                <w:right w:val="none" w:sz="0" w:space="0" w:color="auto"/>
              </w:divBdr>
            </w:div>
          </w:divsChild>
        </w:div>
        <w:div w:id="1751735759">
          <w:marLeft w:val="0"/>
          <w:marRight w:val="0"/>
          <w:marTop w:val="0"/>
          <w:marBottom w:val="0"/>
          <w:divBdr>
            <w:top w:val="none" w:sz="0" w:space="0" w:color="auto"/>
            <w:left w:val="none" w:sz="0" w:space="0" w:color="auto"/>
            <w:bottom w:val="none" w:sz="0" w:space="0" w:color="auto"/>
            <w:right w:val="none" w:sz="0" w:space="0" w:color="auto"/>
          </w:divBdr>
          <w:divsChild>
            <w:div w:id="1618373315">
              <w:marLeft w:val="0"/>
              <w:marRight w:val="0"/>
              <w:marTop w:val="0"/>
              <w:marBottom w:val="0"/>
              <w:divBdr>
                <w:top w:val="none" w:sz="0" w:space="0" w:color="auto"/>
                <w:left w:val="none" w:sz="0" w:space="0" w:color="auto"/>
                <w:bottom w:val="none" w:sz="0" w:space="0" w:color="auto"/>
                <w:right w:val="none" w:sz="0" w:space="0" w:color="auto"/>
              </w:divBdr>
            </w:div>
          </w:divsChild>
        </w:div>
        <w:div w:id="1752461003">
          <w:marLeft w:val="0"/>
          <w:marRight w:val="0"/>
          <w:marTop w:val="0"/>
          <w:marBottom w:val="0"/>
          <w:divBdr>
            <w:top w:val="none" w:sz="0" w:space="0" w:color="auto"/>
            <w:left w:val="none" w:sz="0" w:space="0" w:color="auto"/>
            <w:bottom w:val="none" w:sz="0" w:space="0" w:color="auto"/>
            <w:right w:val="none" w:sz="0" w:space="0" w:color="auto"/>
          </w:divBdr>
          <w:divsChild>
            <w:div w:id="1195850822">
              <w:marLeft w:val="0"/>
              <w:marRight w:val="0"/>
              <w:marTop w:val="0"/>
              <w:marBottom w:val="0"/>
              <w:divBdr>
                <w:top w:val="none" w:sz="0" w:space="0" w:color="auto"/>
                <w:left w:val="none" w:sz="0" w:space="0" w:color="auto"/>
                <w:bottom w:val="none" w:sz="0" w:space="0" w:color="auto"/>
                <w:right w:val="none" w:sz="0" w:space="0" w:color="auto"/>
              </w:divBdr>
            </w:div>
          </w:divsChild>
        </w:div>
        <w:div w:id="1761831954">
          <w:marLeft w:val="0"/>
          <w:marRight w:val="0"/>
          <w:marTop w:val="0"/>
          <w:marBottom w:val="0"/>
          <w:divBdr>
            <w:top w:val="none" w:sz="0" w:space="0" w:color="auto"/>
            <w:left w:val="none" w:sz="0" w:space="0" w:color="auto"/>
            <w:bottom w:val="none" w:sz="0" w:space="0" w:color="auto"/>
            <w:right w:val="none" w:sz="0" w:space="0" w:color="auto"/>
          </w:divBdr>
          <w:divsChild>
            <w:div w:id="144205043">
              <w:marLeft w:val="0"/>
              <w:marRight w:val="0"/>
              <w:marTop w:val="0"/>
              <w:marBottom w:val="0"/>
              <w:divBdr>
                <w:top w:val="none" w:sz="0" w:space="0" w:color="auto"/>
                <w:left w:val="none" w:sz="0" w:space="0" w:color="auto"/>
                <w:bottom w:val="none" w:sz="0" w:space="0" w:color="auto"/>
                <w:right w:val="none" w:sz="0" w:space="0" w:color="auto"/>
              </w:divBdr>
            </w:div>
          </w:divsChild>
        </w:div>
        <w:div w:id="1765613573">
          <w:marLeft w:val="0"/>
          <w:marRight w:val="0"/>
          <w:marTop w:val="0"/>
          <w:marBottom w:val="0"/>
          <w:divBdr>
            <w:top w:val="none" w:sz="0" w:space="0" w:color="auto"/>
            <w:left w:val="none" w:sz="0" w:space="0" w:color="auto"/>
            <w:bottom w:val="none" w:sz="0" w:space="0" w:color="auto"/>
            <w:right w:val="none" w:sz="0" w:space="0" w:color="auto"/>
          </w:divBdr>
          <w:divsChild>
            <w:div w:id="900098702">
              <w:marLeft w:val="0"/>
              <w:marRight w:val="0"/>
              <w:marTop w:val="0"/>
              <w:marBottom w:val="0"/>
              <w:divBdr>
                <w:top w:val="none" w:sz="0" w:space="0" w:color="auto"/>
                <w:left w:val="none" w:sz="0" w:space="0" w:color="auto"/>
                <w:bottom w:val="none" w:sz="0" w:space="0" w:color="auto"/>
                <w:right w:val="none" w:sz="0" w:space="0" w:color="auto"/>
              </w:divBdr>
            </w:div>
          </w:divsChild>
        </w:div>
        <w:div w:id="1796363922">
          <w:marLeft w:val="0"/>
          <w:marRight w:val="0"/>
          <w:marTop w:val="0"/>
          <w:marBottom w:val="0"/>
          <w:divBdr>
            <w:top w:val="none" w:sz="0" w:space="0" w:color="auto"/>
            <w:left w:val="none" w:sz="0" w:space="0" w:color="auto"/>
            <w:bottom w:val="none" w:sz="0" w:space="0" w:color="auto"/>
            <w:right w:val="none" w:sz="0" w:space="0" w:color="auto"/>
          </w:divBdr>
          <w:divsChild>
            <w:div w:id="273249201">
              <w:marLeft w:val="0"/>
              <w:marRight w:val="0"/>
              <w:marTop w:val="0"/>
              <w:marBottom w:val="0"/>
              <w:divBdr>
                <w:top w:val="none" w:sz="0" w:space="0" w:color="auto"/>
                <w:left w:val="none" w:sz="0" w:space="0" w:color="auto"/>
                <w:bottom w:val="none" w:sz="0" w:space="0" w:color="auto"/>
                <w:right w:val="none" w:sz="0" w:space="0" w:color="auto"/>
              </w:divBdr>
            </w:div>
          </w:divsChild>
        </w:div>
        <w:div w:id="1796828196">
          <w:marLeft w:val="0"/>
          <w:marRight w:val="0"/>
          <w:marTop w:val="0"/>
          <w:marBottom w:val="0"/>
          <w:divBdr>
            <w:top w:val="none" w:sz="0" w:space="0" w:color="auto"/>
            <w:left w:val="none" w:sz="0" w:space="0" w:color="auto"/>
            <w:bottom w:val="none" w:sz="0" w:space="0" w:color="auto"/>
            <w:right w:val="none" w:sz="0" w:space="0" w:color="auto"/>
          </w:divBdr>
          <w:divsChild>
            <w:div w:id="65883411">
              <w:marLeft w:val="0"/>
              <w:marRight w:val="0"/>
              <w:marTop w:val="0"/>
              <w:marBottom w:val="0"/>
              <w:divBdr>
                <w:top w:val="none" w:sz="0" w:space="0" w:color="auto"/>
                <w:left w:val="none" w:sz="0" w:space="0" w:color="auto"/>
                <w:bottom w:val="none" w:sz="0" w:space="0" w:color="auto"/>
                <w:right w:val="none" w:sz="0" w:space="0" w:color="auto"/>
              </w:divBdr>
            </w:div>
          </w:divsChild>
        </w:div>
        <w:div w:id="1845634243">
          <w:marLeft w:val="0"/>
          <w:marRight w:val="0"/>
          <w:marTop w:val="0"/>
          <w:marBottom w:val="0"/>
          <w:divBdr>
            <w:top w:val="none" w:sz="0" w:space="0" w:color="auto"/>
            <w:left w:val="none" w:sz="0" w:space="0" w:color="auto"/>
            <w:bottom w:val="none" w:sz="0" w:space="0" w:color="auto"/>
            <w:right w:val="none" w:sz="0" w:space="0" w:color="auto"/>
          </w:divBdr>
          <w:divsChild>
            <w:div w:id="182018728">
              <w:marLeft w:val="0"/>
              <w:marRight w:val="0"/>
              <w:marTop w:val="0"/>
              <w:marBottom w:val="0"/>
              <w:divBdr>
                <w:top w:val="none" w:sz="0" w:space="0" w:color="auto"/>
                <w:left w:val="none" w:sz="0" w:space="0" w:color="auto"/>
                <w:bottom w:val="none" w:sz="0" w:space="0" w:color="auto"/>
                <w:right w:val="none" w:sz="0" w:space="0" w:color="auto"/>
              </w:divBdr>
            </w:div>
          </w:divsChild>
        </w:div>
        <w:div w:id="1909337350">
          <w:marLeft w:val="0"/>
          <w:marRight w:val="0"/>
          <w:marTop w:val="0"/>
          <w:marBottom w:val="0"/>
          <w:divBdr>
            <w:top w:val="none" w:sz="0" w:space="0" w:color="auto"/>
            <w:left w:val="none" w:sz="0" w:space="0" w:color="auto"/>
            <w:bottom w:val="none" w:sz="0" w:space="0" w:color="auto"/>
            <w:right w:val="none" w:sz="0" w:space="0" w:color="auto"/>
          </w:divBdr>
          <w:divsChild>
            <w:div w:id="437800848">
              <w:marLeft w:val="0"/>
              <w:marRight w:val="0"/>
              <w:marTop w:val="0"/>
              <w:marBottom w:val="0"/>
              <w:divBdr>
                <w:top w:val="none" w:sz="0" w:space="0" w:color="auto"/>
                <w:left w:val="none" w:sz="0" w:space="0" w:color="auto"/>
                <w:bottom w:val="none" w:sz="0" w:space="0" w:color="auto"/>
                <w:right w:val="none" w:sz="0" w:space="0" w:color="auto"/>
              </w:divBdr>
            </w:div>
          </w:divsChild>
        </w:div>
        <w:div w:id="1919438106">
          <w:marLeft w:val="0"/>
          <w:marRight w:val="0"/>
          <w:marTop w:val="0"/>
          <w:marBottom w:val="0"/>
          <w:divBdr>
            <w:top w:val="none" w:sz="0" w:space="0" w:color="auto"/>
            <w:left w:val="none" w:sz="0" w:space="0" w:color="auto"/>
            <w:bottom w:val="none" w:sz="0" w:space="0" w:color="auto"/>
            <w:right w:val="none" w:sz="0" w:space="0" w:color="auto"/>
          </w:divBdr>
          <w:divsChild>
            <w:div w:id="1051734179">
              <w:marLeft w:val="0"/>
              <w:marRight w:val="0"/>
              <w:marTop w:val="0"/>
              <w:marBottom w:val="0"/>
              <w:divBdr>
                <w:top w:val="none" w:sz="0" w:space="0" w:color="auto"/>
                <w:left w:val="none" w:sz="0" w:space="0" w:color="auto"/>
                <w:bottom w:val="none" w:sz="0" w:space="0" w:color="auto"/>
                <w:right w:val="none" w:sz="0" w:space="0" w:color="auto"/>
              </w:divBdr>
            </w:div>
          </w:divsChild>
        </w:div>
        <w:div w:id="1929390582">
          <w:marLeft w:val="0"/>
          <w:marRight w:val="0"/>
          <w:marTop w:val="0"/>
          <w:marBottom w:val="0"/>
          <w:divBdr>
            <w:top w:val="none" w:sz="0" w:space="0" w:color="auto"/>
            <w:left w:val="none" w:sz="0" w:space="0" w:color="auto"/>
            <w:bottom w:val="none" w:sz="0" w:space="0" w:color="auto"/>
            <w:right w:val="none" w:sz="0" w:space="0" w:color="auto"/>
          </w:divBdr>
          <w:divsChild>
            <w:div w:id="1087308399">
              <w:marLeft w:val="0"/>
              <w:marRight w:val="0"/>
              <w:marTop w:val="0"/>
              <w:marBottom w:val="0"/>
              <w:divBdr>
                <w:top w:val="none" w:sz="0" w:space="0" w:color="auto"/>
                <w:left w:val="none" w:sz="0" w:space="0" w:color="auto"/>
                <w:bottom w:val="none" w:sz="0" w:space="0" w:color="auto"/>
                <w:right w:val="none" w:sz="0" w:space="0" w:color="auto"/>
              </w:divBdr>
            </w:div>
          </w:divsChild>
        </w:div>
        <w:div w:id="1942568703">
          <w:marLeft w:val="0"/>
          <w:marRight w:val="0"/>
          <w:marTop w:val="0"/>
          <w:marBottom w:val="0"/>
          <w:divBdr>
            <w:top w:val="none" w:sz="0" w:space="0" w:color="auto"/>
            <w:left w:val="none" w:sz="0" w:space="0" w:color="auto"/>
            <w:bottom w:val="none" w:sz="0" w:space="0" w:color="auto"/>
            <w:right w:val="none" w:sz="0" w:space="0" w:color="auto"/>
          </w:divBdr>
          <w:divsChild>
            <w:div w:id="283461063">
              <w:marLeft w:val="0"/>
              <w:marRight w:val="0"/>
              <w:marTop w:val="0"/>
              <w:marBottom w:val="0"/>
              <w:divBdr>
                <w:top w:val="none" w:sz="0" w:space="0" w:color="auto"/>
                <w:left w:val="none" w:sz="0" w:space="0" w:color="auto"/>
                <w:bottom w:val="none" w:sz="0" w:space="0" w:color="auto"/>
                <w:right w:val="none" w:sz="0" w:space="0" w:color="auto"/>
              </w:divBdr>
            </w:div>
          </w:divsChild>
        </w:div>
        <w:div w:id="1961178399">
          <w:marLeft w:val="0"/>
          <w:marRight w:val="0"/>
          <w:marTop w:val="0"/>
          <w:marBottom w:val="0"/>
          <w:divBdr>
            <w:top w:val="none" w:sz="0" w:space="0" w:color="auto"/>
            <w:left w:val="none" w:sz="0" w:space="0" w:color="auto"/>
            <w:bottom w:val="none" w:sz="0" w:space="0" w:color="auto"/>
            <w:right w:val="none" w:sz="0" w:space="0" w:color="auto"/>
          </w:divBdr>
          <w:divsChild>
            <w:div w:id="273440384">
              <w:marLeft w:val="0"/>
              <w:marRight w:val="0"/>
              <w:marTop w:val="0"/>
              <w:marBottom w:val="0"/>
              <w:divBdr>
                <w:top w:val="none" w:sz="0" w:space="0" w:color="auto"/>
                <w:left w:val="none" w:sz="0" w:space="0" w:color="auto"/>
                <w:bottom w:val="none" w:sz="0" w:space="0" w:color="auto"/>
                <w:right w:val="none" w:sz="0" w:space="0" w:color="auto"/>
              </w:divBdr>
            </w:div>
          </w:divsChild>
        </w:div>
        <w:div w:id="1965456776">
          <w:marLeft w:val="0"/>
          <w:marRight w:val="0"/>
          <w:marTop w:val="0"/>
          <w:marBottom w:val="0"/>
          <w:divBdr>
            <w:top w:val="none" w:sz="0" w:space="0" w:color="auto"/>
            <w:left w:val="none" w:sz="0" w:space="0" w:color="auto"/>
            <w:bottom w:val="none" w:sz="0" w:space="0" w:color="auto"/>
            <w:right w:val="none" w:sz="0" w:space="0" w:color="auto"/>
          </w:divBdr>
          <w:divsChild>
            <w:div w:id="933829053">
              <w:marLeft w:val="0"/>
              <w:marRight w:val="0"/>
              <w:marTop w:val="0"/>
              <w:marBottom w:val="0"/>
              <w:divBdr>
                <w:top w:val="none" w:sz="0" w:space="0" w:color="auto"/>
                <w:left w:val="none" w:sz="0" w:space="0" w:color="auto"/>
                <w:bottom w:val="none" w:sz="0" w:space="0" w:color="auto"/>
                <w:right w:val="none" w:sz="0" w:space="0" w:color="auto"/>
              </w:divBdr>
            </w:div>
          </w:divsChild>
        </w:div>
        <w:div w:id="2016414596">
          <w:marLeft w:val="0"/>
          <w:marRight w:val="0"/>
          <w:marTop w:val="0"/>
          <w:marBottom w:val="0"/>
          <w:divBdr>
            <w:top w:val="none" w:sz="0" w:space="0" w:color="auto"/>
            <w:left w:val="none" w:sz="0" w:space="0" w:color="auto"/>
            <w:bottom w:val="none" w:sz="0" w:space="0" w:color="auto"/>
            <w:right w:val="none" w:sz="0" w:space="0" w:color="auto"/>
          </w:divBdr>
          <w:divsChild>
            <w:div w:id="1389642606">
              <w:marLeft w:val="0"/>
              <w:marRight w:val="0"/>
              <w:marTop w:val="0"/>
              <w:marBottom w:val="0"/>
              <w:divBdr>
                <w:top w:val="none" w:sz="0" w:space="0" w:color="auto"/>
                <w:left w:val="none" w:sz="0" w:space="0" w:color="auto"/>
                <w:bottom w:val="none" w:sz="0" w:space="0" w:color="auto"/>
                <w:right w:val="none" w:sz="0" w:space="0" w:color="auto"/>
              </w:divBdr>
            </w:div>
          </w:divsChild>
        </w:div>
        <w:div w:id="2080400624">
          <w:marLeft w:val="0"/>
          <w:marRight w:val="0"/>
          <w:marTop w:val="0"/>
          <w:marBottom w:val="0"/>
          <w:divBdr>
            <w:top w:val="none" w:sz="0" w:space="0" w:color="auto"/>
            <w:left w:val="none" w:sz="0" w:space="0" w:color="auto"/>
            <w:bottom w:val="none" w:sz="0" w:space="0" w:color="auto"/>
            <w:right w:val="none" w:sz="0" w:space="0" w:color="auto"/>
          </w:divBdr>
          <w:divsChild>
            <w:div w:id="219751073">
              <w:marLeft w:val="0"/>
              <w:marRight w:val="0"/>
              <w:marTop w:val="0"/>
              <w:marBottom w:val="0"/>
              <w:divBdr>
                <w:top w:val="none" w:sz="0" w:space="0" w:color="auto"/>
                <w:left w:val="none" w:sz="0" w:space="0" w:color="auto"/>
                <w:bottom w:val="none" w:sz="0" w:space="0" w:color="auto"/>
                <w:right w:val="none" w:sz="0" w:space="0" w:color="auto"/>
              </w:divBdr>
            </w:div>
          </w:divsChild>
        </w:div>
        <w:div w:id="2096439105">
          <w:marLeft w:val="0"/>
          <w:marRight w:val="0"/>
          <w:marTop w:val="0"/>
          <w:marBottom w:val="0"/>
          <w:divBdr>
            <w:top w:val="none" w:sz="0" w:space="0" w:color="auto"/>
            <w:left w:val="none" w:sz="0" w:space="0" w:color="auto"/>
            <w:bottom w:val="none" w:sz="0" w:space="0" w:color="auto"/>
            <w:right w:val="none" w:sz="0" w:space="0" w:color="auto"/>
          </w:divBdr>
          <w:divsChild>
            <w:div w:id="1461994217">
              <w:marLeft w:val="0"/>
              <w:marRight w:val="0"/>
              <w:marTop w:val="0"/>
              <w:marBottom w:val="0"/>
              <w:divBdr>
                <w:top w:val="none" w:sz="0" w:space="0" w:color="auto"/>
                <w:left w:val="none" w:sz="0" w:space="0" w:color="auto"/>
                <w:bottom w:val="none" w:sz="0" w:space="0" w:color="auto"/>
                <w:right w:val="none" w:sz="0" w:space="0" w:color="auto"/>
              </w:divBdr>
            </w:div>
          </w:divsChild>
        </w:div>
        <w:div w:id="2100246777">
          <w:marLeft w:val="0"/>
          <w:marRight w:val="0"/>
          <w:marTop w:val="0"/>
          <w:marBottom w:val="0"/>
          <w:divBdr>
            <w:top w:val="none" w:sz="0" w:space="0" w:color="auto"/>
            <w:left w:val="none" w:sz="0" w:space="0" w:color="auto"/>
            <w:bottom w:val="none" w:sz="0" w:space="0" w:color="auto"/>
            <w:right w:val="none" w:sz="0" w:space="0" w:color="auto"/>
          </w:divBdr>
          <w:divsChild>
            <w:div w:id="211605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380402">
      <w:bodyDiv w:val="1"/>
      <w:marLeft w:val="0"/>
      <w:marRight w:val="0"/>
      <w:marTop w:val="0"/>
      <w:marBottom w:val="0"/>
      <w:divBdr>
        <w:top w:val="none" w:sz="0" w:space="0" w:color="auto"/>
        <w:left w:val="none" w:sz="0" w:space="0" w:color="auto"/>
        <w:bottom w:val="none" w:sz="0" w:space="0" w:color="auto"/>
        <w:right w:val="none" w:sz="0" w:space="0" w:color="auto"/>
      </w:divBdr>
      <w:divsChild>
        <w:div w:id="3939221">
          <w:marLeft w:val="0"/>
          <w:marRight w:val="0"/>
          <w:marTop w:val="0"/>
          <w:marBottom w:val="0"/>
          <w:divBdr>
            <w:top w:val="none" w:sz="0" w:space="0" w:color="auto"/>
            <w:left w:val="none" w:sz="0" w:space="0" w:color="auto"/>
            <w:bottom w:val="none" w:sz="0" w:space="0" w:color="auto"/>
            <w:right w:val="none" w:sz="0" w:space="0" w:color="auto"/>
          </w:divBdr>
          <w:divsChild>
            <w:div w:id="305941936">
              <w:marLeft w:val="0"/>
              <w:marRight w:val="0"/>
              <w:marTop w:val="0"/>
              <w:marBottom w:val="0"/>
              <w:divBdr>
                <w:top w:val="none" w:sz="0" w:space="0" w:color="auto"/>
                <w:left w:val="none" w:sz="0" w:space="0" w:color="auto"/>
                <w:bottom w:val="none" w:sz="0" w:space="0" w:color="auto"/>
                <w:right w:val="none" w:sz="0" w:space="0" w:color="auto"/>
              </w:divBdr>
            </w:div>
          </w:divsChild>
        </w:div>
        <w:div w:id="32123057">
          <w:marLeft w:val="0"/>
          <w:marRight w:val="0"/>
          <w:marTop w:val="0"/>
          <w:marBottom w:val="0"/>
          <w:divBdr>
            <w:top w:val="none" w:sz="0" w:space="0" w:color="auto"/>
            <w:left w:val="none" w:sz="0" w:space="0" w:color="auto"/>
            <w:bottom w:val="none" w:sz="0" w:space="0" w:color="auto"/>
            <w:right w:val="none" w:sz="0" w:space="0" w:color="auto"/>
          </w:divBdr>
          <w:divsChild>
            <w:div w:id="1070465855">
              <w:marLeft w:val="0"/>
              <w:marRight w:val="0"/>
              <w:marTop w:val="0"/>
              <w:marBottom w:val="0"/>
              <w:divBdr>
                <w:top w:val="none" w:sz="0" w:space="0" w:color="auto"/>
                <w:left w:val="none" w:sz="0" w:space="0" w:color="auto"/>
                <w:bottom w:val="none" w:sz="0" w:space="0" w:color="auto"/>
                <w:right w:val="none" w:sz="0" w:space="0" w:color="auto"/>
              </w:divBdr>
            </w:div>
          </w:divsChild>
        </w:div>
        <w:div w:id="49689864">
          <w:marLeft w:val="0"/>
          <w:marRight w:val="0"/>
          <w:marTop w:val="0"/>
          <w:marBottom w:val="0"/>
          <w:divBdr>
            <w:top w:val="none" w:sz="0" w:space="0" w:color="auto"/>
            <w:left w:val="none" w:sz="0" w:space="0" w:color="auto"/>
            <w:bottom w:val="none" w:sz="0" w:space="0" w:color="auto"/>
            <w:right w:val="none" w:sz="0" w:space="0" w:color="auto"/>
          </w:divBdr>
          <w:divsChild>
            <w:div w:id="1619948058">
              <w:marLeft w:val="0"/>
              <w:marRight w:val="0"/>
              <w:marTop w:val="0"/>
              <w:marBottom w:val="0"/>
              <w:divBdr>
                <w:top w:val="none" w:sz="0" w:space="0" w:color="auto"/>
                <w:left w:val="none" w:sz="0" w:space="0" w:color="auto"/>
                <w:bottom w:val="none" w:sz="0" w:space="0" w:color="auto"/>
                <w:right w:val="none" w:sz="0" w:space="0" w:color="auto"/>
              </w:divBdr>
            </w:div>
          </w:divsChild>
        </w:div>
        <w:div w:id="83381623">
          <w:marLeft w:val="0"/>
          <w:marRight w:val="0"/>
          <w:marTop w:val="0"/>
          <w:marBottom w:val="0"/>
          <w:divBdr>
            <w:top w:val="none" w:sz="0" w:space="0" w:color="auto"/>
            <w:left w:val="none" w:sz="0" w:space="0" w:color="auto"/>
            <w:bottom w:val="none" w:sz="0" w:space="0" w:color="auto"/>
            <w:right w:val="none" w:sz="0" w:space="0" w:color="auto"/>
          </w:divBdr>
          <w:divsChild>
            <w:div w:id="778136947">
              <w:marLeft w:val="0"/>
              <w:marRight w:val="0"/>
              <w:marTop w:val="0"/>
              <w:marBottom w:val="0"/>
              <w:divBdr>
                <w:top w:val="none" w:sz="0" w:space="0" w:color="auto"/>
                <w:left w:val="none" w:sz="0" w:space="0" w:color="auto"/>
                <w:bottom w:val="none" w:sz="0" w:space="0" w:color="auto"/>
                <w:right w:val="none" w:sz="0" w:space="0" w:color="auto"/>
              </w:divBdr>
            </w:div>
          </w:divsChild>
        </w:div>
        <w:div w:id="100761488">
          <w:marLeft w:val="0"/>
          <w:marRight w:val="0"/>
          <w:marTop w:val="0"/>
          <w:marBottom w:val="0"/>
          <w:divBdr>
            <w:top w:val="none" w:sz="0" w:space="0" w:color="auto"/>
            <w:left w:val="none" w:sz="0" w:space="0" w:color="auto"/>
            <w:bottom w:val="none" w:sz="0" w:space="0" w:color="auto"/>
            <w:right w:val="none" w:sz="0" w:space="0" w:color="auto"/>
          </w:divBdr>
          <w:divsChild>
            <w:div w:id="145980071">
              <w:marLeft w:val="0"/>
              <w:marRight w:val="0"/>
              <w:marTop w:val="0"/>
              <w:marBottom w:val="0"/>
              <w:divBdr>
                <w:top w:val="none" w:sz="0" w:space="0" w:color="auto"/>
                <w:left w:val="none" w:sz="0" w:space="0" w:color="auto"/>
                <w:bottom w:val="none" w:sz="0" w:space="0" w:color="auto"/>
                <w:right w:val="none" w:sz="0" w:space="0" w:color="auto"/>
              </w:divBdr>
            </w:div>
          </w:divsChild>
        </w:div>
        <w:div w:id="111941603">
          <w:marLeft w:val="0"/>
          <w:marRight w:val="0"/>
          <w:marTop w:val="0"/>
          <w:marBottom w:val="0"/>
          <w:divBdr>
            <w:top w:val="none" w:sz="0" w:space="0" w:color="auto"/>
            <w:left w:val="none" w:sz="0" w:space="0" w:color="auto"/>
            <w:bottom w:val="none" w:sz="0" w:space="0" w:color="auto"/>
            <w:right w:val="none" w:sz="0" w:space="0" w:color="auto"/>
          </w:divBdr>
          <w:divsChild>
            <w:div w:id="940185121">
              <w:marLeft w:val="0"/>
              <w:marRight w:val="0"/>
              <w:marTop w:val="0"/>
              <w:marBottom w:val="0"/>
              <w:divBdr>
                <w:top w:val="none" w:sz="0" w:space="0" w:color="auto"/>
                <w:left w:val="none" w:sz="0" w:space="0" w:color="auto"/>
                <w:bottom w:val="none" w:sz="0" w:space="0" w:color="auto"/>
                <w:right w:val="none" w:sz="0" w:space="0" w:color="auto"/>
              </w:divBdr>
            </w:div>
          </w:divsChild>
        </w:div>
        <w:div w:id="115565262">
          <w:marLeft w:val="0"/>
          <w:marRight w:val="0"/>
          <w:marTop w:val="0"/>
          <w:marBottom w:val="0"/>
          <w:divBdr>
            <w:top w:val="none" w:sz="0" w:space="0" w:color="auto"/>
            <w:left w:val="none" w:sz="0" w:space="0" w:color="auto"/>
            <w:bottom w:val="none" w:sz="0" w:space="0" w:color="auto"/>
            <w:right w:val="none" w:sz="0" w:space="0" w:color="auto"/>
          </w:divBdr>
          <w:divsChild>
            <w:div w:id="1062994000">
              <w:marLeft w:val="0"/>
              <w:marRight w:val="0"/>
              <w:marTop w:val="0"/>
              <w:marBottom w:val="0"/>
              <w:divBdr>
                <w:top w:val="none" w:sz="0" w:space="0" w:color="auto"/>
                <w:left w:val="none" w:sz="0" w:space="0" w:color="auto"/>
                <w:bottom w:val="none" w:sz="0" w:space="0" w:color="auto"/>
                <w:right w:val="none" w:sz="0" w:space="0" w:color="auto"/>
              </w:divBdr>
            </w:div>
          </w:divsChild>
        </w:div>
        <w:div w:id="135533685">
          <w:marLeft w:val="0"/>
          <w:marRight w:val="0"/>
          <w:marTop w:val="0"/>
          <w:marBottom w:val="0"/>
          <w:divBdr>
            <w:top w:val="none" w:sz="0" w:space="0" w:color="auto"/>
            <w:left w:val="none" w:sz="0" w:space="0" w:color="auto"/>
            <w:bottom w:val="none" w:sz="0" w:space="0" w:color="auto"/>
            <w:right w:val="none" w:sz="0" w:space="0" w:color="auto"/>
          </w:divBdr>
          <w:divsChild>
            <w:div w:id="316109772">
              <w:marLeft w:val="0"/>
              <w:marRight w:val="0"/>
              <w:marTop w:val="0"/>
              <w:marBottom w:val="0"/>
              <w:divBdr>
                <w:top w:val="none" w:sz="0" w:space="0" w:color="auto"/>
                <w:left w:val="none" w:sz="0" w:space="0" w:color="auto"/>
                <w:bottom w:val="none" w:sz="0" w:space="0" w:color="auto"/>
                <w:right w:val="none" w:sz="0" w:space="0" w:color="auto"/>
              </w:divBdr>
            </w:div>
          </w:divsChild>
        </w:div>
        <w:div w:id="184707639">
          <w:marLeft w:val="0"/>
          <w:marRight w:val="0"/>
          <w:marTop w:val="0"/>
          <w:marBottom w:val="0"/>
          <w:divBdr>
            <w:top w:val="none" w:sz="0" w:space="0" w:color="auto"/>
            <w:left w:val="none" w:sz="0" w:space="0" w:color="auto"/>
            <w:bottom w:val="none" w:sz="0" w:space="0" w:color="auto"/>
            <w:right w:val="none" w:sz="0" w:space="0" w:color="auto"/>
          </w:divBdr>
          <w:divsChild>
            <w:div w:id="1389298478">
              <w:marLeft w:val="0"/>
              <w:marRight w:val="0"/>
              <w:marTop w:val="0"/>
              <w:marBottom w:val="0"/>
              <w:divBdr>
                <w:top w:val="none" w:sz="0" w:space="0" w:color="auto"/>
                <w:left w:val="none" w:sz="0" w:space="0" w:color="auto"/>
                <w:bottom w:val="none" w:sz="0" w:space="0" w:color="auto"/>
                <w:right w:val="none" w:sz="0" w:space="0" w:color="auto"/>
              </w:divBdr>
            </w:div>
          </w:divsChild>
        </w:div>
        <w:div w:id="229508951">
          <w:marLeft w:val="0"/>
          <w:marRight w:val="0"/>
          <w:marTop w:val="0"/>
          <w:marBottom w:val="0"/>
          <w:divBdr>
            <w:top w:val="none" w:sz="0" w:space="0" w:color="auto"/>
            <w:left w:val="none" w:sz="0" w:space="0" w:color="auto"/>
            <w:bottom w:val="none" w:sz="0" w:space="0" w:color="auto"/>
            <w:right w:val="none" w:sz="0" w:space="0" w:color="auto"/>
          </w:divBdr>
          <w:divsChild>
            <w:div w:id="1771513335">
              <w:marLeft w:val="0"/>
              <w:marRight w:val="0"/>
              <w:marTop w:val="0"/>
              <w:marBottom w:val="0"/>
              <w:divBdr>
                <w:top w:val="none" w:sz="0" w:space="0" w:color="auto"/>
                <w:left w:val="none" w:sz="0" w:space="0" w:color="auto"/>
                <w:bottom w:val="none" w:sz="0" w:space="0" w:color="auto"/>
                <w:right w:val="none" w:sz="0" w:space="0" w:color="auto"/>
              </w:divBdr>
            </w:div>
          </w:divsChild>
        </w:div>
        <w:div w:id="265844315">
          <w:marLeft w:val="0"/>
          <w:marRight w:val="0"/>
          <w:marTop w:val="0"/>
          <w:marBottom w:val="0"/>
          <w:divBdr>
            <w:top w:val="none" w:sz="0" w:space="0" w:color="auto"/>
            <w:left w:val="none" w:sz="0" w:space="0" w:color="auto"/>
            <w:bottom w:val="none" w:sz="0" w:space="0" w:color="auto"/>
            <w:right w:val="none" w:sz="0" w:space="0" w:color="auto"/>
          </w:divBdr>
          <w:divsChild>
            <w:div w:id="492914093">
              <w:marLeft w:val="0"/>
              <w:marRight w:val="0"/>
              <w:marTop w:val="0"/>
              <w:marBottom w:val="0"/>
              <w:divBdr>
                <w:top w:val="none" w:sz="0" w:space="0" w:color="auto"/>
                <w:left w:val="none" w:sz="0" w:space="0" w:color="auto"/>
                <w:bottom w:val="none" w:sz="0" w:space="0" w:color="auto"/>
                <w:right w:val="none" w:sz="0" w:space="0" w:color="auto"/>
              </w:divBdr>
            </w:div>
          </w:divsChild>
        </w:div>
        <w:div w:id="328826576">
          <w:marLeft w:val="0"/>
          <w:marRight w:val="0"/>
          <w:marTop w:val="0"/>
          <w:marBottom w:val="0"/>
          <w:divBdr>
            <w:top w:val="none" w:sz="0" w:space="0" w:color="auto"/>
            <w:left w:val="none" w:sz="0" w:space="0" w:color="auto"/>
            <w:bottom w:val="none" w:sz="0" w:space="0" w:color="auto"/>
            <w:right w:val="none" w:sz="0" w:space="0" w:color="auto"/>
          </w:divBdr>
          <w:divsChild>
            <w:div w:id="988678549">
              <w:marLeft w:val="0"/>
              <w:marRight w:val="0"/>
              <w:marTop w:val="0"/>
              <w:marBottom w:val="0"/>
              <w:divBdr>
                <w:top w:val="none" w:sz="0" w:space="0" w:color="auto"/>
                <w:left w:val="none" w:sz="0" w:space="0" w:color="auto"/>
                <w:bottom w:val="none" w:sz="0" w:space="0" w:color="auto"/>
                <w:right w:val="none" w:sz="0" w:space="0" w:color="auto"/>
              </w:divBdr>
            </w:div>
          </w:divsChild>
        </w:div>
        <w:div w:id="374038599">
          <w:marLeft w:val="0"/>
          <w:marRight w:val="0"/>
          <w:marTop w:val="0"/>
          <w:marBottom w:val="0"/>
          <w:divBdr>
            <w:top w:val="none" w:sz="0" w:space="0" w:color="auto"/>
            <w:left w:val="none" w:sz="0" w:space="0" w:color="auto"/>
            <w:bottom w:val="none" w:sz="0" w:space="0" w:color="auto"/>
            <w:right w:val="none" w:sz="0" w:space="0" w:color="auto"/>
          </w:divBdr>
          <w:divsChild>
            <w:div w:id="433789704">
              <w:marLeft w:val="0"/>
              <w:marRight w:val="0"/>
              <w:marTop w:val="0"/>
              <w:marBottom w:val="0"/>
              <w:divBdr>
                <w:top w:val="none" w:sz="0" w:space="0" w:color="auto"/>
                <w:left w:val="none" w:sz="0" w:space="0" w:color="auto"/>
                <w:bottom w:val="none" w:sz="0" w:space="0" w:color="auto"/>
                <w:right w:val="none" w:sz="0" w:space="0" w:color="auto"/>
              </w:divBdr>
            </w:div>
          </w:divsChild>
        </w:div>
        <w:div w:id="415590918">
          <w:marLeft w:val="0"/>
          <w:marRight w:val="0"/>
          <w:marTop w:val="0"/>
          <w:marBottom w:val="0"/>
          <w:divBdr>
            <w:top w:val="none" w:sz="0" w:space="0" w:color="auto"/>
            <w:left w:val="none" w:sz="0" w:space="0" w:color="auto"/>
            <w:bottom w:val="none" w:sz="0" w:space="0" w:color="auto"/>
            <w:right w:val="none" w:sz="0" w:space="0" w:color="auto"/>
          </w:divBdr>
          <w:divsChild>
            <w:div w:id="345181185">
              <w:marLeft w:val="0"/>
              <w:marRight w:val="0"/>
              <w:marTop w:val="0"/>
              <w:marBottom w:val="0"/>
              <w:divBdr>
                <w:top w:val="none" w:sz="0" w:space="0" w:color="auto"/>
                <w:left w:val="none" w:sz="0" w:space="0" w:color="auto"/>
                <w:bottom w:val="none" w:sz="0" w:space="0" w:color="auto"/>
                <w:right w:val="none" w:sz="0" w:space="0" w:color="auto"/>
              </w:divBdr>
            </w:div>
          </w:divsChild>
        </w:div>
        <w:div w:id="420175884">
          <w:marLeft w:val="0"/>
          <w:marRight w:val="0"/>
          <w:marTop w:val="0"/>
          <w:marBottom w:val="0"/>
          <w:divBdr>
            <w:top w:val="none" w:sz="0" w:space="0" w:color="auto"/>
            <w:left w:val="none" w:sz="0" w:space="0" w:color="auto"/>
            <w:bottom w:val="none" w:sz="0" w:space="0" w:color="auto"/>
            <w:right w:val="none" w:sz="0" w:space="0" w:color="auto"/>
          </w:divBdr>
          <w:divsChild>
            <w:div w:id="1553730138">
              <w:marLeft w:val="0"/>
              <w:marRight w:val="0"/>
              <w:marTop w:val="0"/>
              <w:marBottom w:val="0"/>
              <w:divBdr>
                <w:top w:val="none" w:sz="0" w:space="0" w:color="auto"/>
                <w:left w:val="none" w:sz="0" w:space="0" w:color="auto"/>
                <w:bottom w:val="none" w:sz="0" w:space="0" w:color="auto"/>
                <w:right w:val="none" w:sz="0" w:space="0" w:color="auto"/>
              </w:divBdr>
            </w:div>
          </w:divsChild>
        </w:div>
        <w:div w:id="426074155">
          <w:marLeft w:val="0"/>
          <w:marRight w:val="0"/>
          <w:marTop w:val="0"/>
          <w:marBottom w:val="0"/>
          <w:divBdr>
            <w:top w:val="none" w:sz="0" w:space="0" w:color="auto"/>
            <w:left w:val="none" w:sz="0" w:space="0" w:color="auto"/>
            <w:bottom w:val="none" w:sz="0" w:space="0" w:color="auto"/>
            <w:right w:val="none" w:sz="0" w:space="0" w:color="auto"/>
          </w:divBdr>
          <w:divsChild>
            <w:div w:id="132404204">
              <w:marLeft w:val="0"/>
              <w:marRight w:val="0"/>
              <w:marTop w:val="0"/>
              <w:marBottom w:val="0"/>
              <w:divBdr>
                <w:top w:val="none" w:sz="0" w:space="0" w:color="auto"/>
                <w:left w:val="none" w:sz="0" w:space="0" w:color="auto"/>
                <w:bottom w:val="none" w:sz="0" w:space="0" w:color="auto"/>
                <w:right w:val="none" w:sz="0" w:space="0" w:color="auto"/>
              </w:divBdr>
            </w:div>
          </w:divsChild>
        </w:div>
        <w:div w:id="431434065">
          <w:marLeft w:val="0"/>
          <w:marRight w:val="0"/>
          <w:marTop w:val="0"/>
          <w:marBottom w:val="0"/>
          <w:divBdr>
            <w:top w:val="none" w:sz="0" w:space="0" w:color="auto"/>
            <w:left w:val="none" w:sz="0" w:space="0" w:color="auto"/>
            <w:bottom w:val="none" w:sz="0" w:space="0" w:color="auto"/>
            <w:right w:val="none" w:sz="0" w:space="0" w:color="auto"/>
          </w:divBdr>
          <w:divsChild>
            <w:div w:id="145358972">
              <w:marLeft w:val="0"/>
              <w:marRight w:val="0"/>
              <w:marTop w:val="0"/>
              <w:marBottom w:val="0"/>
              <w:divBdr>
                <w:top w:val="none" w:sz="0" w:space="0" w:color="auto"/>
                <w:left w:val="none" w:sz="0" w:space="0" w:color="auto"/>
                <w:bottom w:val="none" w:sz="0" w:space="0" w:color="auto"/>
                <w:right w:val="none" w:sz="0" w:space="0" w:color="auto"/>
              </w:divBdr>
            </w:div>
          </w:divsChild>
        </w:div>
        <w:div w:id="527763307">
          <w:marLeft w:val="0"/>
          <w:marRight w:val="0"/>
          <w:marTop w:val="0"/>
          <w:marBottom w:val="0"/>
          <w:divBdr>
            <w:top w:val="none" w:sz="0" w:space="0" w:color="auto"/>
            <w:left w:val="none" w:sz="0" w:space="0" w:color="auto"/>
            <w:bottom w:val="none" w:sz="0" w:space="0" w:color="auto"/>
            <w:right w:val="none" w:sz="0" w:space="0" w:color="auto"/>
          </w:divBdr>
          <w:divsChild>
            <w:div w:id="1441294831">
              <w:marLeft w:val="0"/>
              <w:marRight w:val="0"/>
              <w:marTop w:val="0"/>
              <w:marBottom w:val="0"/>
              <w:divBdr>
                <w:top w:val="none" w:sz="0" w:space="0" w:color="auto"/>
                <w:left w:val="none" w:sz="0" w:space="0" w:color="auto"/>
                <w:bottom w:val="none" w:sz="0" w:space="0" w:color="auto"/>
                <w:right w:val="none" w:sz="0" w:space="0" w:color="auto"/>
              </w:divBdr>
            </w:div>
          </w:divsChild>
        </w:div>
        <w:div w:id="560333052">
          <w:marLeft w:val="0"/>
          <w:marRight w:val="0"/>
          <w:marTop w:val="0"/>
          <w:marBottom w:val="0"/>
          <w:divBdr>
            <w:top w:val="none" w:sz="0" w:space="0" w:color="auto"/>
            <w:left w:val="none" w:sz="0" w:space="0" w:color="auto"/>
            <w:bottom w:val="none" w:sz="0" w:space="0" w:color="auto"/>
            <w:right w:val="none" w:sz="0" w:space="0" w:color="auto"/>
          </w:divBdr>
          <w:divsChild>
            <w:div w:id="673266720">
              <w:marLeft w:val="0"/>
              <w:marRight w:val="0"/>
              <w:marTop w:val="0"/>
              <w:marBottom w:val="0"/>
              <w:divBdr>
                <w:top w:val="none" w:sz="0" w:space="0" w:color="auto"/>
                <w:left w:val="none" w:sz="0" w:space="0" w:color="auto"/>
                <w:bottom w:val="none" w:sz="0" w:space="0" w:color="auto"/>
                <w:right w:val="none" w:sz="0" w:space="0" w:color="auto"/>
              </w:divBdr>
            </w:div>
          </w:divsChild>
        </w:div>
        <w:div w:id="562057791">
          <w:marLeft w:val="0"/>
          <w:marRight w:val="0"/>
          <w:marTop w:val="0"/>
          <w:marBottom w:val="0"/>
          <w:divBdr>
            <w:top w:val="none" w:sz="0" w:space="0" w:color="auto"/>
            <w:left w:val="none" w:sz="0" w:space="0" w:color="auto"/>
            <w:bottom w:val="none" w:sz="0" w:space="0" w:color="auto"/>
            <w:right w:val="none" w:sz="0" w:space="0" w:color="auto"/>
          </w:divBdr>
          <w:divsChild>
            <w:div w:id="4476344">
              <w:marLeft w:val="0"/>
              <w:marRight w:val="0"/>
              <w:marTop w:val="0"/>
              <w:marBottom w:val="0"/>
              <w:divBdr>
                <w:top w:val="none" w:sz="0" w:space="0" w:color="auto"/>
                <w:left w:val="none" w:sz="0" w:space="0" w:color="auto"/>
                <w:bottom w:val="none" w:sz="0" w:space="0" w:color="auto"/>
                <w:right w:val="none" w:sz="0" w:space="0" w:color="auto"/>
              </w:divBdr>
            </w:div>
          </w:divsChild>
        </w:div>
        <w:div w:id="589630622">
          <w:marLeft w:val="0"/>
          <w:marRight w:val="0"/>
          <w:marTop w:val="0"/>
          <w:marBottom w:val="0"/>
          <w:divBdr>
            <w:top w:val="none" w:sz="0" w:space="0" w:color="auto"/>
            <w:left w:val="none" w:sz="0" w:space="0" w:color="auto"/>
            <w:bottom w:val="none" w:sz="0" w:space="0" w:color="auto"/>
            <w:right w:val="none" w:sz="0" w:space="0" w:color="auto"/>
          </w:divBdr>
          <w:divsChild>
            <w:div w:id="1542278984">
              <w:marLeft w:val="0"/>
              <w:marRight w:val="0"/>
              <w:marTop w:val="0"/>
              <w:marBottom w:val="0"/>
              <w:divBdr>
                <w:top w:val="none" w:sz="0" w:space="0" w:color="auto"/>
                <w:left w:val="none" w:sz="0" w:space="0" w:color="auto"/>
                <w:bottom w:val="none" w:sz="0" w:space="0" w:color="auto"/>
                <w:right w:val="none" w:sz="0" w:space="0" w:color="auto"/>
              </w:divBdr>
            </w:div>
          </w:divsChild>
        </w:div>
        <w:div w:id="653727649">
          <w:marLeft w:val="0"/>
          <w:marRight w:val="0"/>
          <w:marTop w:val="0"/>
          <w:marBottom w:val="0"/>
          <w:divBdr>
            <w:top w:val="none" w:sz="0" w:space="0" w:color="auto"/>
            <w:left w:val="none" w:sz="0" w:space="0" w:color="auto"/>
            <w:bottom w:val="none" w:sz="0" w:space="0" w:color="auto"/>
            <w:right w:val="none" w:sz="0" w:space="0" w:color="auto"/>
          </w:divBdr>
          <w:divsChild>
            <w:div w:id="1424570166">
              <w:marLeft w:val="0"/>
              <w:marRight w:val="0"/>
              <w:marTop w:val="0"/>
              <w:marBottom w:val="0"/>
              <w:divBdr>
                <w:top w:val="none" w:sz="0" w:space="0" w:color="auto"/>
                <w:left w:val="none" w:sz="0" w:space="0" w:color="auto"/>
                <w:bottom w:val="none" w:sz="0" w:space="0" w:color="auto"/>
                <w:right w:val="none" w:sz="0" w:space="0" w:color="auto"/>
              </w:divBdr>
            </w:div>
          </w:divsChild>
        </w:div>
        <w:div w:id="681510753">
          <w:marLeft w:val="0"/>
          <w:marRight w:val="0"/>
          <w:marTop w:val="0"/>
          <w:marBottom w:val="0"/>
          <w:divBdr>
            <w:top w:val="none" w:sz="0" w:space="0" w:color="auto"/>
            <w:left w:val="none" w:sz="0" w:space="0" w:color="auto"/>
            <w:bottom w:val="none" w:sz="0" w:space="0" w:color="auto"/>
            <w:right w:val="none" w:sz="0" w:space="0" w:color="auto"/>
          </w:divBdr>
          <w:divsChild>
            <w:div w:id="1333489386">
              <w:marLeft w:val="0"/>
              <w:marRight w:val="0"/>
              <w:marTop w:val="0"/>
              <w:marBottom w:val="0"/>
              <w:divBdr>
                <w:top w:val="none" w:sz="0" w:space="0" w:color="auto"/>
                <w:left w:val="none" w:sz="0" w:space="0" w:color="auto"/>
                <w:bottom w:val="none" w:sz="0" w:space="0" w:color="auto"/>
                <w:right w:val="none" w:sz="0" w:space="0" w:color="auto"/>
              </w:divBdr>
            </w:div>
          </w:divsChild>
        </w:div>
        <w:div w:id="727996456">
          <w:marLeft w:val="0"/>
          <w:marRight w:val="0"/>
          <w:marTop w:val="0"/>
          <w:marBottom w:val="0"/>
          <w:divBdr>
            <w:top w:val="none" w:sz="0" w:space="0" w:color="auto"/>
            <w:left w:val="none" w:sz="0" w:space="0" w:color="auto"/>
            <w:bottom w:val="none" w:sz="0" w:space="0" w:color="auto"/>
            <w:right w:val="none" w:sz="0" w:space="0" w:color="auto"/>
          </w:divBdr>
          <w:divsChild>
            <w:div w:id="1751581210">
              <w:marLeft w:val="0"/>
              <w:marRight w:val="0"/>
              <w:marTop w:val="0"/>
              <w:marBottom w:val="0"/>
              <w:divBdr>
                <w:top w:val="none" w:sz="0" w:space="0" w:color="auto"/>
                <w:left w:val="none" w:sz="0" w:space="0" w:color="auto"/>
                <w:bottom w:val="none" w:sz="0" w:space="0" w:color="auto"/>
                <w:right w:val="none" w:sz="0" w:space="0" w:color="auto"/>
              </w:divBdr>
            </w:div>
          </w:divsChild>
        </w:div>
        <w:div w:id="752898189">
          <w:marLeft w:val="0"/>
          <w:marRight w:val="0"/>
          <w:marTop w:val="0"/>
          <w:marBottom w:val="0"/>
          <w:divBdr>
            <w:top w:val="none" w:sz="0" w:space="0" w:color="auto"/>
            <w:left w:val="none" w:sz="0" w:space="0" w:color="auto"/>
            <w:bottom w:val="none" w:sz="0" w:space="0" w:color="auto"/>
            <w:right w:val="none" w:sz="0" w:space="0" w:color="auto"/>
          </w:divBdr>
          <w:divsChild>
            <w:div w:id="180894191">
              <w:marLeft w:val="0"/>
              <w:marRight w:val="0"/>
              <w:marTop w:val="0"/>
              <w:marBottom w:val="0"/>
              <w:divBdr>
                <w:top w:val="none" w:sz="0" w:space="0" w:color="auto"/>
                <w:left w:val="none" w:sz="0" w:space="0" w:color="auto"/>
                <w:bottom w:val="none" w:sz="0" w:space="0" w:color="auto"/>
                <w:right w:val="none" w:sz="0" w:space="0" w:color="auto"/>
              </w:divBdr>
            </w:div>
          </w:divsChild>
        </w:div>
        <w:div w:id="803473359">
          <w:marLeft w:val="0"/>
          <w:marRight w:val="0"/>
          <w:marTop w:val="0"/>
          <w:marBottom w:val="0"/>
          <w:divBdr>
            <w:top w:val="none" w:sz="0" w:space="0" w:color="auto"/>
            <w:left w:val="none" w:sz="0" w:space="0" w:color="auto"/>
            <w:bottom w:val="none" w:sz="0" w:space="0" w:color="auto"/>
            <w:right w:val="none" w:sz="0" w:space="0" w:color="auto"/>
          </w:divBdr>
          <w:divsChild>
            <w:div w:id="832185164">
              <w:marLeft w:val="0"/>
              <w:marRight w:val="0"/>
              <w:marTop w:val="0"/>
              <w:marBottom w:val="0"/>
              <w:divBdr>
                <w:top w:val="none" w:sz="0" w:space="0" w:color="auto"/>
                <w:left w:val="none" w:sz="0" w:space="0" w:color="auto"/>
                <w:bottom w:val="none" w:sz="0" w:space="0" w:color="auto"/>
                <w:right w:val="none" w:sz="0" w:space="0" w:color="auto"/>
              </w:divBdr>
            </w:div>
          </w:divsChild>
        </w:div>
        <w:div w:id="896664104">
          <w:marLeft w:val="0"/>
          <w:marRight w:val="0"/>
          <w:marTop w:val="0"/>
          <w:marBottom w:val="0"/>
          <w:divBdr>
            <w:top w:val="none" w:sz="0" w:space="0" w:color="auto"/>
            <w:left w:val="none" w:sz="0" w:space="0" w:color="auto"/>
            <w:bottom w:val="none" w:sz="0" w:space="0" w:color="auto"/>
            <w:right w:val="none" w:sz="0" w:space="0" w:color="auto"/>
          </w:divBdr>
          <w:divsChild>
            <w:div w:id="548879432">
              <w:marLeft w:val="0"/>
              <w:marRight w:val="0"/>
              <w:marTop w:val="0"/>
              <w:marBottom w:val="0"/>
              <w:divBdr>
                <w:top w:val="none" w:sz="0" w:space="0" w:color="auto"/>
                <w:left w:val="none" w:sz="0" w:space="0" w:color="auto"/>
                <w:bottom w:val="none" w:sz="0" w:space="0" w:color="auto"/>
                <w:right w:val="none" w:sz="0" w:space="0" w:color="auto"/>
              </w:divBdr>
            </w:div>
            <w:div w:id="874267854">
              <w:marLeft w:val="0"/>
              <w:marRight w:val="0"/>
              <w:marTop w:val="0"/>
              <w:marBottom w:val="0"/>
              <w:divBdr>
                <w:top w:val="none" w:sz="0" w:space="0" w:color="auto"/>
                <w:left w:val="none" w:sz="0" w:space="0" w:color="auto"/>
                <w:bottom w:val="none" w:sz="0" w:space="0" w:color="auto"/>
                <w:right w:val="none" w:sz="0" w:space="0" w:color="auto"/>
              </w:divBdr>
            </w:div>
          </w:divsChild>
        </w:div>
        <w:div w:id="948899629">
          <w:marLeft w:val="0"/>
          <w:marRight w:val="0"/>
          <w:marTop w:val="0"/>
          <w:marBottom w:val="0"/>
          <w:divBdr>
            <w:top w:val="none" w:sz="0" w:space="0" w:color="auto"/>
            <w:left w:val="none" w:sz="0" w:space="0" w:color="auto"/>
            <w:bottom w:val="none" w:sz="0" w:space="0" w:color="auto"/>
            <w:right w:val="none" w:sz="0" w:space="0" w:color="auto"/>
          </w:divBdr>
          <w:divsChild>
            <w:div w:id="1866022347">
              <w:marLeft w:val="0"/>
              <w:marRight w:val="0"/>
              <w:marTop w:val="0"/>
              <w:marBottom w:val="0"/>
              <w:divBdr>
                <w:top w:val="none" w:sz="0" w:space="0" w:color="auto"/>
                <w:left w:val="none" w:sz="0" w:space="0" w:color="auto"/>
                <w:bottom w:val="none" w:sz="0" w:space="0" w:color="auto"/>
                <w:right w:val="none" w:sz="0" w:space="0" w:color="auto"/>
              </w:divBdr>
            </w:div>
          </w:divsChild>
        </w:div>
        <w:div w:id="965886666">
          <w:marLeft w:val="0"/>
          <w:marRight w:val="0"/>
          <w:marTop w:val="0"/>
          <w:marBottom w:val="0"/>
          <w:divBdr>
            <w:top w:val="none" w:sz="0" w:space="0" w:color="auto"/>
            <w:left w:val="none" w:sz="0" w:space="0" w:color="auto"/>
            <w:bottom w:val="none" w:sz="0" w:space="0" w:color="auto"/>
            <w:right w:val="none" w:sz="0" w:space="0" w:color="auto"/>
          </w:divBdr>
          <w:divsChild>
            <w:div w:id="589242912">
              <w:marLeft w:val="0"/>
              <w:marRight w:val="0"/>
              <w:marTop w:val="0"/>
              <w:marBottom w:val="0"/>
              <w:divBdr>
                <w:top w:val="none" w:sz="0" w:space="0" w:color="auto"/>
                <w:left w:val="none" w:sz="0" w:space="0" w:color="auto"/>
                <w:bottom w:val="none" w:sz="0" w:space="0" w:color="auto"/>
                <w:right w:val="none" w:sz="0" w:space="0" w:color="auto"/>
              </w:divBdr>
            </w:div>
          </w:divsChild>
        </w:div>
        <w:div w:id="990328469">
          <w:marLeft w:val="0"/>
          <w:marRight w:val="0"/>
          <w:marTop w:val="0"/>
          <w:marBottom w:val="0"/>
          <w:divBdr>
            <w:top w:val="none" w:sz="0" w:space="0" w:color="auto"/>
            <w:left w:val="none" w:sz="0" w:space="0" w:color="auto"/>
            <w:bottom w:val="none" w:sz="0" w:space="0" w:color="auto"/>
            <w:right w:val="none" w:sz="0" w:space="0" w:color="auto"/>
          </w:divBdr>
          <w:divsChild>
            <w:div w:id="1108429380">
              <w:marLeft w:val="0"/>
              <w:marRight w:val="0"/>
              <w:marTop w:val="0"/>
              <w:marBottom w:val="0"/>
              <w:divBdr>
                <w:top w:val="none" w:sz="0" w:space="0" w:color="auto"/>
                <w:left w:val="none" w:sz="0" w:space="0" w:color="auto"/>
                <w:bottom w:val="none" w:sz="0" w:space="0" w:color="auto"/>
                <w:right w:val="none" w:sz="0" w:space="0" w:color="auto"/>
              </w:divBdr>
            </w:div>
          </w:divsChild>
        </w:div>
        <w:div w:id="1007903722">
          <w:marLeft w:val="0"/>
          <w:marRight w:val="0"/>
          <w:marTop w:val="0"/>
          <w:marBottom w:val="0"/>
          <w:divBdr>
            <w:top w:val="none" w:sz="0" w:space="0" w:color="auto"/>
            <w:left w:val="none" w:sz="0" w:space="0" w:color="auto"/>
            <w:bottom w:val="none" w:sz="0" w:space="0" w:color="auto"/>
            <w:right w:val="none" w:sz="0" w:space="0" w:color="auto"/>
          </w:divBdr>
          <w:divsChild>
            <w:div w:id="1758598450">
              <w:marLeft w:val="0"/>
              <w:marRight w:val="0"/>
              <w:marTop w:val="0"/>
              <w:marBottom w:val="0"/>
              <w:divBdr>
                <w:top w:val="none" w:sz="0" w:space="0" w:color="auto"/>
                <w:left w:val="none" w:sz="0" w:space="0" w:color="auto"/>
                <w:bottom w:val="none" w:sz="0" w:space="0" w:color="auto"/>
                <w:right w:val="none" w:sz="0" w:space="0" w:color="auto"/>
              </w:divBdr>
            </w:div>
          </w:divsChild>
        </w:div>
        <w:div w:id="1048145678">
          <w:marLeft w:val="0"/>
          <w:marRight w:val="0"/>
          <w:marTop w:val="0"/>
          <w:marBottom w:val="0"/>
          <w:divBdr>
            <w:top w:val="none" w:sz="0" w:space="0" w:color="auto"/>
            <w:left w:val="none" w:sz="0" w:space="0" w:color="auto"/>
            <w:bottom w:val="none" w:sz="0" w:space="0" w:color="auto"/>
            <w:right w:val="none" w:sz="0" w:space="0" w:color="auto"/>
          </w:divBdr>
          <w:divsChild>
            <w:div w:id="2008744862">
              <w:marLeft w:val="0"/>
              <w:marRight w:val="0"/>
              <w:marTop w:val="0"/>
              <w:marBottom w:val="0"/>
              <w:divBdr>
                <w:top w:val="none" w:sz="0" w:space="0" w:color="auto"/>
                <w:left w:val="none" w:sz="0" w:space="0" w:color="auto"/>
                <w:bottom w:val="none" w:sz="0" w:space="0" w:color="auto"/>
                <w:right w:val="none" w:sz="0" w:space="0" w:color="auto"/>
              </w:divBdr>
            </w:div>
          </w:divsChild>
        </w:div>
        <w:div w:id="1072312428">
          <w:marLeft w:val="0"/>
          <w:marRight w:val="0"/>
          <w:marTop w:val="0"/>
          <w:marBottom w:val="0"/>
          <w:divBdr>
            <w:top w:val="none" w:sz="0" w:space="0" w:color="auto"/>
            <w:left w:val="none" w:sz="0" w:space="0" w:color="auto"/>
            <w:bottom w:val="none" w:sz="0" w:space="0" w:color="auto"/>
            <w:right w:val="none" w:sz="0" w:space="0" w:color="auto"/>
          </w:divBdr>
          <w:divsChild>
            <w:div w:id="1956205118">
              <w:marLeft w:val="0"/>
              <w:marRight w:val="0"/>
              <w:marTop w:val="0"/>
              <w:marBottom w:val="0"/>
              <w:divBdr>
                <w:top w:val="none" w:sz="0" w:space="0" w:color="auto"/>
                <w:left w:val="none" w:sz="0" w:space="0" w:color="auto"/>
                <w:bottom w:val="none" w:sz="0" w:space="0" w:color="auto"/>
                <w:right w:val="none" w:sz="0" w:space="0" w:color="auto"/>
              </w:divBdr>
            </w:div>
          </w:divsChild>
        </w:div>
        <w:div w:id="1108816990">
          <w:marLeft w:val="0"/>
          <w:marRight w:val="0"/>
          <w:marTop w:val="0"/>
          <w:marBottom w:val="0"/>
          <w:divBdr>
            <w:top w:val="none" w:sz="0" w:space="0" w:color="auto"/>
            <w:left w:val="none" w:sz="0" w:space="0" w:color="auto"/>
            <w:bottom w:val="none" w:sz="0" w:space="0" w:color="auto"/>
            <w:right w:val="none" w:sz="0" w:space="0" w:color="auto"/>
          </w:divBdr>
          <w:divsChild>
            <w:div w:id="294215605">
              <w:marLeft w:val="0"/>
              <w:marRight w:val="0"/>
              <w:marTop w:val="0"/>
              <w:marBottom w:val="0"/>
              <w:divBdr>
                <w:top w:val="none" w:sz="0" w:space="0" w:color="auto"/>
                <w:left w:val="none" w:sz="0" w:space="0" w:color="auto"/>
                <w:bottom w:val="none" w:sz="0" w:space="0" w:color="auto"/>
                <w:right w:val="none" w:sz="0" w:space="0" w:color="auto"/>
              </w:divBdr>
            </w:div>
          </w:divsChild>
        </w:div>
        <w:div w:id="1169641646">
          <w:marLeft w:val="0"/>
          <w:marRight w:val="0"/>
          <w:marTop w:val="0"/>
          <w:marBottom w:val="0"/>
          <w:divBdr>
            <w:top w:val="none" w:sz="0" w:space="0" w:color="auto"/>
            <w:left w:val="none" w:sz="0" w:space="0" w:color="auto"/>
            <w:bottom w:val="none" w:sz="0" w:space="0" w:color="auto"/>
            <w:right w:val="none" w:sz="0" w:space="0" w:color="auto"/>
          </w:divBdr>
          <w:divsChild>
            <w:div w:id="1349523032">
              <w:marLeft w:val="0"/>
              <w:marRight w:val="0"/>
              <w:marTop w:val="0"/>
              <w:marBottom w:val="0"/>
              <w:divBdr>
                <w:top w:val="none" w:sz="0" w:space="0" w:color="auto"/>
                <w:left w:val="none" w:sz="0" w:space="0" w:color="auto"/>
                <w:bottom w:val="none" w:sz="0" w:space="0" w:color="auto"/>
                <w:right w:val="none" w:sz="0" w:space="0" w:color="auto"/>
              </w:divBdr>
            </w:div>
          </w:divsChild>
        </w:div>
        <w:div w:id="1235437246">
          <w:marLeft w:val="0"/>
          <w:marRight w:val="0"/>
          <w:marTop w:val="0"/>
          <w:marBottom w:val="0"/>
          <w:divBdr>
            <w:top w:val="none" w:sz="0" w:space="0" w:color="auto"/>
            <w:left w:val="none" w:sz="0" w:space="0" w:color="auto"/>
            <w:bottom w:val="none" w:sz="0" w:space="0" w:color="auto"/>
            <w:right w:val="none" w:sz="0" w:space="0" w:color="auto"/>
          </w:divBdr>
          <w:divsChild>
            <w:div w:id="1673529964">
              <w:marLeft w:val="0"/>
              <w:marRight w:val="0"/>
              <w:marTop w:val="0"/>
              <w:marBottom w:val="0"/>
              <w:divBdr>
                <w:top w:val="none" w:sz="0" w:space="0" w:color="auto"/>
                <w:left w:val="none" w:sz="0" w:space="0" w:color="auto"/>
                <w:bottom w:val="none" w:sz="0" w:space="0" w:color="auto"/>
                <w:right w:val="none" w:sz="0" w:space="0" w:color="auto"/>
              </w:divBdr>
            </w:div>
          </w:divsChild>
        </w:div>
        <w:div w:id="1302005349">
          <w:marLeft w:val="0"/>
          <w:marRight w:val="0"/>
          <w:marTop w:val="0"/>
          <w:marBottom w:val="0"/>
          <w:divBdr>
            <w:top w:val="none" w:sz="0" w:space="0" w:color="auto"/>
            <w:left w:val="none" w:sz="0" w:space="0" w:color="auto"/>
            <w:bottom w:val="none" w:sz="0" w:space="0" w:color="auto"/>
            <w:right w:val="none" w:sz="0" w:space="0" w:color="auto"/>
          </w:divBdr>
          <w:divsChild>
            <w:div w:id="971903269">
              <w:marLeft w:val="0"/>
              <w:marRight w:val="0"/>
              <w:marTop w:val="0"/>
              <w:marBottom w:val="0"/>
              <w:divBdr>
                <w:top w:val="none" w:sz="0" w:space="0" w:color="auto"/>
                <w:left w:val="none" w:sz="0" w:space="0" w:color="auto"/>
                <w:bottom w:val="none" w:sz="0" w:space="0" w:color="auto"/>
                <w:right w:val="none" w:sz="0" w:space="0" w:color="auto"/>
              </w:divBdr>
            </w:div>
          </w:divsChild>
        </w:div>
        <w:div w:id="1326667176">
          <w:marLeft w:val="0"/>
          <w:marRight w:val="0"/>
          <w:marTop w:val="0"/>
          <w:marBottom w:val="0"/>
          <w:divBdr>
            <w:top w:val="none" w:sz="0" w:space="0" w:color="auto"/>
            <w:left w:val="none" w:sz="0" w:space="0" w:color="auto"/>
            <w:bottom w:val="none" w:sz="0" w:space="0" w:color="auto"/>
            <w:right w:val="none" w:sz="0" w:space="0" w:color="auto"/>
          </w:divBdr>
          <w:divsChild>
            <w:div w:id="720518611">
              <w:marLeft w:val="0"/>
              <w:marRight w:val="0"/>
              <w:marTop w:val="0"/>
              <w:marBottom w:val="0"/>
              <w:divBdr>
                <w:top w:val="none" w:sz="0" w:space="0" w:color="auto"/>
                <w:left w:val="none" w:sz="0" w:space="0" w:color="auto"/>
                <w:bottom w:val="none" w:sz="0" w:space="0" w:color="auto"/>
                <w:right w:val="none" w:sz="0" w:space="0" w:color="auto"/>
              </w:divBdr>
            </w:div>
          </w:divsChild>
        </w:div>
        <w:div w:id="1340236026">
          <w:marLeft w:val="0"/>
          <w:marRight w:val="0"/>
          <w:marTop w:val="0"/>
          <w:marBottom w:val="0"/>
          <w:divBdr>
            <w:top w:val="none" w:sz="0" w:space="0" w:color="auto"/>
            <w:left w:val="none" w:sz="0" w:space="0" w:color="auto"/>
            <w:bottom w:val="none" w:sz="0" w:space="0" w:color="auto"/>
            <w:right w:val="none" w:sz="0" w:space="0" w:color="auto"/>
          </w:divBdr>
          <w:divsChild>
            <w:div w:id="2041391753">
              <w:marLeft w:val="0"/>
              <w:marRight w:val="0"/>
              <w:marTop w:val="0"/>
              <w:marBottom w:val="0"/>
              <w:divBdr>
                <w:top w:val="none" w:sz="0" w:space="0" w:color="auto"/>
                <w:left w:val="none" w:sz="0" w:space="0" w:color="auto"/>
                <w:bottom w:val="none" w:sz="0" w:space="0" w:color="auto"/>
                <w:right w:val="none" w:sz="0" w:space="0" w:color="auto"/>
              </w:divBdr>
            </w:div>
          </w:divsChild>
        </w:div>
        <w:div w:id="1341859201">
          <w:marLeft w:val="0"/>
          <w:marRight w:val="0"/>
          <w:marTop w:val="0"/>
          <w:marBottom w:val="0"/>
          <w:divBdr>
            <w:top w:val="none" w:sz="0" w:space="0" w:color="auto"/>
            <w:left w:val="none" w:sz="0" w:space="0" w:color="auto"/>
            <w:bottom w:val="none" w:sz="0" w:space="0" w:color="auto"/>
            <w:right w:val="none" w:sz="0" w:space="0" w:color="auto"/>
          </w:divBdr>
          <w:divsChild>
            <w:div w:id="666445709">
              <w:marLeft w:val="0"/>
              <w:marRight w:val="0"/>
              <w:marTop w:val="0"/>
              <w:marBottom w:val="0"/>
              <w:divBdr>
                <w:top w:val="none" w:sz="0" w:space="0" w:color="auto"/>
                <w:left w:val="none" w:sz="0" w:space="0" w:color="auto"/>
                <w:bottom w:val="none" w:sz="0" w:space="0" w:color="auto"/>
                <w:right w:val="none" w:sz="0" w:space="0" w:color="auto"/>
              </w:divBdr>
            </w:div>
          </w:divsChild>
        </w:div>
        <w:div w:id="1349600175">
          <w:marLeft w:val="0"/>
          <w:marRight w:val="0"/>
          <w:marTop w:val="0"/>
          <w:marBottom w:val="0"/>
          <w:divBdr>
            <w:top w:val="none" w:sz="0" w:space="0" w:color="auto"/>
            <w:left w:val="none" w:sz="0" w:space="0" w:color="auto"/>
            <w:bottom w:val="none" w:sz="0" w:space="0" w:color="auto"/>
            <w:right w:val="none" w:sz="0" w:space="0" w:color="auto"/>
          </w:divBdr>
          <w:divsChild>
            <w:div w:id="195193675">
              <w:marLeft w:val="0"/>
              <w:marRight w:val="0"/>
              <w:marTop w:val="0"/>
              <w:marBottom w:val="0"/>
              <w:divBdr>
                <w:top w:val="none" w:sz="0" w:space="0" w:color="auto"/>
                <w:left w:val="none" w:sz="0" w:space="0" w:color="auto"/>
                <w:bottom w:val="none" w:sz="0" w:space="0" w:color="auto"/>
                <w:right w:val="none" w:sz="0" w:space="0" w:color="auto"/>
              </w:divBdr>
            </w:div>
          </w:divsChild>
        </w:div>
        <w:div w:id="1384062843">
          <w:marLeft w:val="0"/>
          <w:marRight w:val="0"/>
          <w:marTop w:val="0"/>
          <w:marBottom w:val="0"/>
          <w:divBdr>
            <w:top w:val="none" w:sz="0" w:space="0" w:color="auto"/>
            <w:left w:val="none" w:sz="0" w:space="0" w:color="auto"/>
            <w:bottom w:val="none" w:sz="0" w:space="0" w:color="auto"/>
            <w:right w:val="none" w:sz="0" w:space="0" w:color="auto"/>
          </w:divBdr>
          <w:divsChild>
            <w:div w:id="109204805">
              <w:marLeft w:val="0"/>
              <w:marRight w:val="0"/>
              <w:marTop w:val="0"/>
              <w:marBottom w:val="0"/>
              <w:divBdr>
                <w:top w:val="none" w:sz="0" w:space="0" w:color="auto"/>
                <w:left w:val="none" w:sz="0" w:space="0" w:color="auto"/>
                <w:bottom w:val="none" w:sz="0" w:space="0" w:color="auto"/>
                <w:right w:val="none" w:sz="0" w:space="0" w:color="auto"/>
              </w:divBdr>
            </w:div>
          </w:divsChild>
        </w:div>
        <w:div w:id="1471634175">
          <w:marLeft w:val="0"/>
          <w:marRight w:val="0"/>
          <w:marTop w:val="0"/>
          <w:marBottom w:val="0"/>
          <w:divBdr>
            <w:top w:val="none" w:sz="0" w:space="0" w:color="auto"/>
            <w:left w:val="none" w:sz="0" w:space="0" w:color="auto"/>
            <w:bottom w:val="none" w:sz="0" w:space="0" w:color="auto"/>
            <w:right w:val="none" w:sz="0" w:space="0" w:color="auto"/>
          </w:divBdr>
          <w:divsChild>
            <w:div w:id="1432700975">
              <w:marLeft w:val="0"/>
              <w:marRight w:val="0"/>
              <w:marTop w:val="0"/>
              <w:marBottom w:val="0"/>
              <w:divBdr>
                <w:top w:val="none" w:sz="0" w:space="0" w:color="auto"/>
                <w:left w:val="none" w:sz="0" w:space="0" w:color="auto"/>
                <w:bottom w:val="none" w:sz="0" w:space="0" w:color="auto"/>
                <w:right w:val="none" w:sz="0" w:space="0" w:color="auto"/>
              </w:divBdr>
            </w:div>
          </w:divsChild>
        </w:div>
        <w:div w:id="1540895556">
          <w:marLeft w:val="0"/>
          <w:marRight w:val="0"/>
          <w:marTop w:val="0"/>
          <w:marBottom w:val="0"/>
          <w:divBdr>
            <w:top w:val="none" w:sz="0" w:space="0" w:color="auto"/>
            <w:left w:val="none" w:sz="0" w:space="0" w:color="auto"/>
            <w:bottom w:val="none" w:sz="0" w:space="0" w:color="auto"/>
            <w:right w:val="none" w:sz="0" w:space="0" w:color="auto"/>
          </w:divBdr>
          <w:divsChild>
            <w:div w:id="561405350">
              <w:marLeft w:val="0"/>
              <w:marRight w:val="0"/>
              <w:marTop w:val="0"/>
              <w:marBottom w:val="0"/>
              <w:divBdr>
                <w:top w:val="none" w:sz="0" w:space="0" w:color="auto"/>
                <w:left w:val="none" w:sz="0" w:space="0" w:color="auto"/>
                <w:bottom w:val="none" w:sz="0" w:space="0" w:color="auto"/>
                <w:right w:val="none" w:sz="0" w:space="0" w:color="auto"/>
              </w:divBdr>
            </w:div>
          </w:divsChild>
        </w:div>
        <w:div w:id="1611399766">
          <w:marLeft w:val="0"/>
          <w:marRight w:val="0"/>
          <w:marTop w:val="0"/>
          <w:marBottom w:val="0"/>
          <w:divBdr>
            <w:top w:val="none" w:sz="0" w:space="0" w:color="auto"/>
            <w:left w:val="none" w:sz="0" w:space="0" w:color="auto"/>
            <w:bottom w:val="none" w:sz="0" w:space="0" w:color="auto"/>
            <w:right w:val="none" w:sz="0" w:space="0" w:color="auto"/>
          </w:divBdr>
          <w:divsChild>
            <w:div w:id="1246260090">
              <w:marLeft w:val="0"/>
              <w:marRight w:val="0"/>
              <w:marTop w:val="0"/>
              <w:marBottom w:val="0"/>
              <w:divBdr>
                <w:top w:val="none" w:sz="0" w:space="0" w:color="auto"/>
                <w:left w:val="none" w:sz="0" w:space="0" w:color="auto"/>
                <w:bottom w:val="none" w:sz="0" w:space="0" w:color="auto"/>
                <w:right w:val="none" w:sz="0" w:space="0" w:color="auto"/>
              </w:divBdr>
            </w:div>
          </w:divsChild>
        </w:div>
        <w:div w:id="1628201992">
          <w:marLeft w:val="0"/>
          <w:marRight w:val="0"/>
          <w:marTop w:val="0"/>
          <w:marBottom w:val="0"/>
          <w:divBdr>
            <w:top w:val="none" w:sz="0" w:space="0" w:color="auto"/>
            <w:left w:val="none" w:sz="0" w:space="0" w:color="auto"/>
            <w:bottom w:val="none" w:sz="0" w:space="0" w:color="auto"/>
            <w:right w:val="none" w:sz="0" w:space="0" w:color="auto"/>
          </w:divBdr>
          <w:divsChild>
            <w:div w:id="658003006">
              <w:marLeft w:val="0"/>
              <w:marRight w:val="0"/>
              <w:marTop w:val="0"/>
              <w:marBottom w:val="0"/>
              <w:divBdr>
                <w:top w:val="none" w:sz="0" w:space="0" w:color="auto"/>
                <w:left w:val="none" w:sz="0" w:space="0" w:color="auto"/>
                <w:bottom w:val="none" w:sz="0" w:space="0" w:color="auto"/>
                <w:right w:val="none" w:sz="0" w:space="0" w:color="auto"/>
              </w:divBdr>
            </w:div>
          </w:divsChild>
        </w:div>
        <w:div w:id="1630670456">
          <w:marLeft w:val="0"/>
          <w:marRight w:val="0"/>
          <w:marTop w:val="0"/>
          <w:marBottom w:val="0"/>
          <w:divBdr>
            <w:top w:val="none" w:sz="0" w:space="0" w:color="auto"/>
            <w:left w:val="none" w:sz="0" w:space="0" w:color="auto"/>
            <w:bottom w:val="none" w:sz="0" w:space="0" w:color="auto"/>
            <w:right w:val="none" w:sz="0" w:space="0" w:color="auto"/>
          </w:divBdr>
          <w:divsChild>
            <w:div w:id="1393231551">
              <w:marLeft w:val="0"/>
              <w:marRight w:val="0"/>
              <w:marTop w:val="0"/>
              <w:marBottom w:val="0"/>
              <w:divBdr>
                <w:top w:val="none" w:sz="0" w:space="0" w:color="auto"/>
                <w:left w:val="none" w:sz="0" w:space="0" w:color="auto"/>
                <w:bottom w:val="none" w:sz="0" w:space="0" w:color="auto"/>
                <w:right w:val="none" w:sz="0" w:space="0" w:color="auto"/>
              </w:divBdr>
            </w:div>
          </w:divsChild>
        </w:div>
        <w:div w:id="1651324111">
          <w:marLeft w:val="0"/>
          <w:marRight w:val="0"/>
          <w:marTop w:val="0"/>
          <w:marBottom w:val="0"/>
          <w:divBdr>
            <w:top w:val="none" w:sz="0" w:space="0" w:color="auto"/>
            <w:left w:val="none" w:sz="0" w:space="0" w:color="auto"/>
            <w:bottom w:val="none" w:sz="0" w:space="0" w:color="auto"/>
            <w:right w:val="none" w:sz="0" w:space="0" w:color="auto"/>
          </w:divBdr>
          <w:divsChild>
            <w:div w:id="1739668633">
              <w:marLeft w:val="0"/>
              <w:marRight w:val="0"/>
              <w:marTop w:val="0"/>
              <w:marBottom w:val="0"/>
              <w:divBdr>
                <w:top w:val="none" w:sz="0" w:space="0" w:color="auto"/>
                <w:left w:val="none" w:sz="0" w:space="0" w:color="auto"/>
                <w:bottom w:val="none" w:sz="0" w:space="0" w:color="auto"/>
                <w:right w:val="none" w:sz="0" w:space="0" w:color="auto"/>
              </w:divBdr>
            </w:div>
          </w:divsChild>
        </w:div>
        <w:div w:id="1688868039">
          <w:marLeft w:val="0"/>
          <w:marRight w:val="0"/>
          <w:marTop w:val="0"/>
          <w:marBottom w:val="0"/>
          <w:divBdr>
            <w:top w:val="none" w:sz="0" w:space="0" w:color="auto"/>
            <w:left w:val="none" w:sz="0" w:space="0" w:color="auto"/>
            <w:bottom w:val="none" w:sz="0" w:space="0" w:color="auto"/>
            <w:right w:val="none" w:sz="0" w:space="0" w:color="auto"/>
          </w:divBdr>
          <w:divsChild>
            <w:div w:id="683943407">
              <w:marLeft w:val="0"/>
              <w:marRight w:val="0"/>
              <w:marTop w:val="0"/>
              <w:marBottom w:val="0"/>
              <w:divBdr>
                <w:top w:val="none" w:sz="0" w:space="0" w:color="auto"/>
                <w:left w:val="none" w:sz="0" w:space="0" w:color="auto"/>
                <w:bottom w:val="none" w:sz="0" w:space="0" w:color="auto"/>
                <w:right w:val="none" w:sz="0" w:space="0" w:color="auto"/>
              </w:divBdr>
            </w:div>
          </w:divsChild>
        </w:div>
        <w:div w:id="1747530837">
          <w:marLeft w:val="0"/>
          <w:marRight w:val="0"/>
          <w:marTop w:val="0"/>
          <w:marBottom w:val="0"/>
          <w:divBdr>
            <w:top w:val="none" w:sz="0" w:space="0" w:color="auto"/>
            <w:left w:val="none" w:sz="0" w:space="0" w:color="auto"/>
            <w:bottom w:val="none" w:sz="0" w:space="0" w:color="auto"/>
            <w:right w:val="none" w:sz="0" w:space="0" w:color="auto"/>
          </w:divBdr>
          <w:divsChild>
            <w:div w:id="381054629">
              <w:marLeft w:val="0"/>
              <w:marRight w:val="0"/>
              <w:marTop w:val="0"/>
              <w:marBottom w:val="0"/>
              <w:divBdr>
                <w:top w:val="none" w:sz="0" w:space="0" w:color="auto"/>
                <w:left w:val="none" w:sz="0" w:space="0" w:color="auto"/>
                <w:bottom w:val="none" w:sz="0" w:space="0" w:color="auto"/>
                <w:right w:val="none" w:sz="0" w:space="0" w:color="auto"/>
              </w:divBdr>
            </w:div>
          </w:divsChild>
        </w:div>
        <w:div w:id="1772627706">
          <w:marLeft w:val="0"/>
          <w:marRight w:val="0"/>
          <w:marTop w:val="0"/>
          <w:marBottom w:val="0"/>
          <w:divBdr>
            <w:top w:val="none" w:sz="0" w:space="0" w:color="auto"/>
            <w:left w:val="none" w:sz="0" w:space="0" w:color="auto"/>
            <w:bottom w:val="none" w:sz="0" w:space="0" w:color="auto"/>
            <w:right w:val="none" w:sz="0" w:space="0" w:color="auto"/>
          </w:divBdr>
          <w:divsChild>
            <w:div w:id="1120105142">
              <w:marLeft w:val="0"/>
              <w:marRight w:val="0"/>
              <w:marTop w:val="0"/>
              <w:marBottom w:val="0"/>
              <w:divBdr>
                <w:top w:val="none" w:sz="0" w:space="0" w:color="auto"/>
                <w:left w:val="none" w:sz="0" w:space="0" w:color="auto"/>
                <w:bottom w:val="none" w:sz="0" w:space="0" w:color="auto"/>
                <w:right w:val="none" w:sz="0" w:space="0" w:color="auto"/>
              </w:divBdr>
            </w:div>
          </w:divsChild>
        </w:div>
        <w:div w:id="1854608397">
          <w:marLeft w:val="0"/>
          <w:marRight w:val="0"/>
          <w:marTop w:val="0"/>
          <w:marBottom w:val="0"/>
          <w:divBdr>
            <w:top w:val="none" w:sz="0" w:space="0" w:color="auto"/>
            <w:left w:val="none" w:sz="0" w:space="0" w:color="auto"/>
            <w:bottom w:val="none" w:sz="0" w:space="0" w:color="auto"/>
            <w:right w:val="none" w:sz="0" w:space="0" w:color="auto"/>
          </w:divBdr>
          <w:divsChild>
            <w:div w:id="1020083931">
              <w:marLeft w:val="0"/>
              <w:marRight w:val="0"/>
              <w:marTop w:val="0"/>
              <w:marBottom w:val="0"/>
              <w:divBdr>
                <w:top w:val="none" w:sz="0" w:space="0" w:color="auto"/>
                <w:left w:val="none" w:sz="0" w:space="0" w:color="auto"/>
                <w:bottom w:val="none" w:sz="0" w:space="0" w:color="auto"/>
                <w:right w:val="none" w:sz="0" w:space="0" w:color="auto"/>
              </w:divBdr>
            </w:div>
          </w:divsChild>
        </w:div>
        <w:div w:id="1859930456">
          <w:marLeft w:val="0"/>
          <w:marRight w:val="0"/>
          <w:marTop w:val="0"/>
          <w:marBottom w:val="0"/>
          <w:divBdr>
            <w:top w:val="none" w:sz="0" w:space="0" w:color="auto"/>
            <w:left w:val="none" w:sz="0" w:space="0" w:color="auto"/>
            <w:bottom w:val="none" w:sz="0" w:space="0" w:color="auto"/>
            <w:right w:val="none" w:sz="0" w:space="0" w:color="auto"/>
          </w:divBdr>
          <w:divsChild>
            <w:div w:id="1153793156">
              <w:marLeft w:val="0"/>
              <w:marRight w:val="0"/>
              <w:marTop w:val="0"/>
              <w:marBottom w:val="0"/>
              <w:divBdr>
                <w:top w:val="none" w:sz="0" w:space="0" w:color="auto"/>
                <w:left w:val="none" w:sz="0" w:space="0" w:color="auto"/>
                <w:bottom w:val="none" w:sz="0" w:space="0" w:color="auto"/>
                <w:right w:val="none" w:sz="0" w:space="0" w:color="auto"/>
              </w:divBdr>
            </w:div>
          </w:divsChild>
        </w:div>
        <w:div w:id="1875189166">
          <w:marLeft w:val="0"/>
          <w:marRight w:val="0"/>
          <w:marTop w:val="0"/>
          <w:marBottom w:val="0"/>
          <w:divBdr>
            <w:top w:val="none" w:sz="0" w:space="0" w:color="auto"/>
            <w:left w:val="none" w:sz="0" w:space="0" w:color="auto"/>
            <w:bottom w:val="none" w:sz="0" w:space="0" w:color="auto"/>
            <w:right w:val="none" w:sz="0" w:space="0" w:color="auto"/>
          </w:divBdr>
          <w:divsChild>
            <w:div w:id="1484854483">
              <w:marLeft w:val="0"/>
              <w:marRight w:val="0"/>
              <w:marTop w:val="0"/>
              <w:marBottom w:val="0"/>
              <w:divBdr>
                <w:top w:val="none" w:sz="0" w:space="0" w:color="auto"/>
                <w:left w:val="none" w:sz="0" w:space="0" w:color="auto"/>
                <w:bottom w:val="none" w:sz="0" w:space="0" w:color="auto"/>
                <w:right w:val="none" w:sz="0" w:space="0" w:color="auto"/>
              </w:divBdr>
            </w:div>
          </w:divsChild>
        </w:div>
        <w:div w:id="1879119499">
          <w:marLeft w:val="0"/>
          <w:marRight w:val="0"/>
          <w:marTop w:val="0"/>
          <w:marBottom w:val="0"/>
          <w:divBdr>
            <w:top w:val="none" w:sz="0" w:space="0" w:color="auto"/>
            <w:left w:val="none" w:sz="0" w:space="0" w:color="auto"/>
            <w:bottom w:val="none" w:sz="0" w:space="0" w:color="auto"/>
            <w:right w:val="none" w:sz="0" w:space="0" w:color="auto"/>
          </w:divBdr>
          <w:divsChild>
            <w:div w:id="2056197181">
              <w:marLeft w:val="0"/>
              <w:marRight w:val="0"/>
              <w:marTop w:val="0"/>
              <w:marBottom w:val="0"/>
              <w:divBdr>
                <w:top w:val="none" w:sz="0" w:space="0" w:color="auto"/>
                <w:left w:val="none" w:sz="0" w:space="0" w:color="auto"/>
                <w:bottom w:val="none" w:sz="0" w:space="0" w:color="auto"/>
                <w:right w:val="none" w:sz="0" w:space="0" w:color="auto"/>
              </w:divBdr>
            </w:div>
          </w:divsChild>
        </w:div>
        <w:div w:id="1937131173">
          <w:marLeft w:val="0"/>
          <w:marRight w:val="0"/>
          <w:marTop w:val="0"/>
          <w:marBottom w:val="0"/>
          <w:divBdr>
            <w:top w:val="none" w:sz="0" w:space="0" w:color="auto"/>
            <w:left w:val="none" w:sz="0" w:space="0" w:color="auto"/>
            <w:bottom w:val="none" w:sz="0" w:space="0" w:color="auto"/>
            <w:right w:val="none" w:sz="0" w:space="0" w:color="auto"/>
          </w:divBdr>
          <w:divsChild>
            <w:div w:id="1516769054">
              <w:marLeft w:val="0"/>
              <w:marRight w:val="0"/>
              <w:marTop w:val="0"/>
              <w:marBottom w:val="0"/>
              <w:divBdr>
                <w:top w:val="none" w:sz="0" w:space="0" w:color="auto"/>
                <w:left w:val="none" w:sz="0" w:space="0" w:color="auto"/>
                <w:bottom w:val="none" w:sz="0" w:space="0" w:color="auto"/>
                <w:right w:val="none" w:sz="0" w:space="0" w:color="auto"/>
              </w:divBdr>
            </w:div>
          </w:divsChild>
        </w:div>
        <w:div w:id="1941258133">
          <w:marLeft w:val="0"/>
          <w:marRight w:val="0"/>
          <w:marTop w:val="0"/>
          <w:marBottom w:val="0"/>
          <w:divBdr>
            <w:top w:val="none" w:sz="0" w:space="0" w:color="auto"/>
            <w:left w:val="none" w:sz="0" w:space="0" w:color="auto"/>
            <w:bottom w:val="none" w:sz="0" w:space="0" w:color="auto"/>
            <w:right w:val="none" w:sz="0" w:space="0" w:color="auto"/>
          </w:divBdr>
          <w:divsChild>
            <w:div w:id="74324243">
              <w:marLeft w:val="0"/>
              <w:marRight w:val="0"/>
              <w:marTop w:val="0"/>
              <w:marBottom w:val="0"/>
              <w:divBdr>
                <w:top w:val="none" w:sz="0" w:space="0" w:color="auto"/>
                <w:left w:val="none" w:sz="0" w:space="0" w:color="auto"/>
                <w:bottom w:val="none" w:sz="0" w:space="0" w:color="auto"/>
                <w:right w:val="none" w:sz="0" w:space="0" w:color="auto"/>
              </w:divBdr>
            </w:div>
          </w:divsChild>
        </w:div>
        <w:div w:id="1948000835">
          <w:marLeft w:val="0"/>
          <w:marRight w:val="0"/>
          <w:marTop w:val="0"/>
          <w:marBottom w:val="0"/>
          <w:divBdr>
            <w:top w:val="none" w:sz="0" w:space="0" w:color="auto"/>
            <w:left w:val="none" w:sz="0" w:space="0" w:color="auto"/>
            <w:bottom w:val="none" w:sz="0" w:space="0" w:color="auto"/>
            <w:right w:val="none" w:sz="0" w:space="0" w:color="auto"/>
          </w:divBdr>
          <w:divsChild>
            <w:div w:id="217127804">
              <w:marLeft w:val="0"/>
              <w:marRight w:val="0"/>
              <w:marTop w:val="0"/>
              <w:marBottom w:val="0"/>
              <w:divBdr>
                <w:top w:val="none" w:sz="0" w:space="0" w:color="auto"/>
                <w:left w:val="none" w:sz="0" w:space="0" w:color="auto"/>
                <w:bottom w:val="none" w:sz="0" w:space="0" w:color="auto"/>
                <w:right w:val="none" w:sz="0" w:space="0" w:color="auto"/>
              </w:divBdr>
            </w:div>
          </w:divsChild>
        </w:div>
        <w:div w:id="1961302654">
          <w:marLeft w:val="0"/>
          <w:marRight w:val="0"/>
          <w:marTop w:val="0"/>
          <w:marBottom w:val="0"/>
          <w:divBdr>
            <w:top w:val="none" w:sz="0" w:space="0" w:color="auto"/>
            <w:left w:val="none" w:sz="0" w:space="0" w:color="auto"/>
            <w:bottom w:val="none" w:sz="0" w:space="0" w:color="auto"/>
            <w:right w:val="none" w:sz="0" w:space="0" w:color="auto"/>
          </w:divBdr>
          <w:divsChild>
            <w:div w:id="1392341950">
              <w:marLeft w:val="0"/>
              <w:marRight w:val="0"/>
              <w:marTop w:val="0"/>
              <w:marBottom w:val="0"/>
              <w:divBdr>
                <w:top w:val="none" w:sz="0" w:space="0" w:color="auto"/>
                <w:left w:val="none" w:sz="0" w:space="0" w:color="auto"/>
                <w:bottom w:val="none" w:sz="0" w:space="0" w:color="auto"/>
                <w:right w:val="none" w:sz="0" w:space="0" w:color="auto"/>
              </w:divBdr>
            </w:div>
          </w:divsChild>
        </w:div>
        <w:div w:id="1977175085">
          <w:marLeft w:val="0"/>
          <w:marRight w:val="0"/>
          <w:marTop w:val="0"/>
          <w:marBottom w:val="0"/>
          <w:divBdr>
            <w:top w:val="none" w:sz="0" w:space="0" w:color="auto"/>
            <w:left w:val="none" w:sz="0" w:space="0" w:color="auto"/>
            <w:bottom w:val="none" w:sz="0" w:space="0" w:color="auto"/>
            <w:right w:val="none" w:sz="0" w:space="0" w:color="auto"/>
          </w:divBdr>
          <w:divsChild>
            <w:div w:id="400638780">
              <w:marLeft w:val="0"/>
              <w:marRight w:val="0"/>
              <w:marTop w:val="0"/>
              <w:marBottom w:val="0"/>
              <w:divBdr>
                <w:top w:val="none" w:sz="0" w:space="0" w:color="auto"/>
                <w:left w:val="none" w:sz="0" w:space="0" w:color="auto"/>
                <w:bottom w:val="none" w:sz="0" w:space="0" w:color="auto"/>
                <w:right w:val="none" w:sz="0" w:space="0" w:color="auto"/>
              </w:divBdr>
            </w:div>
          </w:divsChild>
        </w:div>
        <w:div w:id="2057585006">
          <w:marLeft w:val="0"/>
          <w:marRight w:val="0"/>
          <w:marTop w:val="0"/>
          <w:marBottom w:val="0"/>
          <w:divBdr>
            <w:top w:val="none" w:sz="0" w:space="0" w:color="auto"/>
            <w:left w:val="none" w:sz="0" w:space="0" w:color="auto"/>
            <w:bottom w:val="none" w:sz="0" w:space="0" w:color="auto"/>
            <w:right w:val="none" w:sz="0" w:space="0" w:color="auto"/>
          </w:divBdr>
          <w:divsChild>
            <w:div w:id="1085803007">
              <w:marLeft w:val="0"/>
              <w:marRight w:val="0"/>
              <w:marTop w:val="0"/>
              <w:marBottom w:val="0"/>
              <w:divBdr>
                <w:top w:val="none" w:sz="0" w:space="0" w:color="auto"/>
                <w:left w:val="none" w:sz="0" w:space="0" w:color="auto"/>
                <w:bottom w:val="none" w:sz="0" w:space="0" w:color="auto"/>
                <w:right w:val="none" w:sz="0" w:space="0" w:color="auto"/>
              </w:divBdr>
            </w:div>
          </w:divsChild>
        </w:div>
        <w:div w:id="2105106187">
          <w:marLeft w:val="0"/>
          <w:marRight w:val="0"/>
          <w:marTop w:val="0"/>
          <w:marBottom w:val="0"/>
          <w:divBdr>
            <w:top w:val="none" w:sz="0" w:space="0" w:color="auto"/>
            <w:left w:val="none" w:sz="0" w:space="0" w:color="auto"/>
            <w:bottom w:val="none" w:sz="0" w:space="0" w:color="auto"/>
            <w:right w:val="none" w:sz="0" w:space="0" w:color="auto"/>
          </w:divBdr>
          <w:divsChild>
            <w:div w:id="22526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760131">
      <w:bodyDiv w:val="1"/>
      <w:marLeft w:val="0"/>
      <w:marRight w:val="0"/>
      <w:marTop w:val="0"/>
      <w:marBottom w:val="0"/>
      <w:divBdr>
        <w:top w:val="none" w:sz="0" w:space="0" w:color="auto"/>
        <w:left w:val="none" w:sz="0" w:space="0" w:color="auto"/>
        <w:bottom w:val="none" w:sz="0" w:space="0" w:color="auto"/>
        <w:right w:val="none" w:sz="0" w:space="0" w:color="auto"/>
      </w:divBdr>
    </w:div>
    <w:div w:id="1592085872">
      <w:bodyDiv w:val="1"/>
      <w:marLeft w:val="0"/>
      <w:marRight w:val="0"/>
      <w:marTop w:val="0"/>
      <w:marBottom w:val="0"/>
      <w:divBdr>
        <w:top w:val="none" w:sz="0" w:space="0" w:color="auto"/>
        <w:left w:val="none" w:sz="0" w:space="0" w:color="auto"/>
        <w:bottom w:val="none" w:sz="0" w:space="0" w:color="auto"/>
        <w:right w:val="none" w:sz="0" w:space="0" w:color="auto"/>
      </w:divBdr>
    </w:div>
    <w:div w:id="1633243093">
      <w:bodyDiv w:val="1"/>
      <w:marLeft w:val="0"/>
      <w:marRight w:val="0"/>
      <w:marTop w:val="0"/>
      <w:marBottom w:val="0"/>
      <w:divBdr>
        <w:top w:val="none" w:sz="0" w:space="0" w:color="auto"/>
        <w:left w:val="none" w:sz="0" w:space="0" w:color="auto"/>
        <w:bottom w:val="none" w:sz="0" w:space="0" w:color="auto"/>
        <w:right w:val="none" w:sz="0" w:space="0" w:color="auto"/>
      </w:divBdr>
    </w:div>
    <w:div w:id="1696617200">
      <w:bodyDiv w:val="1"/>
      <w:marLeft w:val="0"/>
      <w:marRight w:val="0"/>
      <w:marTop w:val="0"/>
      <w:marBottom w:val="0"/>
      <w:divBdr>
        <w:top w:val="none" w:sz="0" w:space="0" w:color="auto"/>
        <w:left w:val="none" w:sz="0" w:space="0" w:color="auto"/>
        <w:bottom w:val="none" w:sz="0" w:space="0" w:color="auto"/>
        <w:right w:val="none" w:sz="0" w:space="0" w:color="auto"/>
      </w:divBdr>
    </w:div>
    <w:div w:id="1698699524">
      <w:bodyDiv w:val="1"/>
      <w:marLeft w:val="0"/>
      <w:marRight w:val="0"/>
      <w:marTop w:val="0"/>
      <w:marBottom w:val="0"/>
      <w:divBdr>
        <w:top w:val="none" w:sz="0" w:space="0" w:color="auto"/>
        <w:left w:val="none" w:sz="0" w:space="0" w:color="auto"/>
        <w:bottom w:val="none" w:sz="0" w:space="0" w:color="auto"/>
        <w:right w:val="none" w:sz="0" w:space="0" w:color="auto"/>
      </w:divBdr>
    </w:div>
    <w:div w:id="1709985474">
      <w:bodyDiv w:val="1"/>
      <w:marLeft w:val="0"/>
      <w:marRight w:val="0"/>
      <w:marTop w:val="0"/>
      <w:marBottom w:val="0"/>
      <w:divBdr>
        <w:top w:val="none" w:sz="0" w:space="0" w:color="auto"/>
        <w:left w:val="none" w:sz="0" w:space="0" w:color="auto"/>
        <w:bottom w:val="none" w:sz="0" w:space="0" w:color="auto"/>
        <w:right w:val="none" w:sz="0" w:space="0" w:color="auto"/>
      </w:divBdr>
      <w:divsChild>
        <w:div w:id="963192080">
          <w:marLeft w:val="0"/>
          <w:marRight w:val="0"/>
          <w:marTop w:val="0"/>
          <w:marBottom w:val="0"/>
          <w:divBdr>
            <w:top w:val="none" w:sz="0" w:space="0" w:color="auto"/>
            <w:left w:val="none" w:sz="0" w:space="0" w:color="auto"/>
            <w:bottom w:val="none" w:sz="0" w:space="0" w:color="auto"/>
            <w:right w:val="none" w:sz="0" w:space="0" w:color="auto"/>
          </w:divBdr>
        </w:div>
      </w:divsChild>
    </w:div>
    <w:div w:id="1722246353">
      <w:bodyDiv w:val="1"/>
      <w:marLeft w:val="0"/>
      <w:marRight w:val="0"/>
      <w:marTop w:val="0"/>
      <w:marBottom w:val="0"/>
      <w:divBdr>
        <w:top w:val="none" w:sz="0" w:space="0" w:color="auto"/>
        <w:left w:val="none" w:sz="0" w:space="0" w:color="auto"/>
        <w:bottom w:val="none" w:sz="0" w:space="0" w:color="auto"/>
        <w:right w:val="none" w:sz="0" w:space="0" w:color="auto"/>
      </w:divBdr>
      <w:divsChild>
        <w:div w:id="231157943">
          <w:marLeft w:val="0"/>
          <w:marRight w:val="0"/>
          <w:marTop w:val="0"/>
          <w:marBottom w:val="0"/>
          <w:divBdr>
            <w:top w:val="none" w:sz="0" w:space="0" w:color="auto"/>
            <w:left w:val="none" w:sz="0" w:space="0" w:color="auto"/>
            <w:bottom w:val="none" w:sz="0" w:space="0" w:color="auto"/>
            <w:right w:val="none" w:sz="0" w:space="0" w:color="auto"/>
          </w:divBdr>
          <w:divsChild>
            <w:div w:id="1177041484">
              <w:marLeft w:val="0"/>
              <w:marRight w:val="0"/>
              <w:marTop w:val="0"/>
              <w:marBottom w:val="0"/>
              <w:divBdr>
                <w:top w:val="none" w:sz="0" w:space="0" w:color="auto"/>
                <w:left w:val="none" w:sz="0" w:space="0" w:color="auto"/>
                <w:bottom w:val="none" w:sz="0" w:space="0" w:color="auto"/>
                <w:right w:val="none" w:sz="0" w:space="0" w:color="auto"/>
              </w:divBdr>
            </w:div>
          </w:divsChild>
        </w:div>
        <w:div w:id="1406418256">
          <w:marLeft w:val="0"/>
          <w:marRight w:val="0"/>
          <w:marTop w:val="0"/>
          <w:marBottom w:val="0"/>
          <w:divBdr>
            <w:top w:val="none" w:sz="0" w:space="0" w:color="auto"/>
            <w:left w:val="none" w:sz="0" w:space="0" w:color="auto"/>
            <w:bottom w:val="none" w:sz="0" w:space="0" w:color="auto"/>
            <w:right w:val="none" w:sz="0" w:space="0" w:color="auto"/>
          </w:divBdr>
          <w:divsChild>
            <w:div w:id="1160852536">
              <w:marLeft w:val="0"/>
              <w:marRight w:val="0"/>
              <w:marTop w:val="0"/>
              <w:marBottom w:val="0"/>
              <w:divBdr>
                <w:top w:val="none" w:sz="0" w:space="0" w:color="auto"/>
                <w:left w:val="none" w:sz="0" w:space="0" w:color="auto"/>
                <w:bottom w:val="none" w:sz="0" w:space="0" w:color="auto"/>
                <w:right w:val="none" w:sz="0" w:space="0" w:color="auto"/>
              </w:divBdr>
            </w:div>
          </w:divsChild>
        </w:div>
        <w:div w:id="1581792761">
          <w:marLeft w:val="0"/>
          <w:marRight w:val="0"/>
          <w:marTop w:val="0"/>
          <w:marBottom w:val="0"/>
          <w:divBdr>
            <w:top w:val="none" w:sz="0" w:space="0" w:color="auto"/>
            <w:left w:val="none" w:sz="0" w:space="0" w:color="auto"/>
            <w:bottom w:val="none" w:sz="0" w:space="0" w:color="auto"/>
            <w:right w:val="none" w:sz="0" w:space="0" w:color="auto"/>
          </w:divBdr>
          <w:divsChild>
            <w:div w:id="190344062">
              <w:marLeft w:val="0"/>
              <w:marRight w:val="0"/>
              <w:marTop w:val="0"/>
              <w:marBottom w:val="0"/>
              <w:divBdr>
                <w:top w:val="none" w:sz="0" w:space="0" w:color="auto"/>
                <w:left w:val="none" w:sz="0" w:space="0" w:color="auto"/>
                <w:bottom w:val="none" w:sz="0" w:space="0" w:color="auto"/>
                <w:right w:val="none" w:sz="0" w:space="0" w:color="auto"/>
              </w:divBdr>
            </w:div>
            <w:div w:id="1333603948">
              <w:marLeft w:val="0"/>
              <w:marRight w:val="0"/>
              <w:marTop w:val="0"/>
              <w:marBottom w:val="0"/>
              <w:divBdr>
                <w:top w:val="none" w:sz="0" w:space="0" w:color="auto"/>
                <w:left w:val="none" w:sz="0" w:space="0" w:color="auto"/>
                <w:bottom w:val="none" w:sz="0" w:space="0" w:color="auto"/>
                <w:right w:val="none" w:sz="0" w:space="0" w:color="auto"/>
              </w:divBdr>
            </w:div>
            <w:div w:id="2121682825">
              <w:marLeft w:val="0"/>
              <w:marRight w:val="0"/>
              <w:marTop w:val="0"/>
              <w:marBottom w:val="0"/>
              <w:divBdr>
                <w:top w:val="none" w:sz="0" w:space="0" w:color="auto"/>
                <w:left w:val="none" w:sz="0" w:space="0" w:color="auto"/>
                <w:bottom w:val="none" w:sz="0" w:space="0" w:color="auto"/>
                <w:right w:val="none" w:sz="0" w:space="0" w:color="auto"/>
              </w:divBdr>
            </w:div>
          </w:divsChild>
        </w:div>
        <w:div w:id="1705668340">
          <w:marLeft w:val="0"/>
          <w:marRight w:val="0"/>
          <w:marTop w:val="0"/>
          <w:marBottom w:val="0"/>
          <w:divBdr>
            <w:top w:val="none" w:sz="0" w:space="0" w:color="auto"/>
            <w:left w:val="none" w:sz="0" w:space="0" w:color="auto"/>
            <w:bottom w:val="none" w:sz="0" w:space="0" w:color="auto"/>
            <w:right w:val="none" w:sz="0" w:space="0" w:color="auto"/>
          </w:divBdr>
          <w:divsChild>
            <w:div w:id="940263668">
              <w:marLeft w:val="0"/>
              <w:marRight w:val="0"/>
              <w:marTop w:val="0"/>
              <w:marBottom w:val="0"/>
              <w:divBdr>
                <w:top w:val="none" w:sz="0" w:space="0" w:color="auto"/>
                <w:left w:val="none" w:sz="0" w:space="0" w:color="auto"/>
                <w:bottom w:val="none" w:sz="0" w:space="0" w:color="auto"/>
                <w:right w:val="none" w:sz="0" w:space="0" w:color="auto"/>
              </w:divBdr>
            </w:div>
          </w:divsChild>
        </w:div>
        <w:div w:id="1894004315">
          <w:marLeft w:val="0"/>
          <w:marRight w:val="0"/>
          <w:marTop w:val="0"/>
          <w:marBottom w:val="0"/>
          <w:divBdr>
            <w:top w:val="none" w:sz="0" w:space="0" w:color="auto"/>
            <w:left w:val="none" w:sz="0" w:space="0" w:color="auto"/>
            <w:bottom w:val="none" w:sz="0" w:space="0" w:color="auto"/>
            <w:right w:val="none" w:sz="0" w:space="0" w:color="auto"/>
          </w:divBdr>
          <w:divsChild>
            <w:div w:id="859508276">
              <w:marLeft w:val="0"/>
              <w:marRight w:val="0"/>
              <w:marTop w:val="0"/>
              <w:marBottom w:val="0"/>
              <w:divBdr>
                <w:top w:val="none" w:sz="0" w:space="0" w:color="auto"/>
                <w:left w:val="none" w:sz="0" w:space="0" w:color="auto"/>
                <w:bottom w:val="none" w:sz="0" w:space="0" w:color="auto"/>
                <w:right w:val="none" w:sz="0" w:space="0" w:color="auto"/>
              </w:divBdr>
            </w:div>
          </w:divsChild>
        </w:div>
        <w:div w:id="2131822831">
          <w:marLeft w:val="0"/>
          <w:marRight w:val="0"/>
          <w:marTop w:val="0"/>
          <w:marBottom w:val="0"/>
          <w:divBdr>
            <w:top w:val="none" w:sz="0" w:space="0" w:color="auto"/>
            <w:left w:val="none" w:sz="0" w:space="0" w:color="auto"/>
            <w:bottom w:val="none" w:sz="0" w:space="0" w:color="auto"/>
            <w:right w:val="none" w:sz="0" w:space="0" w:color="auto"/>
          </w:divBdr>
          <w:divsChild>
            <w:div w:id="136921149">
              <w:marLeft w:val="0"/>
              <w:marRight w:val="0"/>
              <w:marTop w:val="0"/>
              <w:marBottom w:val="0"/>
              <w:divBdr>
                <w:top w:val="none" w:sz="0" w:space="0" w:color="auto"/>
                <w:left w:val="none" w:sz="0" w:space="0" w:color="auto"/>
                <w:bottom w:val="none" w:sz="0" w:space="0" w:color="auto"/>
                <w:right w:val="none" w:sz="0" w:space="0" w:color="auto"/>
              </w:divBdr>
            </w:div>
            <w:div w:id="272059375">
              <w:marLeft w:val="0"/>
              <w:marRight w:val="0"/>
              <w:marTop w:val="0"/>
              <w:marBottom w:val="0"/>
              <w:divBdr>
                <w:top w:val="none" w:sz="0" w:space="0" w:color="auto"/>
                <w:left w:val="none" w:sz="0" w:space="0" w:color="auto"/>
                <w:bottom w:val="none" w:sz="0" w:space="0" w:color="auto"/>
                <w:right w:val="none" w:sz="0" w:space="0" w:color="auto"/>
              </w:divBdr>
            </w:div>
            <w:div w:id="1011182503">
              <w:marLeft w:val="0"/>
              <w:marRight w:val="0"/>
              <w:marTop w:val="0"/>
              <w:marBottom w:val="0"/>
              <w:divBdr>
                <w:top w:val="none" w:sz="0" w:space="0" w:color="auto"/>
                <w:left w:val="none" w:sz="0" w:space="0" w:color="auto"/>
                <w:bottom w:val="none" w:sz="0" w:space="0" w:color="auto"/>
                <w:right w:val="none" w:sz="0" w:space="0" w:color="auto"/>
              </w:divBdr>
            </w:div>
            <w:div w:id="182277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77664">
      <w:bodyDiv w:val="1"/>
      <w:marLeft w:val="0"/>
      <w:marRight w:val="0"/>
      <w:marTop w:val="0"/>
      <w:marBottom w:val="0"/>
      <w:divBdr>
        <w:top w:val="none" w:sz="0" w:space="0" w:color="auto"/>
        <w:left w:val="none" w:sz="0" w:space="0" w:color="auto"/>
        <w:bottom w:val="none" w:sz="0" w:space="0" w:color="auto"/>
        <w:right w:val="none" w:sz="0" w:space="0" w:color="auto"/>
      </w:divBdr>
      <w:divsChild>
        <w:div w:id="18507993">
          <w:marLeft w:val="0"/>
          <w:marRight w:val="0"/>
          <w:marTop w:val="0"/>
          <w:marBottom w:val="0"/>
          <w:divBdr>
            <w:top w:val="none" w:sz="0" w:space="0" w:color="auto"/>
            <w:left w:val="none" w:sz="0" w:space="0" w:color="auto"/>
            <w:bottom w:val="none" w:sz="0" w:space="0" w:color="auto"/>
            <w:right w:val="none" w:sz="0" w:space="0" w:color="auto"/>
          </w:divBdr>
          <w:divsChild>
            <w:div w:id="345795359">
              <w:marLeft w:val="0"/>
              <w:marRight w:val="0"/>
              <w:marTop w:val="0"/>
              <w:marBottom w:val="0"/>
              <w:divBdr>
                <w:top w:val="none" w:sz="0" w:space="0" w:color="auto"/>
                <w:left w:val="none" w:sz="0" w:space="0" w:color="auto"/>
                <w:bottom w:val="none" w:sz="0" w:space="0" w:color="auto"/>
                <w:right w:val="none" w:sz="0" w:space="0" w:color="auto"/>
              </w:divBdr>
            </w:div>
            <w:div w:id="477069013">
              <w:marLeft w:val="0"/>
              <w:marRight w:val="0"/>
              <w:marTop w:val="0"/>
              <w:marBottom w:val="0"/>
              <w:divBdr>
                <w:top w:val="none" w:sz="0" w:space="0" w:color="auto"/>
                <w:left w:val="none" w:sz="0" w:space="0" w:color="auto"/>
                <w:bottom w:val="none" w:sz="0" w:space="0" w:color="auto"/>
                <w:right w:val="none" w:sz="0" w:space="0" w:color="auto"/>
              </w:divBdr>
            </w:div>
            <w:div w:id="1477801465">
              <w:marLeft w:val="0"/>
              <w:marRight w:val="0"/>
              <w:marTop w:val="0"/>
              <w:marBottom w:val="0"/>
              <w:divBdr>
                <w:top w:val="none" w:sz="0" w:space="0" w:color="auto"/>
                <w:left w:val="none" w:sz="0" w:space="0" w:color="auto"/>
                <w:bottom w:val="none" w:sz="0" w:space="0" w:color="auto"/>
                <w:right w:val="none" w:sz="0" w:space="0" w:color="auto"/>
              </w:divBdr>
            </w:div>
            <w:div w:id="1575893990">
              <w:marLeft w:val="0"/>
              <w:marRight w:val="0"/>
              <w:marTop w:val="0"/>
              <w:marBottom w:val="0"/>
              <w:divBdr>
                <w:top w:val="none" w:sz="0" w:space="0" w:color="auto"/>
                <w:left w:val="none" w:sz="0" w:space="0" w:color="auto"/>
                <w:bottom w:val="none" w:sz="0" w:space="0" w:color="auto"/>
                <w:right w:val="none" w:sz="0" w:space="0" w:color="auto"/>
              </w:divBdr>
            </w:div>
            <w:div w:id="2053725875">
              <w:marLeft w:val="0"/>
              <w:marRight w:val="0"/>
              <w:marTop w:val="0"/>
              <w:marBottom w:val="0"/>
              <w:divBdr>
                <w:top w:val="none" w:sz="0" w:space="0" w:color="auto"/>
                <w:left w:val="none" w:sz="0" w:space="0" w:color="auto"/>
                <w:bottom w:val="none" w:sz="0" w:space="0" w:color="auto"/>
                <w:right w:val="none" w:sz="0" w:space="0" w:color="auto"/>
              </w:divBdr>
            </w:div>
          </w:divsChild>
        </w:div>
        <w:div w:id="144468295">
          <w:marLeft w:val="0"/>
          <w:marRight w:val="0"/>
          <w:marTop w:val="0"/>
          <w:marBottom w:val="0"/>
          <w:divBdr>
            <w:top w:val="none" w:sz="0" w:space="0" w:color="auto"/>
            <w:left w:val="none" w:sz="0" w:space="0" w:color="auto"/>
            <w:bottom w:val="none" w:sz="0" w:space="0" w:color="auto"/>
            <w:right w:val="none" w:sz="0" w:space="0" w:color="auto"/>
          </w:divBdr>
          <w:divsChild>
            <w:div w:id="2030568859">
              <w:marLeft w:val="0"/>
              <w:marRight w:val="0"/>
              <w:marTop w:val="0"/>
              <w:marBottom w:val="0"/>
              <w:divBdr>
                <w:top w:val="none" w:sz="0" w:space="0" w:color="auto"/>
                <w:left w:val="none" w:sz="0" w:space="0" w:color="auto"/>
                <w:bottom w:val="none" w:sz="0" w:space="0" w:color="auto"/>
                <w:right w:val="none" w:sz="0" w:space="0" w:color="auto"/>
              </w:divBdr>
            </w:div>
          </w:divsChild>
        </w:div>
        <w:div w:id="322852200">
          <w:marLeft w:val="0"/>
          <w:marRight w:val="0"/>
          <w:marTop w:val="0"/>
          <w:marBottom w:val="0"/>
          <w:divBdr>
            <w:top w:val="none" w:sz="0" w:space="0" w:color="auto"/>
            <w:left w:val="none" w:sz="0" w:space="0" w:color="auto"/>
            <w:bottom w:val="none" w:sz="0" w:space="0" w:color="auto"/>
            <w:right w:val="none" w:sz="0" w:space="0" w:color="auto"/>
          </w:divBdr>
          <w:divsChild>
            <w:div w:id="443890509">
              <w:marLeft w:val="0"/>
              <w:marRight w:val="0"/>
              <w:marTop w:val="0"/>
              <w:marBottom w:val="0"/>
              <w:divBdr>
                <w:top w:val="none" w:sz="0" w:space="0" w:color="auto"/>
                <w:left w:val="none" w:sz="0" w:space="0" w:color="auto"/>
                <w:bottom w:val="none" w:sz="0" w:space="0" w:color="auto"/>
                <w:right w:val="none" w:sz="0" w:space="0" w:color="auto"/>
              </w:divBdr>
            </w:div>
          </w:divsChild>
        </w:div>
        <w:div w:id="357269493">
          <w:marLeft w:val="0"/>
          <w:marRight w:val="0"/>
          <w:marTop w:val="0"/>
          <w:marBottom w:val="0"/>
          <w:divBdr>
            <w:top w:val="none" w:sz="0" w:space="0" w:color="auto"/>
            <w:left w:val="none" w:sz="0" w:space="0" w:color="auto"/>
            <w:bottom w:val="none" w:sz="0" w:space="0" w:color="auto"/>
            <w:right w:val="none" w:sz="0" w:space="0" w:color="auto"/>
          </w:divBdr>
          <w:divsChild>
            <w:div w:id="1526095459">
              <w:marLeft w:val="0"/>
              <w:marRight w:val="0"/>
              <w:marTop w:val="0"/>
              <w:marBottom w:val="0"/>
              <w:divBdr>
                <w:top w:val="none" w:sz="0" w:space="0" w:color="auto"/>
                <w:left w:val="none" w:sz="0" w:space="0" w:color="auto"/>
                <w:bottom w:val="none" w:sz="0" w:space="0" w:color="auto"/>
                <w:right w:val="none" w:sz="0" w:space="0" w:color="auto"/>
              </w:divBdr>
            </w:div>
            <w:div w:id="1987733080">
              <w:marLeft w:val="0"/>
              <w:marRight w:val="0"/>
              <w:marTop w:val="0"/>
              <w:marBottom w:val="0"/>
              <w:divBdr>
                <w:top w:val="none" w:sz="0" w:space="0" w:color="auto"/>
                <w:left w:val="none" w:sz="0" w:space="0" w:color="auto"/>
                <w:bottom w:val="none" w:sz="0" w:space="0" w:color="auto"/>
                <w:right w:val="none" w:sz="0" w:space="0" w:color="auto"/>
              </w:divBdr>
            </w:div>
          </w:divsChild>
        </w:div>
        <w:div w:id="439029234">
          <w:marLeft w:val="0"/>
          <w:marRight w:val="0"/>
          <w:marTop w:val="0"/>
          <w:marBottom w:val="0"/>
          <w:divBdr>
            <w:top w:val="none" w:sz="0" w:space="0" w:color="auto"/>
            <w:left w:val="none" w:sz="0" w:space="0" w:color="auto"/>
            <w:bottom w:val="none" w:sz="0" w:space="0" w:color="auto"/>
            <w:right w:val="none" w:sz="0" w:space="0" w:color="auto"/>
          </w:divBdr>
          <w:divsChild>
            <w:div w:id="2024630817">
              <w:marLeft w:val="0"/>
              <w:marRight w:val="0"/>
              <w:marTop w:val="0"/>
              <w:marBottom w:val="0"/>
              <w:divBdr>
                <w:top w:val="none" w:sz="0" w:space="0" w:color="auto"/>
                <w:left w:val="none" w:sz="0" w:space="0" w:color="auto"/>
                <w:bottom w:val="none" w:sz="0" w:space="0" w:color="auto"/>
                <w:right w:val="none" w:sz="0" w:space="0" w:color="auto"/>
              </w:divBdr>
            </w:div>
          </w:divsChild>
        </w:div>
        <w:div w:id="451021135">
          <w:marLeft w:val="0"/>
          <w:marRight w:val="0"/>
          <w:marTop w:val="0"/>
          <w:marBottom w:val="0"/>
          <w:divBdr>
            <w:top w:val="none" w:sz="0" w:space="0" w:color="auto"/>
            <w:left w:val="none" w:sz="0" w:space="0" w:color="auto"/>
            <w:bottom w:val="none" w:sz="0" w:space="0" w:color="auto"/>
            <w:right w:val="none" w:sz="0" w:space="0" w:color="auto"/>
          </w:divBdr>
          <w:divsChild>
            <w:div w:id="82728943">
              <w:marLeft w:val="0"/>
              <w:marRight w:val="0"/>
              <w:marTop w:val="0"/>
              <w:marBottom w:val="0"/>
              <w:divBdr>
                <w:top w:val="none" w:sz="0" w:space="0" w:color="auto"/>
                <w:left w:val="none" w:sz="0" w:space="0" w:color="auto"/>
                <w:bottom w:val="none" w:sz="0" w:space="0" w:color="auto"/>
                <w:right w:val="none" w:sz="0" w:space="0" w:color="auto"/>
              </w:divBdr>
            </w:div>
            <w:div w:id="553660933">
              <w:marLeft w:val="0"/>
              <w:marRight w:val="0"/>
              <w:marTop w:val="0"/>
              <w:marBottom w:val="0"/>
              <w:divBdr>
                <w:top w:val="none" w:sz="0" w:space="0" w:color="auto"/>
                <w:left w:val="none" w:sz="0" w:space="0" w:color="auto"/>
                <w:bottom w:val="none" w:sz="0" w:space="0" w:color="auto"/>
                <w:right w:val="none" w:sz="0" w:space="0" w:color="auto"/>
              </w:divBdr>
            </w:div>
            <w:div w:id="862594056">
              <w:marLeft w:val="0"/>
              <w:marRight w:val="0"/>
              <w:marTop w:val="0"/>
              <w:marBottom w:val="0"/>
              <w:divBdr>
                <w:top w:val="none" w:sz="0" w:space="0" w:color="auto"/>
                <w:left w:val="none" w:sz="0" w:space="0" w:color="auto"/>
                <w:bottom w:val="none" w:sz="0" w:space="0" w:color="auto"/>
                <w:right w:val="none" w:sz="0" w:space="0" w:color="auto"/>
              </w:divBdr>
            </w:div>
            <w:div w:id="1554580957">
              <w:marLeft w:val="0"/>
              <w:marRight w:val="0"/>
              <w:marTop w:val="0"/>
              <w:marBottom w:val="0"/>
              <w:divBdr>
                <w:top w:val="none" w:sz="0" w:space="0" w:color="auto"/>
                <w:left w:val="none" w:sz="0" w:space="0" w:color="auto"/>
                <w:bottom w:val="none" w:sz="0" w:space="0" w:color="auto"/>
                <w:right w:val="none" w:sz="0" w:space="0" w:color="auto"/>
              </w:divBdr>
            </w:div>
            <w:div w:id="1956785723">
              <w:marLeft w:val="0"/>
              <w:marRight w:val="0"/>
              <w:marTop w:val="0"/>
              <w:marBottom w:val="0"/>
              <w:divBdr>
                <w:top w:val="none" w:sz="0" w:space="0" w:color="auto"/>
                <w:left w:val="none" w:sz="0" w:space="0" w:color="auto"/>
                <w:bottom w:val="none" w:sz="0" w:space="0" w:color="auto"/>
                <w:right w:val="none" w:sz="0" w:space="0" w:color="auto"/>
              </w:divBdr>
            </w:div>
          </w:divsChild>
        </w:div>
        <w:div w:id="926764342">
          <w:marLeft w:val="0"/>
          <w:marRight w:val="0"/>
          <w:marTop w:val="0"/>
          <w:marBottom w:val="0"/>
          <w:divBdr>
            <w:top w:val="none" w:sz="0" w:space="0" w:color="auto"/>
            <w:left w:val="none" w:sz="0" w:space="0" w:color="auto"/>
            <w:bottom w:val="none" w:sz="0" w:space="0" w:color="auto"/>
            <w:right w:val="none" w:sz="0" w:space="0" w:color="auto"/>
          </w:divBdr>
          <w:divsChild>
            <w:div w:id="565921319">
              <w:marLeft w:val="0"/>
              <w:marRight w:val="0"/>
              <w:marTop w:val="0"/>
              <w:marBottom w:val="0"/>
              <w:divBdr>
                <w:top w:val="none" w:sz="0" w:space="0" w:color="auto"/>
                <w:left w:val="none" w:sz="0" w:space="0" w:color="auto"/>
                <w:bottom w:val="none" w:sz="0" w:space="0" w:color="auto"/>
                <w:right w:val="none" w:sz="0" w:space="0" w:color="auto"/>
              </w:divBdr>
            </w:div>
            <w:div w:id="1473208745">
              <w:marLeft w:val="0"/>
              <w:marRight w:val="0"/>
              <w:marTop w:val="0"/>
              <w:marBottom w:val="0"/>
              <w:divBdr>
                <w:top w:val="none" w:sz="0" w:space="0" w:color="auto"/>
                <w:left w:val="none" w:sz="0" w:space="0" w:color="auto"/>
                <w:bottom w:val="none" w:sz="0" w:space="0" w:color="auto"/>
                <w:right w:val="none" w:sz="0" w:space="0" w:color="auto"/>
              </w:divBdr>
            </w:div>
          </w:divsChild>
        </w:div>
        <w:div w:id="1201746901">
          <w:marLeft w:val="0"/>
          <w:marRight w:val="0"/>
          <w:marTop w:val="0"/>
          <w:marBottom w:val="0"/>
          <w:divBdr>
            <w:top w:val="none" w:sz="0" w:space="0" w:color="auto"/>
            <w:left w:val="none" w:sz="0" w:space="0" w:color="auto"/>
            <w:bottom w:val="none" w:sz="0" w:space="0" w:color="auto"/>
            <w:right w:val="none" w:sz="0" w:space="0" w:color="auto"/>
          </w:divBdr>
          <w:divsChild>
            <w:div w:id="282418546">
              <w:marLeft w:val="0"/>
              <w:marRight w:val="0"/>
              <w:marTop w:val="0"/>
              <w:marBottom w:val="0"/>
              <w:divBdr>
                <w:top w:val="none" w:sz="0" w:space="0" w:color="auto"/>
                <w:left w:val="none" w:sz="0" w:space="0" w:color="auto"/>
                <w:bottom w:val="none" w:sz="0" w:space="0" w:color="auto"/>
                <w:right w:val="none" w:sz="0" w:space="0" w:color="auto"/>
              </w:divBdr>
            </w:div>
            <w:div w:id="284311227">
              <w:marLeft w:val="0"/>
              <w:marRight w:val="0"/>
              <w:marTop w:val="0"/>
              <w:marBottom w:val="0"/>
              <w:divBdr>
                <w:top w:val="none" w:sz="0" w:space="0" w:color="auto"/>
                <w:left w:val="none" w:sz="0" w:space="0" w:color="auto"/>
                <w:bottom w:val="none" w:sz="0" w:space="0" w:color="auto"/>
                <w:right w:val="none" w:sz="0" w:space="0" w:color="auto"/>
              </w:divBdr>
            </w:div>
            <w:div w:id="298655626">
              <w:marLeft w:val="0"/>
              <w:marRight w:val="0"/>
              <w:marTop w:val="0"/>
              <w:marBottom w:val="0"/>
              <w:divBdr>
                <w:top w:val="none" w:sz="0" w:space="0" w:color="auto"/>
                <w:left w:val="none" w:sz="0" w:space="0" w:color="auto"/>
                <w:bottom w:val="none" w:sz="0" w:space="0" w:color="auto"/>
                <w:right w:val="none" w:sz="0" w:space="0" w:color="auto"/>
              </w:divBdr>
            </w:div>
            <w:div w:id="301465715">
              <w:marLeft w:val="0"/>
              <w:marRight w:val="0"/>
              <w:marTop w:val="0"/>
              <w:marBottom w:val="0"/>
              <w:divBdr>
                <w:top w:val="none" w:sz="0" w:space="0" w:color="auto"/>
                <w:left w:val="none" w:sz="0" w:space="0" w:color="auto"/>
                <w:bottom w:val="none" w:sz="0" w:space="0" w:color="auto"/>
                <w:right w:val="none" w:sz="0" w:space="0" w:color="auto"/>
              </w:divBdr>
            </w:div>
            <w:div w:id="325129553">
              <w:marLeft w:val="0"/>
              <w:marRight w:val="0"/>
              <w:marTop w:val="0"/>
              <w:marBottom w:val="0"/>
              <w:divBdr>
                <w:top w:val="none" w:sz="0" w:space="0" w:color="auto"/>
                <w:left w:val="none" w:sz="0" w:space="0" w:color="auto"/>
                <w:bottom w:val="none" w:sz="0" w:space="0" w:color="auto"/>
                <w:right w:val="none" w:sz="0" w:space="0" w:color="auto"/>
              </w:divBdr>
            </w:div>
            <w:div w:id="845360521">
              <w:marLeft w:val="0"/>
              <w:marRight w:val="0"/>
              <w:marTop w:val="0"/>
              <w:marBottom w:val="0"/>
              <w:divBdr>
                <w:top w:val="none" w:sz="0" w:space="0" w:color="auto"/>
                <w:left w:val="none" w:sz="0" w:space="0" w:color="auto"/>
                <w:bottom w:val="none" w:sz="0" w:space="0" w:color="auto"/>
                <w:right w:val="none" w:sz="0" w:space="0" w:color="auto"/>
              </w:divBdr>
            </w:div>
            <w:div w:id="926231395">
              <w:marLeft w:val="0"/>
              <w:marRight w:val="0"/>
              <w:marTop w:val="0"/>
              <w:marBottom w:val="0"/>
              <w:divBdr>
                <w:top w:val="none" w:sz="0" w:space="0" w:color="auto"/>
                <w:left w:val="none" w:sz="0" w:space="0" w:color="auto"/>
                <w:bottom w:val="none" w:sz="0" w:space="0" w:color="auto"/>
                <w:right w:val="none" w:sz="0" w:space="0" w:color="auto"/>
              </w:divBdr>
            </w:div>
            <w:div w:id="1268151084">
              <w:marLeft w:val="0"/>
              <w:marRight w:val="0"/>
              <w:marTop w:val="0"/>
              <w:marBottom w:val="0"/>
              <w:divBdr>
                <w:top w:val="none" w:sz="0" w:space="0" w:color="auto"/>
                <w:left w:val="none" w:sz="0" w:space="0" w:color="auto"/>
                <w:bottom w:val="none" w:sz="0" w:space="0" w:color="auto"/>
                <w:right w:val="none" w:sz="0" w:space="0" w:color="auto"/>
              </w:divBdr>
            </w:div>
            <w:div w:id="1899898901">
              <w:marLeft w:val="0"/>
              <w:marRight w:val="0"/>
              <w:marTop w:val="0"/>
              <w:marBottom w:val="0"/>
              <w:divBdr>
                <w:top w:val="none" w:sz="0" w:space="0" w:color="auto"/>
                <w:left w:val="none" w:sz="0" w:space="0" w:color="auto"/>
                <w:bottom w:val="none" w:sz="0" w:space="0" w:color="auto"/>
                <w:right w:val="none" w:sz="0" w:space="0" w:color="auto"/>
              </w:divBdr>
            </w:div>
          </w:divsChild>
        </w:div>
        <w:div w:id="1251695141">
          <w:marLeft w:val="0"/>
          <w:marRight w:val="0"/>
          <w:marTop w:val="0"/>
          <w:marBottom w:val="0"/>
          <w:divBdr>
            <w:top w:val="none" w:sz="0" w:space="0" w:color="auto"/>
            <w:left w:val="none" w:sz="0" w:space="0" w:color="auto"/>
            <w:bottom w:val="none" w:sz="0" w:space="0" w:color="auto"/>
            <w:right w:val="none" w:sz="0" w:space="0" w:color="auto"/>
          </w:divBdr>
          <w:divsChild>
            <w:div w:id="891577023">
              <w:marLeft w:val="0"/>
              <w:marRight w:val="0"/>
              <w:marTop w:val="0"/>
              <w:marBottom w:val="0"/>
              <w:divBdr>
                <w:top w:val="none" w:sz="0" w:space="0" w:color="auto"/>
                <w:left w:val="none" w:sz="0" w:space="0" w:color="auto"/>
                <w:bottom w:val="none" w:sz="0" w:space="0" w:color="auto"/>
                <w:right w:val="none" w:sz="0" w:space="0" w:color="auto"/>
              </w:divBdr>
            </w:div>
            <w:div w:id="1552033553">
              <w:marLeft w:val="0"/>
              <w:marRight w:val="0"/>
              <w:marTop w:val="0"/>
              <w:marBottom w:val="0"/>
              <w:divBdr>
                <w:top w:val="none" w:sz="0" w:space="0" w:color="auto"/>
                <w:left w:val="none" w:sz="0" w:space="0" w:color="auto"/>
                <w:bottom w:val="none" w:sz="0" w:space="0" w:color="auto"/>
                <w:right w:val="none" w:sz="0" w:space="0" w:color="auto"/>
              </w:divBdr>
            </w:div>
          </w:divsChild>
        </w:div>
        <w:div w:id="1727945620">
          <w:marLeft w:val="0"/>
          <w:marRight w:val="0"/>
          <w:marTop w:val="0"/>
          <w:marBottom w:val="0"/>
          <w:divBdr>
            <w:top w:val="none" w:sz="0" w:space="0" w:color="auto"/>
            <w:left w:val="none" w:sz="0" w:space="0" w:color="auto"/>
            <w:bottom w:val="none" w:sz="0" w:space="0" w:color="auto"/>
            <w:right w:val="none" w:sz="0" w:space="0" w:color="auto"/>
          </w:divBdr>
          <w:divsChild>
            <w:div w:id="656305983">
              <w:marLeft w:val="0"/>
              <w:marRight w:val="0"/>
              <w:marTop w:val="0"/>
              <w:marBottom w:val="0"/>
              <w:divBdr>
                <w:top w:val="none" w:sz="0" w:space="0" w:color="auto"/>
                <w:left w:val="none" w:sz="0" w:space="0" w:color="auto"/>
                <w:bottom w:val="none" w:sz="0" w:space="0" w:color="auto"/>
                <w:right w:val="none" w:sz="0" w:space="0" w:color="auto"/>
              </w:divBdr>
            </w:div>
            <w:div w:id="730350431">
              <w:marLeft w:val="0"/>
              <w:marRight w:val="0"/>
              <w:marTop w:val="0"/>
              <w:marBottom w:val="0"/>
              <w:divBdr>
                <w:top w:val="none" w:sz="0" w:space="0" w:color="auto"/>
                <w:left w:val="none" w:sz="0" w:space="0" w:color="auto"/>
                <w:bottom w:val="none" w:sz="0" w:space="0" w:color="auto"/>
                <w:right w:val="none" w:sz="0" w:space="0" w:color="auto"/>
              </w:divBdr>
            </w:div>
            <w:div w:id="1421827952">
              <w:marLeft w:val="0"/>
              <w:marRight w:val="0"/>
              <w:marTop w:val="0"/>
              <w:marBottom w:val="0"/>
              <w:divBdr>
                <w:top w:val="none" w:sz="0" w:space="0" w:color="auto"/>
                <w:left w:val="none" w:sz="0" w:space="0" w:color="auto"/>
                <w:bottom w:val="none" w:sz="0" w:space="0" w:color="auto"/>
                <w:right w:val="none" w:sz="0" w:space="0" w:color="auto"/>
              </w:divBdr>
            </w:div>
            <w:div w:id="1461916636">
              <w:marLeft w:val="0"/>
              <w:marRight w:val="0"/>
              <w:marTop w:val="0"/>
              <w:marBottom w:val="0"/>
              <w:divBdr>
                <w:top w:val="none" w:sz="0" w:space="0" w:color="auto"/>
                <w:left w:val="none" w:sz="0" w:space="0" w:color="auto"/>
                <w:bottom w:val="none" w:sz="0" w:space="0" w:color="auto"/>
                <w:right w:val="none" w:sz="0" w:space="0" w:color="auto"/>
              </w:divBdr>
            </w:div>
            <w:div w:id="1565094082">
              <w:marLeft w:val="0"/>
              <w:marRight w:val="0"/>
              <w:marTop w:val="0"/>
              <w:marBottom w:val="0"/>
              <w:divBdr>
                <w:top w:val="none" w:sz="0" w:space="0" w:color="auto"/>
                <w:left w:val="none" w:sz="0" w:space="0" w:color="auto"/>
                <w:bottom w:val="none" w:sz="0" w:space="0" w:color="auto"/>
                <w:right w:val="none" w:sz="0" w:space="0" w:color="auto"/>
              </w:divBdr>
            </w:div>
            <w:div w:id="1650094128">
              <w:marLeft w:val="0"/>
              <w:marRight w:val="0"/>
              <w:marTop w:val="0"/>
              <w:marBottom w:val="0"/>
              <w:divBdr>
                <w:top w:val="none" w:sz="0" w:space="0" w:color="auto"/>
                <w:left w:val="none" w:sz="0" w:space="0" w:color="auto"/>
                <w:bottom w:val="none" w:sz="0" w:space="0" w:color="auto"/>
                <w:right w:val="none" w:sz="0" w:space="0" w:color="auto"/>
              </w:divBdr>
            </w:div>
            <w:div w:id="2013754585">
              <w:marLeft w:val="0"/>
              <w:marRight w:val="0"/>
              <w:marTop w:val="0"/>
              <w:marBottom w:val="0"/>
              <w:divBdr>
                <w:top w:val="none" w:sz="0" w:space="0" w:color="auto"/>
                <w:left w:val="none" w:sz="0" w:space="0" w:color="auto"/>
                <w:bottom w:val="none" w:sz="0" w:space="0" w:color="auto"/>
                <w:right w:val="none" w:sz="0" w:space="0" w:color="auto"/>
              </w:divBdr>
            </w:div>
            <w:div w:id="2022390909">
              <w:marLeft w:val="0"/>
              <w:marRight w:val="0"/>
              <w:marTop w:val="0"/>
              <w:marBottom w:val="0"/>
              <w:divBdr>
                <w:top w:val="none" w:sz="0" w:space="0" w:color="auto"/>
                <w:left w:val="none" w:sz="0" w:space="0" w:color="auto"/>
                <w:bottom w:val="none" w:sz="0" w:space="0" w:color="auto"/>
                <w:right w:val="none" w:sz="0" w:space="0" w:color="auto"/>
              </w:divBdr>
            </w:div>
          </w:divsChild>
        </w:div>
        <w:div w:id="2053456051">
          <w:marLeft w:val="0"/>
          <w:marRight w:val="0"/>
          <w:marTop w:val="0"/>
          <w:marBottom w:val="0"/>
          <w:divBdr>
            <w:top w:val="none" w:sz="0" w:space="0" w:color="auto"/>
            <w:left w:val="none" w:sz="0" w:space="0" w:color="auto"/>
            <w:bottom w:val="none" w:sz="0" w:space="0" w:color="auto"/>
            <w:right w:val="none" w:sz="0" w:space="0" w:color="auto"/>
          </w:divBdr>
          <w:divsChild>
            <w:div w:id="435364922">
              <w:marLeft w:val="0"/>
              <w:marRight w:val="0"/>
              <w:marTop w:val="0"/>
              <w:marBottom w:val="0"/>
              <w:divBdr>
                <w:top w:val="none" w:sz="0" w:space="0" w:color="auto"/>
                <w:left w:val="none" w:sz="0" w:space="0" w:color="auto"/>
                <w:bottom w:val="none" w:sz="0" w:space="0" w:color="auto"/>
                <w:right w:val="none" w:sz="0" w:space="0" w:color="auto"/>
              </w:divBdr>
            </w:div>
            <w:div w:id="815872834">
              <w:marLeft w:val="0"/>
              <w:marRight w:val="0"/>
              <w:marTop w:val="0"/>
              <w:marBottom w:val="0"/>
              <w:divBdr>
                <w:top w:val="none" w:sz="0" w:space="0" w:color="auto"/>
                <w:left w:val="none" w:sz="0" w:space="0" w:color="auto"/>
                <w:bottom w:val="none" w:sz="0" w:space="0" w:color="auto"/>
                <w:right w:val="none" w:sz="0" w:space="0" w:color="auto"/>
              </w:divBdr>
            </w:div>
            <w:div w:id="859464843">
              <w:marLeft w:val="0"/>
              <w:marRight w:val="0"/>
              <w:marTop w:val="0"/>
              <w:marBottom w:val="0"/>
              <w:divBdr>
                <w:top w:val="none" w:sz="0" w:space="0" w:color="auto"/>
                <w:left w:val="none" w:sz="0" w:space="0" w:color="auto"/>
                <w:bottom w:val="none" w:sz="0" w:space="0" w:color="auto"/>
                <w:right w:val="none" w:sz="0" w:space="0" w:color="auto"/>
              </w:divBdr>
            </w:div>
            <w:div w:id="879437988">
              <w:marLeft w:val="0"/>
              <w:marRight w:val="0"/>
              <w:marTop w:val="0"/>
              <w:marBottom w:val="0"/>
              <w:divBdr>
                <w:top w:val="none" w:sz="0" w:space="0" w:color="auto"/>
                <w:left w:val="none" w:sz="0" w:space="0" w:color="auto"/>
                <w:bottom w:val="none" w:sz="0" w:space="0" w:color="auto"/>
                <w:right w:val="none" w:sz="0" w:space="0" w:color="auto"/>
              </w:divBdr>
            </w:div>
            <w:div w:id="1082337819">
              <w:marLeft w:val="0"/>
              <w:marRight w:val="0"/>
              <w:marTop w:val="0"/>
              <w:marBottom w:val="0"/>
              <w:divBdr>
                <w:top w:val="none" w:sz="0" w:space="0" w:color="auto"/>
                <w:left w:val="none" w:sz="0" w:space="0" w:color="auto"/>
                <w:bottom w:val="none" w:sz="0" w:space="0" w:color="auto"/>
                <w:right w:val="none" w:sz="0" w:space="0" w:color="auto"/>
              </w:divBdr>
            </w:div>
            <w:div w:id="1437094103">
              <w:marLeft w:val="0"/>
              <w:marRight w:val="0"/>
              <w:marTop w:val="0"/>
              <w:marBottom w:val="0"/>
              <w:divBdr>
                <w:top w:val="none" w:sz="0" w:space="0" w:color="auto"/>
                <w:left w:val="none" w:sz="0" w:space="0" w:color="auto"/>
                <w:bottom w:val="none" w:sz="0" w:space="0" w:color="auto"/>
                <w:right w:val="none" w:sz="0" w:space="0" w:color="auto"/>
              </w:divBdr>
            </w:div>
            <w:div w:id="1865827010">
              <w:marLeft w:val="0"/>
              <w:marRight w:val="0"/>
              <w:marTop w:val="0"/>
              <w:marBottom w:val="0"/>
              <w:divBdr>
                <w:top w:val="none" w:sz="0" w:space="0" w:color="auto"/>
                <w:left w:val="none" w:sz="0" w:space="0" w:color="auto"/>
                <w:bottom w:val="none" w:sz="0" w:space="0" w:color="auto"/>
                <w:right w:val="none" w:sz="0" w:space="0" w:color="auto"/>
              </w:divBdr>
            </w:div>
            <w:div w:id="1995261624">
              <w:marLeft w:val="0"/>
              <w:marRight w:val="0"/>
              <w:marTop w:val="0"/>
              <w:marBottom w:val="0"/>
              <w:divBdr>
                <w:top w:val="none" w:sz="0" w:space="0" w:color="auto"/>
                <w:left w:val="none" w:sz="0" w:space="0" w:color="auto"/>
                <w:bottom w:val="none" w:sz="0" w:space="0" w:color="auto"/>
                <w:right w:val="none" w:sz="0" w:space="0" w:color="auto"/>
              </w:divBdr>
            </w:div>
          </w:divsChild>
        </w:div>
        <w:div w:id="2075422013">
          <w:marLeft w:val="0"/>
          <w:marRight w:val="0"/>
          <w:marTop w:val="0"/>
          <w:marBottom w:val="0"/>
          <w:divBdr>
            <w:top w:val="none" w:sz="0" w:space="0" w:color="auto"/>
            <w:left w:val="none" w:sz="0" w:space="0" w:color="auto"/>
            <w:bottom w:val="none" w:sz="0" w:space="0" w:color="auto"/>
            <w:right w:val="none" w:sz="0" w:space="0" w:color="auto"/>
          </w:divBdr>
          <w:divsChild>
            <w:div w:id="242375337">
              <w:marLeft w:val="0"/>
              <w:marRight w:val="0"/>
              <w:marTop w:val="0"/>
              <w:marBottom w:val="0"/>
              <w:divBdr>
                <w:top w:val="none" w:sz="0" w:space="0" w:color="auto"/>
                <w:left w:val="none" w:sz="0" w:space="0" w:color="auto"/>
                <w:bottom w:val="none" w:sz="0" w:space="0" w:color="auto"/>
                <w:right w:val="none" w:sz="0" w:space="0" w:color="auto"/>
              </w:divBdr>
            </w:div>
            <w:div w:id="509223337">
              <w:marLeft w:val="0"/>
              <w:marRight w:val="0"/>
              <w:marTop w:val="0"/>
              <w:marBottom w:val="0"/>
              <w:divBdr>
                <w:top w:val="none" w:sz="0" w:space="0" w:color="auto"/>
                <w:left w:val="none" w:sz="0" w:space="0" w:color="auto"/>
                <w:bottom w:val="none" w:sz="0" w:space="0" w:color="auto"/>
                <w:right w:val="none" w:sz="0" w:space="0" w:color="auto"/>
              </w:divBdr>
            </w:div>
            <w:div w:id="1016544172">
              <w:marLeft w:val="0"/>
              <w:marRight w:val="0"/>
              <w:marTop w:val="0"/>
              <w:marBottom w:val="0"/>
              <w:divBdr>
                <w:top w:val="none" w:sz="0" w:space="0" w:color="auto"/>
                <w:left w:val="none" w:sz="0" w:space="0" w:color="auto"/>
                <w:bottom w:val="none" w:sz="0" w:space="0" w:color="auto"/>
                <w:right w:val="none" w:sz="0" w:space="0" w:color="auto"/>
              </w:divBdr>
            </w:div>
            <w:div w:id="1268193889">
              <w:marLeft w:val="0"/>
              <w:marRight w:val="0"/>
              <w:marTop w:val="0"/>
              <w:marBottom w:val="0"/>
              <w:divBdr>
                <w:top w:val="none" w:sz="0" w:space="0" w:color="auto"/>
                <w:left w:val="none" w:sz="0" w:space="0" w:color="auto"/>
                <w:bottom w:val="none" w:sz="0" w:space="0" w:color="auto"/>
                <w:right w:val="none" w:sz="0" w:space="0" w:color="auto"/>
              </w:divBdr>
            </w:div>
            <w:div w:id="172571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144887">
      <w:bodyDiv w:val="1"/>
      <w:marLeft w:val="0"/>
      <w:marRight w:val="0"/>
      <w:marTop w:val="0"/>
      <w:marBottom w:val="0"/>
      <w:divBdr>
        <w:top w:val="none" w:sz="0" w:space="0" w:color="auto"/>
        <w:left w:val="none" w:sz="0" w:space="0" w:color="auto"/>
        <w:bottom w:val="none" w:sz="0" w:space="0" w:color="auto"/>
        <w:right w:val="none" w:sz="0" w:space="0" w:color="auto"/>
      </w:divBdr>
    </w:div>
    <w:div w:id="1746607198">
      <w:bodyDiv w:val="1"/>
      <w:marLeft w:val="0"/>
      <w:marRight w:val="0"/>
      <w:marTop w:val="0"/>
      <w:marBottom w:val="0"/>
      <w:divBdr>
        <w:top w:val="none" w:sz="0" w:space="0" w:color="auto"/>
        <w:left w:val="none" w:sz="0" w:space="0" w:color="auto"/>
        <w:bottom w:val="none" w:sz="0" w:space="0" w:color="auto"/>
        <w:right w:val="none" w:sz="0" w:space="0" w:color="auto"/>
      </w:divBdr>
      <w:divsChild>
        <w:div w:id="9840880">
          <w:marLeft w:val="0"/>
          <w:marRight w:val="0"/>
          <w:marTop w:val="0"/>
          <w:marBottom w:val="0"/>
          <w:divBdr>
            <w:top w:val="none" w:sz="0" w:space="0" w:color="auto"/>
            <w:left w:val="none" w:sz="0" w:space="0" w:color="auto"/>
            <w:bottom w:val="none" w:sz="0" w:space="0" w:color="auto"/>
            <w:right w:val="none" w:sz="0" w:space="0" w:color="auto"/>
          </w:divBdr>
          <w:divsChild>
            <w:div w:id="2073581224">
              <w:marLeft w:val="0"/>
              <w:marRight w:val="0"/>
              <w:marTop w:val="0"/>
              <w:marBottom w:val="0"/>
              <w:divBdr>
                <w:top w:val="none" w:sz="0" w:space="0" w:color="auto"/>
                <w:left w:val="none" w:sz="0" w:space="0" w:color="auto"/>
                <w:bottom w:val="none" w:sz="0" w:space="0" w:color="auto"/>
                <w:right w:val="none" w:sz="0" w:space="0" w:color="auto"/>
              </w:divBdr>
            </w:div>
          </w:divsChild>
        </w:div>
        <w:div w:id="27226622">
          <w:marLeft w:val="0"/>
          <w:marRight w:val="0"/>
          <w:marTop w:val="0"/>
          <w:marBottom w:val="0"/>
          <w:divBdr>
            <w:top w:val="none" w:sz="0" w:space="0" w:color="auto"/>
            <w:left w:val="none" w:sz="0" w:space="0" w:color="auto"/>
            <w:bottom w:val="none" w:sz="0" w:space="0" w:color="auto"/>
            <w:right w:val="none" w:sz="0" w:space="0" w:color="auto"/>
          </w:divBdr>
          <w:divsChild>
            <w:div w:id="2095130346">
              <w:marLeft w:val="0"/>
              <w:marRight w:val="0"/>
              <w:marTop w:val="0"/>
              <w:marBottom w:val="0"/>
              <w:divBdr>
                <w:top w:val="none" w:sz="0" w:space="0" w:color="auto"/>
                <w:left w:val="none" w:sz="0" w:space="0" w:color="auto"/>
                <w:bottom w:val="none" w:sz="0" w:space="0" w:color="auto"/>
                <w:right w:val="none" w:sz="0" w:space="0" w:color="auto"/>
              </w:divBdr>
            </w:div>
          </w:divsChild>
        </w:div>
        <w:div w:id="63113235">
          <w:marLeft w:val="0"/>
          <w:marRight w:val="0"/>
          <w:marTop w:val="0"/>
          <w:marBottom w:val="0"/>
          <w:divBdr>
            <w:top w:val="none" w:sz="0" w:space="0" w:color="auto"/>
            <w:left w:val="none" w:sz="0" w:space="0" w:color="auto"/>
            <w:bottom w:val="none" w:sz="0" w:space="0" w:color="auto"/>
            <w:right w:val="none" w:sz="0" w:space="0" w:color="auto"/>
          </w:divBdr>
          <w:divsChild>
            <w:div w:id="805392223">
              <w:marLeft w:val="0"/>
              <w:marRight w:val="0"/>
              <w:marTop w:val="0"/>
              <w:marBottom w:val="0"/>
              <w:divBdr>
                <w:top w:val="none" w:sz="0" w:space="0" w:color="auto"/>
                <w:left w:val="none" w:sz="0" w:space="0" w:color="auto"/>
                <w:bottom w:val="none" w:sz="0" w:space="0" w:color="auto"/>
                <w:right w:val="none" w:sz="0" w:space="0" w:color="auto"/>
              </w:divBdr>
            </w:div>
          </w:divsChild>
        </w:div>
        <w:div w:id="94903883">
          <w:marLeft w:val="0"/>
          <w:marRight w:val="0"/>
          <w:marTop w:val="0"/>
          <w:marBottom w:val="0"/>
          <w:divBdr>
            <w:top w:val="none" w:sz="0" w:space="0" w:color="auto"/>
            <w:left w:val="none" w:sz="0" w:space="0" w:color="auto"/>
            <w:bottom w:val="none" w:sz="0" w:space="0" w:color="auto"/>
            <w:right w:val="none" w:sz="0" w:space="0" w:color="auto"/>
          </w:divBdr>
          <w:divsChild>
            <w:div w:id="1145467775">
              <w:marLeft w:val="0"/>
              <w:marRight w:val="0"/>
              <w:marTop w:val="0"/>
              <w:marBottom w:val="0"/>
              <w:divBdr>
                <w:top w:val="none" w:sz="0" w:space="0" w:color="auto"/>
                <w:left w:val="none" w:sz="0" w:space="0" w:color="auto"/>
                <w:bottom w:val="none" w:sz="0" w:space="0" w:color="auto"/>
                <w:right w:val="none" w:sz="0" w:space="0" w:color="auto"/>
              </w:divBdr>
            </w:div>
          </w:divsChild>
        </w:div>
        <w:div w:id="123696229">
          <w:marLeft w:val="0"/>
          <w:marRight w:val="0"/>
          <w:marTop w:val="0"/>
          <w:marBottom w:val="0"/>
          <w:divBdr>
            <w:top w:val="none" w:sz="0" w:space="0" w:color="auto"/>
            <w:left w:val="none" w:sz="0" w:space="0" w:color="auto"/>
            <w:bottom w:val="none" w:sz="0" w:space="0" w:color="auto"/>
            <w:right w:val="none" w:sz="0" w:space="0" w:color="auto"/>
          </w:divBdr>
          <w:divsChild>
            <w:div w:id="1616136224">
              <w:marLeft w:val="0"/>
              <w:marRight w:val="0"/>
              <w:marTop w:val="0"/>
              <w:marBottom w:val="0"/>
              <w:divBdr>
                <w:top w:val="none" w:sz="0" w:space="0" w:color="auto"/>
                <w:left w:val="none" w:sz="0" w:space="0" w:color="auto"/>
                <w:bottom w:val="none" w:sz="0" w:space="0" w:color="auto"/>
                <w:right w:val="none" w:sz="0" w:space="0" w:color="auto"/>
              </w:divBdr>
            </w:div>
          </w:divsChild>
        </w:div>
        <w:div w:id="157115454">
          <w:marLeft w:val="0"/>
          <w:marRight w:val="0"/>
          <w:marTop w:val="0"/>
          <w:marBottom w:val="0"/>
          <w:divBdr>
            <w:top w:val="none" w:sz="0" w:space="0" w:color="auto"/>
            <w:left w:val="none" w:sz="0" w:space="0" w:color="auto"/>
            <w:bottom w:val="none" w:sz="0" w:space="0" w:color="auto"/>
            <w:right w:val="none" w:sz="0" w:space="0" w:color="auto"/>
          </w:divBdr>
          <w:divsChild>
            <w:div w:id="848718098">
              <w:marLeft w:val="0"/>
              <w:marRight w:val="0"/>
              <w:marTop w:val="0"/>
              <w:marBottom w:val="0"/>
              <w:divBdr>
                <w:top w:val="none" w:sz="0" w:space="0" w:color="auto"/>
                <w:left w:val="none" w:sz="0" w:space="0" w:color="auto"/>
                <w:bottom w:val="none" w:sz="0" w:space="0" w:color="auto"/>
                <w:right w:val="none" w:sz="0" w:space="0" w:color="auto"/>
              </w:divBdr>
            </w:div>
          </w:divsChild>
        </w:div>
        <w:div w:id="164974408">
          <w:marLeft w:val="0"/>
          <w:marRight w:val="0"/>
          <w:marTop w:val="0"/>
          <w:marBottom w:val="0"/>
          <w:divBdr>
            <w:top w:val="none" w:sz="0" w:space="0" w:color="auto"/>
            <w:left w:val="none" w:sz="0" w:space="0" w:color="auto"/>
            <w:bottom w:val="none" w:sz="0" w:space="0" w:color="auto"/>
            <w:right w:val="none" w:sz="0" w:space="0" w:color="auto"/>
          </w:divBdr>
          <w:divsChild>
            <w:div w:id="579019291">
              <w:marLeft w:val="0"/>
              <w:marRight w:val="0"/>
              <w:marTop w:val="0"/>
              <w:marBottom w:val="0"/>
              <w:divBdr>
                <w:top w:val="none" w:sz="0" w:space="0" w:color="auto"/>
                <w:left w:val="none" w:sz="0" w:space="0" w:color="auto"/>
                <w:bottom w:val="none" w:sz="0" w:space="0" w:color="auto"/>
                <w:right w:val="none" w:sz="0" w:space="0" w:color="auto"/>
              </w:divBdr>
            </w:div>
          </w:divsChild>
        </w:div>
        <w:div w:id="170876816">
          <w:marLeft w:val="0"/>
          <w:marRight w:val="0"/>
          <w:marTop w:val="0"/>
          <w:marBottom w:val="0"/>
          <w:divBdr>
            <w:top w:val="none" w:sz="0" w:space="0" w:color="auto"/>
            <w:left w:val="none" w:sz="0" w:space="0" w:color="auto"/>
            <w:bottom w:val="none" w:sz="0" w:space="0" w:color="auto"/>
            <w:right w:val="none" w:sz="0" w:space="0" w:color="auto"/>
          </w:divBdr>
          <w:divsChild>
            <w:div w:id="2119594552">
              <w:marLeft w:val="0"/>
              <w:marRight w:val="0"/>
              <w:marTop w:val="0"/>
              <w:marBottom w:val="0"/>
              <w:divBdr>
                <w:top w:val="none" w:sz="0" w:space="0" w:color="auto"/>
                <w:left w:val="none" w:sz="0" w:space="0" w:color="auto"/>
                <w:bottom w:val="none" w:sz="0" w:space="0" w:color="auto"/>
                <w:right w:val="none" w:sz="0" w:space="0" w:color="auto"/>
              </w:divBdr>
            </w:div>
          </w:divsChild>
        </w:div>
        <w:div w:id="189221851">
          <w:marLeft w:val="0"/>
          <w:marRight w:val="0"/>
          <w:marTop w:val="0"/>
          <w:marBottom w:val="0"/>
          <w:divBdr>
            <w:top w:val="none" w:sz="0" w:space="0" w:color="auto"/>
            <w:left w:val="none" w:sz="0" w:space="0" w:color="auto"/>
            <w:bottom w:val="none" w:sz="0" w:space="0" w:color="auto"/>
            <w:right w:val="none" w:sz="0" w:space="0" w:color="auto"/>
          </w:divBdr>
          <w:divsChild>
            <w:div w:id="1955332256">
              <w:marLeft w:val="0"/>
              <w:marRight w:val="0"/>
              <w:marTop w:val="0"/>
              <w:marBottom w:val="0"/>
              <w:divBdr>
                <w:top w:val="none" w:sz="0" w:space="0" w:color="auto"/>
                <w:left w:val="none" w:sz="0" w:space="0" w:color="auto"/>
                <w:bottom w:val="none" w:sz="0" w:space="0" w:color="auto"/>
                <w:right w:val="none" w:sz="0" w:space="0" w:color="auto"/>
              </w:divBdr>
            </w:div>
          </w:divsChild>
        </w:div>
        <w:div w:id="226112087">
          <w:marLeft w:val="0"/>
          <w:marRight w:val="0"/>
          <w:marTop w:val="0"/>
          <w:marBottom w:val="0"/>
          <w:divBdr>
            <w:top w:val="none" w:sz="0" w:space="0" w:color="auto"/>
            <w:left w:val="none" w:sz="0" w:space="0" w:color="auto"/>
            <w:bottom w:val="none" w:sz="0" w:space="0" w:color="auto"/>
            <w:right w:val="none" w:sz="0" w:space="0" w:color="auto"/>
          </w:divBdr>
          <w:divsChild>
            <w:div w:id="919603684">
              <w:marLeft w:val="0"/>
              <w:marRight w:val="0"/>
              <w:marTop w:val="0"/>
              <w:marBottom w:val="0"/>
              <w:divBdr>
                <w:top w:val="none" w:sz="0" w:space="0" w:color="auto"/>
                <w:left w:val="none" w:sz="0" w:space="0" w:color="auto"/>
                <w:bottom w:val="none" w:sz="0" w:space="0" w:color="auto"/>
                <w:right w:val="none" w:sz="0" w:space="0" w:color="auto"/>
              </w:divBdr>
            </w:div>
          </w:divsChild>
        </w:div>
        <w:div w:id="265845607">
          <w:marLeft w:val="0"/>
          <w:marRight w:val="0"/>
          <w:marTop w:val="0"/>
          <w:marBottom w:val="0"/>
          <w:divBdr>
            <w:top w:val="none" w:sz="0" w:space="0" w:color="auto"/>
            <w:left w:val="none" w:sz="0" w:space="0" w:color="auto"/>
            <w:bottom w:val="none" w:sz="0" w:space="0" w:color="auto"/>
            <w:right w:val="none" w:sz="0" w:space="0" w:color="auto"/>
          </w:divBdr>
          <w:divsChild>
            <w:div w:id="1088845012">
              <w:marLeft w:val="0"/>
              <w:marRight w:val="0"/>
              <w:marTop w:val="0"/>
              <w:marBottom w:val="0"/>
              <w:divBdr>
                <w:top w:val="none" w:sz="0" w:space="0" w:color="auto"/>
                <w:left w:val="none" w:sz="0" w:space="0" w:color="auto"/>
                <w:bottom w:val="none" w:sz="0" w:space="0" w:color="auto"/>
                <w:right w:val="none" w:sz="0" w:space="0" w:color="auto"/>
              </w:divBdr>
            </w:div>
          </w:divsChild>
        </w:div>
        <w:div w:id="331765489">
          <w:marLeft w:val="0"/>
          <w:marRight w:val="0"/>
          <w:marTop w:val="0"/>
          <w:marBottom w:val="0"/>
          <w:divBdr>
            <w:top w:val="none" w:sz="0" w:space="0" w:color="auto"/>
            <w:left w:val="none" w:sz="0" w:space="0" w:color="auto"/>
            <w:bottom w:val="none" w:sz="0" w:space="0" w:color="auto"/>
            <w:right w:val="none" w:sz="0" w:space="0" w:color="auto"/>
          </w:divBdr>
          <w:divsChild>
            <w:div w:id="738674884">
              <w:marLeft w:val="0"/>
              <w:marRight w:val="0"/>
              <w:marTop w:val="0"/>
              <w:marBottom w:val="0"/>
              <w:divBdr>
                <w:top w:val="none" w:sz="0" w:space="0" w:color="auto"/>
                <w:left w:val="none" w:sz="0" w:space="0" w:color="auto"/>
                <w:bottom w:val="none" w:sz="0" w:space="0" w:color="auto"/>
                <w:right w:val="none" w:sz="0" w:space="0" w:color="auto"/>
              </w:divBdr>
            </w:div>
          </w:divsChild>
        </w:div>
        <w:div w:id="348989202">
          <w:marLeft w:val="0"/>
          <w:marRight w:val="0"/>
          <w:marTop w:val="0"/>
          <w:marBottom w:val="0"/>
          <w:divBdr>
            <w:top w:val="none" w:sz="0" w:space="0" w:color="auto"/>
            <w:left w:val="none" w:sz="0" w:space="0" w:color="auto"/>
            <w:bottom w:val="none" w:sz="0" w:space="0" w:color="auto"/>
            <w:right w:val="none" w:sz="0" w:space="0" w:color="auto"/>
          </w:divBdr>
          <w:divsChild>
            <w:div w:id="880676812">
              <w:marLeft w:val="0"/>
              <w:marRight w:val="0"/>
              <w:marTop w:val="0"/>
              <w:marBottom w:val="0"/>
              <w:divBdr>
                <w:top w:val="none" w:sz="0" w:space="0" w:color="auto"/>
                <w:left w:val="none" w:sz="0" w:space="0" w:color="auto"/>
                <w:bottom w:val="none" w:sz="0" w:space="0" w:color="auto"/>
                <w:right w:val="none" w:sz="0" w:space="0" w:color="auto"/>
              </w:divBdr>
            </w:div>
          </w:divsChild>
        </w:div>
        <w:div w:id="350225934">
          <w:marLeft w:val="0"/>
          <w:marRight w:val="0"/>
          <w:marTop w:val="0"/>
          <w:marBottom w:val="0"/>
          <w:divBdr>
            <w:top w:val="none" w:sz="0" w:space="0" w:color="auto"/>
            <w:left w:val="none" w:sz="0" w:space="0" w:color="auto"/>
            <w:bottom w:val="none" w:sz="0" w:space="0" w:color="auto"/>
            <w:right w:val="none" w:sz="0" w:space="0" w:color="auto"/>
          </w:divBdr>
          <w:divsChild>
            <w:div w:id="587076019">
              <w:marLeft w:val="0"/>
              <w:marRight w:val="0"/>
              <w:marTop w:val="0"/>
              <w:marBottom w:val="0"/>
              <w:divBdr>
                <w:top w:val="none" w:sz="0" w:space="0" w:color="auto"/>
                <w:left w:val="none" w:sz="0" w:space="0" w:color="auto"/>
                <w:bottom w:val="none" w:sz="0" w:space="0" w:color="auto"/>
                <w:right w:val="none" w:sz="0" w:space="0" w:color="auto"/>
              </w:divBdr>
            </w:div>
          </w:divsChild>
        </w:div>
        <w:div w:id="359206048">
          <w:marLeft w:val="0"/>
          <w:marRight w:val="0"/>
          <w:marTop w:val="0"/>
          <w:marBottom w:val="0"/>
          <w:divBdr>
            <w:top w:val="none" w:sz="0" w:space="0" w:color="auto"/>
            <w:left w:val="none" w:sz="0" w:space="0" w:color="auto"/>
            <w:bottom w:val="none" w:sz="0" w:space="0" w:color="auto"/>
            <w:right w:val="none" w:sz="0" w:space="0" w:color="auto"/>
          </w:divBdr>
          <w:divsChild>
            <w:div w:id="1780448822">
              <w:marLeft w:val="0"/>
              <w:marRight w:val="0"/>
              <w:marTop w:val="0"/>
              <w:marBottom w:val="0"/>
              <w:divBdr>
                <w:top w:val="none" w:sz="0" w:space="0" w:color="auto"/>
                <w:left w:val="none" w:sz="0" w:space="0" w:color="auto"/>
                <w:bottom w:val="none" w:sz="0" w:space="0" w:color="auto"/>
                <w:right w:val="none" w:sz="0" w:space="0" w:color="auto"/>
              </w:divBdr>
            </w:div>
          </w:divsChild>
        </w:div>
        <w:div w:id="411242187">
          <w:marLeft w:val="0"/>
          <w:marRight w:val="0"/>
          <w:marTop w:val="0"/>
          <w:marBottom w:val="0"/>
          <w:divBdr>
            <w:top w:val="none" w:sz="0" w:space="0" w:color="auto"/>
            <w:left w:val="none" w:sz="0" w:space="0" w:color="auto"/>
            <w:bottom w:val="none" w:sz="0" w:space="0" w:color="auto"/>
            <w:right w:val="none" w:sz="0" w:space="0" w:color="auto"/>
          </w:divBdr>
          <w:divsChild>
            <w:div w:id="748309643">
              <w:marLeft w:val="0"/>
              <w:marRight w:val="0"/>
              <w:marTop w:val="0"/>
              <w:marBottom w:val="0"/>
              <w:divBdr>
                <w:top w:val="none" w:sz="0" w:space="0" w:color="auto"/>
                <w:left w:val="none" w:sz="0" w:space="0" w:color="auto"/>
                <w:bottom w:val="none" w:sz="0" w:space="0" w:color="auto"/>
                <w:right w:val="none" w:sz="0" w:space="0" w:color="auto"/>
              </w:divBdr>
            </w:div>
          </w:divsChild>
        </w:div>
        <w:div w:id="441605993">
          <w:marLeft w:val="0"/>
          <w:marRight w:val="0"/>
          <w:marTop w:val="0"/>
          <w:marBottom w:val="0"/>
          <w:divBdr>
            <w:top w:val="none" w:sz="0" w:space="0" w:color="auto"/>
            <w:left w:val="none" w:sz="0" w:space="0" w:color="auto"/>
            <w:bottom w:val="none" w:sz="0" w:space="0" w:color="auto"/>
            <w:right w:val="none" w:sz="0" w:space="0" w:color="auto"/>
          </w:divBdr>
          <w:divsChild>
            <w:div w:id="1105425550">
              <w:marLeft w:val="0"/>
              <w:marRight w:val="0"/>
              <w:marTop w:val="0"/>
              <w:marBottom w:val="0"/>
              <w:divBdr>
                <w:top w:val="none" w:sz="0" w:space="0" w:color="auto"/>
                <w:left w:val="none" w:sz="0" w:space="0" w:color="auto"/>
                <w:bottom w:val="none" w:sz="0" w:space="0" w:color="auto"/>
                <w:right w:val="none" w:sz="0" w:space="0" w:color="auto"/>
              </w:divBdr>
            </w:div>
          </w:divsChild>
        </w:div>
        <w:div w:id="443883101">
          <w:marLeft w:val="0"/>
          <w:marRight w:val="0"/>
          <w:marTop w:val="0"/>
          <w:marBottom w:val="0"/>
          <w:divBdr>
            <w:top w:val="none" w:sz="0" w:space="0" w:color="auto"/>
            <w:left w:val="none" w:sz="0" w:space="0" w:color="auto"/>
            <w:bottom w:val="none" w:sz="0" w:space="0" w:color="auto"/>
            <w:right w:val="none" w:sz="0" w:space="0" w:color="auto"/>
          </w:divBdr>
          <w:divsChild>
            <w:div w:id="1035351832">
              <w:marLeft w:val="0"/>
              <w:marRight w:val="0"/>
              <w:marTop w:val="0"/>
              <w:marBottom w:val="0"/>
              <w:divBdr>
                <w:top w:val="none" w:sz="0" w:space="0" w:color="auto"/>
                <w:left w:val="none" w:sz="0" w:space="0" w:color="auto"/>
                <w:bottom w:val="none" w:sz="0" w:space="0" w:color="auto"/>
                <w:right w:val="none" w:sz="0" w:space="0" w:color="auto"/>
              </w:divBdr>
            </w:div>
          </w:divsChild>
        </w:div>
        <w:div w:id="446850456">
          <w:marLeft w:val="0"/>
          <w:marRight w:val="0"/>
          <w:marTop w:val="0"/>
          <w:marBottom w:val="0"/>
          <w:divBdr>
            <w:top w:val="none" w:sz="0" w:space="0" w:color="auto"/>
            <w:left w:val="none" w:sz="0" w:space="0" w:color="auto"/>
            <w:bottom w:val="none" w:sz="0" w:space="0" w:color="auto"/>
            <w:right w:val="none" w:sz="0" w:space="0" w:color="auto"/>
          </w:divBdr>
          <w:divsChild>
            <w:div w:id="923758043">
              <w:marLeft w:val="0"/>
              <w:marRight w:val="0"/>
              <w:marTop w:val="0"/>
              <w:marBottom w:val="0"/>
              <w:divBdr>
                <w:top w:val="none" w:sz="0" w:space="0" w:color="auto"/>
                <w:left w:val="none" w:sz="0" w:space="0" w:color="auto"/>
                <w:bottom w:val="none" w:sz="0" w:space="0" w:color="auto"/>
                <w:right w:val="none" w:sz="0" w:space="0" w:color="auto"/>
              </w:divBdr>
            </w:div>
          </w:divsChild>
        </w:div>
        <w:div w:id="459493351">
          <w:marLeft w:val="0"/>
          <w:marRight w:val="0"/>
          <w:marTop w:val="0"/>
          <w:marBottom w:val="0"/>
          <w:divBdr>
            <w:top w:val="none" w:sz="0" w:space="0" w:color="auto"/>
            <w:left w:val="none" w:sz="0" w:space="0" w:color="auto"/>
            <w:bottom w:val="none" w:sz="0" w:space="0" w:color="auto"/>
            <w:right w:val="none" w:sz="0" w:space="0" w:color="auto"/>
          </w:divBdr>
          <w:divsChild>
            <w:div w:id="1766613293">
              <w:marLeft w:val="0"/>
              <w:marRight w:val="0"/>
              <w:marTop w:val="0"/>
              <w:marBottom w:val="0"/>
              <w:divBdr>
                <w:top w:val="none" w:sz="0" w:space="0" w:color="auto"/>
                <w:left w:val="none" w:sz="0" w:space="0" w:color="auto"/>
                <w:bottom w:val="none" w:sz="0" w:space="0" w:color="auto"/>
                <w:right w:val="none" w:sz="0" w:space="0" w:color="auto"/>
              </w:divBdr>
            </w:div>
          </w:divsChild>
        </w:div>
        <w:div w:id="511140597">
          <w:marLeft w:val="0"/>
          <w:marRight w:val="0"/>
          <w:marTop w:val="0"/>
          <w:marBottom w:val="0"/>
          <w:divBdr>
            <w:top w:val="none" w:sz="0" w:space="0" w:color="auto"/>
            <w:left w:val="none" w:sz="0" w:space="0" w:color="auto"/>
            <w:bottom w:val="none" w:sz="0" w:space="0" w:color="auto"/>
            <w:right w:val="none" w:sz="0" w:space="0" w:color="auto"/>
          </w:divBdr>
          <w:divsChild>
            <w:div w:id="1142775852">
              <w:marLeft w:val="0"/>
              <w:marRight w:val="0"/>
              <w:marTop w:val="0"/>
              <w:marBottom w:val="0"/>
              <w:divBdr>
                <w:top w:val="none" w:sz="0" w:space="0" w:color="auto"/>
                <w:left w:val="none" w:sz="0" w:space="0" w:color="auto"/>
                <w:bottom w:val="none" w:sz="0" w:space="0" w:color="auto"/>
                <w:right w:val="none" w:sz="0" w:space="0" w:color="auto"/>
              </w:divBdr>
            </w:div>
          </w:divsChild>
        </w:div>
        <w:div w:id="547036327">
          <w:marLeft w:val="0"/>
          <w:marRight w:val="0"/>
          <w:marTop w:val="0"/>
          <w:marBottom w:val="0"/>
          <w:divBdr>
            <w:top w:val="none" w:sz="0" w:space="0" w:color="auto"/>
            <w:left w:val="none" w:sz="0" w:space="0" w:color="auto"/>
            <w:bottom w:val="none" w:sz="0" w:space="0" w:color="auto"/>
            <w:right w:val="none" w:sz="0" w:space="0" w:color="auto"/>
          </w:divBdr>
          <w:divsChild>
            <w:div w:id="1739211625">
              <w:marLeft w:val="0"/>
              <w:marRight w:val="0"/>
              <w:marTop w:val="0"/>
              <w:marBottom w:val="0"/>
              <w:divBdr>
                <w:top w:val="none" w:sz="0" w:space="0" w:color="auto"/>
                <w:left w:val="none" w:sz="0" w:space="0" w:color="auto"/>
                <w:bottom w:val="none" w:sz="0" w:space="0" w:color="auto"/>
                <w:right w:val="none" w:sz="0" w:space="0" w:color="auto"/>
              </w:divBdr>
            </w:div>
          </w:divsChild>
        </w:div>
        <w:div w:id="548997958">
          <w:marLeft w:val="0"/>
          <w:marRight w:val="0"/>
          <w:marTop w:val="0"/>
          <w:marBottom w:val="0"/>
          <w:divBdr>
            <w:top w:val="none" w:sz="0" w:space="0" w:color="auto"/>
            <w:left w:val="none" w:sz="0" w:space="0" w:color="auto"/>
            <w:bottom w:val="none" w:sz="0" w:space="0" w:color="auto"/>
            <w:right w:val="none" w:sz="0" w:space="0" w:color="auto"/>
          </w:divBdr>
          <w:divsChild>
            <w:div w:id="1198086348">
              <w:marLeft w:val="0"/>
              <w:marRight w:val="0"/>
              <w:marTop w:val="0"/>
              <w:marBottom w:val="0"/>
              <w:divBdr>
                <w:top w:val="none" w:sz="0" w:space="0" w:color="auto"/>
                <w:left w:val="none" w:sz="0" w:space="0" w:color="auto"/>
                <w:bottom w:val="none" w:sz="0" w:space="0" w:color="auto"/>
                <w:right w:val="none" w:sz="0" w:space="0" w:color="auto"/>
              </w:divBdr>
            </w:div>
          </w:divsChild>
        </w:div>
        <w:div w:id="557739538">
          <w:marLeft w:val="0"/>
          <w:marRight w:val="0"/>
          <w:marTop w:val="0"/>
          <w:marBottom w:val="0"/>
          <w:divBdr>
            <w:top w:val="none" w:sz="0" w:space="0" w:color="auto"/>
            <w:left w:val="none" w:sz="0" w:space="0" w:color="auto"/>
            <w:bottom w:val="none" w:sz="0" w:space="0" w:color="auto"/>
            <w:right w:val="none" w:sz="0" w:space="0" w:color="auto"/>
          </w:divBdr>
          <w:divsChild>
            <w:div w:id="592594312">
              <w:marLeft w:val="0"/>
              <w:marRight w:val="0"/>
              <w:marTop w:val="0"/>
              <w:marBottom w:val="0"/>
              <w:divBdr>
                <w:top w:val="none" w:sz="0" w:space="0" w:color="auto"/>
                <w:left w:val="none" w:sz="0" w:space="0" w:color="auto"/>
                <w:bottom w:val="none" w:sz="0" w:space="0" w:color="auto"/>
                <w:right w:val="none" w:sz="0" w:space="0" w:color="auto"/>
              </w:divBdr>
            </w:div>
          </w:divsChild>
        </w:div>
        <w:div w:id="559249239">
          <w:marLeft w:val="0"/>
          <w:marRight w:val="0"/>
          <w:marTop w:val="0"/>
          <w:marBottom w:val="0"/>
          <w:divBdr>
            <w:top w:val="none" w:sz="0" w:space="0" w:color="auto"/>
            <w:left w:val="none" w:sz="0" w:space="0" w:color="auto"/>
            <w:bottom w:val="none" w:sz="0" w:space="0" w:color="auto"/>
            <w:right w:val="none" w:sz="0" w:space="0" w:color="auto"/>
          </w:divBdr>
          <w:divsChild>
            <w:div w:id="676269374">
              <w:marLeft w:val="0"/>
              <w:marRight w:val="0"/>
              <w:marTop w:val="0"/>
              <w:marBottom w:val="0"/>
              <w:divBdr>
                <w:top w:val="none" w:sz="0" w:space="0" w:color="auto"/>
                <w:left w:val="none" w:sz="0" w:space="0" w:color="auto"/>
                <w:bottom w:val="none" w:sz="0" w:space="0" w:color="auto"/>
                <w:right w:val="none" w:sz="0" w:space="0" w:color="auto"/>
              </w:divBdr>
            </w:div>
          </w:divsChild>
        </w:div>
        <w:div w:id="562567156">
          <w:marLeft w:val="0"/>
          <w:marRight w:val="0"/>
          <w:marTop w:val="0"/>
          <w:marBottom w:val="0"/>
          <w:divBdr>
            <w:top w:val="none" w:sz="0" w:space="0" w:color="auto"/>
            <w:left w:val="none" w:sz="0" w:space="0" w:color="auto"/>
            <w:bottom w:val="none" w:sz="0" w:space="0" w:color="auto"/>
            <w:right w:val="none" w:sz="0" w:space="0" w:color="auto"/>
          </w:divBdr>
          <w:divsChild>
            <w:div w:id="472060760">
              <w:marLeft w:val="0"/>
              <w:marRight w:val="0"/>
              <w:marTop w:val="0"/>
              <w:marBottom w:val="0"/>
              <w:divBdr>
                <w:top w:val="none" w:sz="0" w:space="0" w:color="auto"/>
                <w:left w:val="none" w:sz="0" w:space="0" w:color="auto"/>
                <w:bottom w:val="none" w:sz="0" w:space="0" w:color="auto"/>
                <w:right w:val="none" w:sz="0" w:space="0" w:color="auto"/>
              </w:divBdr>
            </w:div>
          </w:divsChild>
        </w:div>
        <w:div w:id="583337949">
          <w:marLeft w:val="0"/>
          <w:marRight w:val="0"/>
          <w:marTop w:val="0"/>
          <w:marBottom w:val="0"/>
          <w:divBdr>
            <w:top w:val="none" w:sz="0" w:space="0" w:color="auto"/>
            <w:left w:val="none" w:sz="0" w:space="0" w:color="auto"/>
            <w:bottom w:val="none" w:sz="0" w:space="0" w:color="auto"/>
            <w:right w:val="none" w:sz="0" w:space="0" w:color="auto"/>
          </w:divBdr>
          <w:divsChild>
            <w:div w:id="879703652">
              <w:marLeft w:val="0"/>
              <w:marRight w:val="0"/>
              <w:marTop w:val="0"/>
              <w:marBottom w:val="0"/>
              <w:divBdr>
                <w:top w:val="none" w:sz="0" w:space="0" w:color="auto"/>
                <w:left w:val="none" w:sz="0" w:space="0" w:color="auto"/>
                <w:bottom w:val="none" w:sz="0" w:space="0" w:color="auto"/>
                <w:right w:val="none" w:sz="0" w:space="0" w:color="auto"/>
              </w:divBdr>
            </w:div>
          </w:divsChild>
        </w:div>
        <w:div w:id="590748029">
          <w:marLeft w:val="0"/>
          <w:marRight w:val="0"/>
          <w:marTop w:val="0"/>
          <w:marBottom w:val="0"/>
          <w:divBdr>
            <w:top w:val="none" w:sz="0" w:space="0" w:color="auto"/>
            <w:left w:val="none" w:sz="0" w:space="0" w:color="auto"/>
            <w:bottom w:val="none" w:sz="0" w:space="0" w:color="auto"/>
            <w:right w:val="none" w:sz="0" w:space="0" w:color="auto"/>
          </w:divBdr>
          <w:divsChild>
            <w:div w:id="309670950">
              <w:marLeft w:val="0"/>
              <w:marRight w:val="0"/>
              <w:marTop w:val="0"/>
              <w:marBottom w:val="0"/>
              <w:divBdr>
                <w:top w:val="none" w:sz="0" w:space="0" w:color="auto"/>
                <w:left w:val="none" w:sz="0" w:space="0" w:color="auto"/>
                <w:bottom w:val="none" w:sz="0" w:space="0" w:color="auto"/>
                <w:right w:val="none" w:sz="0" w:space="0" w:color="auto"/>
              </w:divBdr>
            </w:div>
          </w:divsChild>
        </w:div>
        <w:div w:id="610281538">
          <w:marLeft w:val="0"/>
          <w:marRight w:val="0"/>
          <w:marTop w:val="0"/>
          <w:marBottom w:val="0"/>
          <w:divBdr>
            <w:top w:val="none" w:sz="0" w:space="0" w:color="auto"/>
            <w:left w:val="none" w:sz="0" w:space="0" w:color="auto"/>
            <w:bottom w:val="none" w:sz="0" w:space="0" w:color="auto"/>
            <w:right w:val="none" w:sz="0" w:space="0" w:color="auto"/>
          </w:divBdr>
          <w:divsChild>
            <w:div w:id="1661082790">
              <w:marLeft w:val="0"/>
              <w:marRight w:val="0"/>
              <w:marTop w:val="0"/>
              <w:marBottom w:val="0"/>
              <w:divBdr>
                <w:top w:val="none" w:sz="0" w:space="0" w:color="auto"/>
                <w:left w:val="none" w:sz="0" w:space="0" w:color="auto"/>
                <w:bottom w:val="none" w:sz="0" w:space="0" w:color="auto"/>
                <w:right w:val="none" w:sz="0" w:space="0" w:color="auto"/>
              </w:divBdr>
            </w:div>
          </w:divsChild>
        </w:div>
        <w:div w:id="621113638">
          <w:marLeft w:val="0"/>
          <w:marRight w:val="0"/>
          <w:marTop w:val="0"/>
          <w:marBottom w:val="0"/>
          <w:divBdr>
            <w:top w:val="none" w:sz="0" w:space="0" w:color="auto"/>
            <w:left w:val="none" w:sz="0" w:space="0" w:color="auto"/>
            <w:bottom w:val="none" w:sz="0" w:space="0" w:color="auto"/>
            <w:right w:val="none" w:sz="0" w:space="0" w:color="auto"/>
          </w:divBdr>
          <w:divsChild>
            <w:div w:id="1604916827">
              <w:marLeft w:val="0"/>
              <w:marRight w:val="0"/>
              <w:marTop w:val="0"/>
              <w:marBottom w:val="0"/>
              <w:divBdr>
                <w:top w:val="none" w:sz="0" w:space="0" w:color="auto"/>
                <w:left w:val="none" w:sz="0" w:space="0" w:color="auto"/>
                <w:bottom w:val="none" w:sz="0" w:space="0" w:color="auto"/>
                <w:right w:val="none" w:sz="0" w:space="0" w:color="auto"/>
              </w:divBdr>
            </w:div>
          </w:divsChild>
        </w:div>
        <w:div w:id="646475162">
          <w:marLeft w:val="0"/>
          <w:marRight w:val="0"/>
          <w:marTop w:val="0"/>
          <w:marBottom w:val="0"/>
          <w:divBdr>
            <w:top w:val="none" w:sz="0" w:space="0" w:color="auto"/>
            <w:left w:val="none" w:sz="0" w:space="0" w:color="auto"/>
            <w:bottom w:val="none" w:sz="0" w:space="0" w:color="auto"/>
            <w:right w:val="none" w:sz="0" w:space="0" w:color="auto"/>
          </w:divBdr>
          <w:divsChild>
            <w:div w:id="2090498668">
              <w:marLeft w:val="0"/>
              <w:marRight w:val="0"/>
              <w:marTop w:val="0"/>
              <w:marBottom w:val="0"/>
              <w:divBdr>
                <w:top w:val="none" w:sz="0" w:space="0" w:color="auto"/>
                <w:left w:val="none" w:sz="0" w:space="0" w:color="auto"/>
                <w:bottom w:val="none" w:sz="0" w:space="0" w:color="auto"/>
                <w:right w:val="none" w:sz="0" w:space="0" w:color="auto"/>
              </w:divBdr>
            </w:div>
          </w:divsChild>
        </w:div>
        <w:div w:id="666054546">
          <w:marLeft w:val="0"/>
          <w:marRight w:val="0"/>
          <w:marTop w:val="0"/>
          <w:marBottom w:val="0"/>
          <w:divBdr>
            <w:top w:val="none" w:sz="0" w:space="0" w:color="auto"/>
            <w:left w:val="none" w:sz="0" w:space="0" w:color="auto"/>
            <w:bottom w:val="none" w:sz="0" w:space="0" w:color="auto"/>
            <w:right w:val="none" w:sz="0" w:space="0" w:color="auto"/>
          </w:divBdr>
          <w:divsChild>
            <w:div w:id="1262683908">
              <w:marLeft w:val="0"/>
              <w:marRight w:val="0"/>
              <w:marTop w:val="0"/>
              <w:marBottom w:val="0"/>
              <w:divBdr>
                <w:top w:val="none" w:sz="0" w:space="0" w:color="auto"/>
                <w:left w:val="none" w:sz="0" w:space="0" w:color="auto"/>
                <w:bottom w:val="none" w:sz="0" w:space="0" w:color="auto"/>
                <w:right w:val="none" w:sz="0" w:space="0" w:color="auto"/>
              </w:divBdr>
            </w:div>
          </w:divsChild>
        </w:div>
        <w:div w:id="699472379">
          <w:marLeft w:val="0"/>
          <w:marRight w:val="0"/>
          <w:marTop w:val="0"/>
          <w:marBottom w:val="0"/>
          <w:divBdr>
            <w:top w:val="none" w:sz="0" w:space="0" w:color="auto"/>
            <w:left w:val="none" w:sz="0" w:space="0" w:color="auto"/>
            <w:bottom w:val="none" w:sz="0" w:space="0" w:color="auto"/>
            <w:right w:val="none" w:sz="0" w:space="0" w:color="auto"/>
          </w:divBdr>
          <w:divsChild>
            <w:div w:id="2086216667">
              <w:marLeft w:val="0"/>
              <w:marRight w:val="0"/>
              <w:marTop w:val="0"/>
              <w:marBottom w:val="0"/>
              <w:divBdr>
                <w:top w:val="none" w:sz="0" w:space="0" w:color="auto"/>
                <w:left w:val="none" w:sz="0" w:space="0" w:color="auto"/>
                <w:bottom w:val="none" w:sz="0" w:space="0" w:color="auto"/>
                <w:right w:val="none" w:sz="0" w:space="0" w:color="auto"/>
              </w:divBdr>
            </w:div>
          </w:divsChild>
        </w:div>
        <w:div w:id="723334821">
          <w:marLeft w:val="0"/>
          <w:marRight w:val="0"/>
          <w:marTop w:val="0"/>
          <w:marBottom w:val="0"/>
          <w:divBdr>
            <w:top w:val="none" w:sz="0" w:space="0" w:color="auto"/>
            <w:left w:val="none" w:sz="0" w:space="0" w:color="auto"/>
            <w:bottom w:val="none" w:sz="0" w:space="0" w:color="auto"/>
            <w:right w:val="none" w:sz="0" w:space="0" w:color="auto"/>
          </w:divBdr>
          <w:divsChild>
            <w:div w:id="1949465436">
              <w:marLeft w:val="0"/>
              <w:marRight w:val="0"/>
              <w:marTop w:val="0"/>
              <w:marBottom w:val="0"/>
              <w:divBdr>
                <w:top w:val="none" w:sz="0" w:space="0" w:color="auto"/>
                <w:left w:val="none" w:sz="0" w:space="0" w:color="auto"/>
                <w:bottom w:val="none" w:sz="0" w:space="0" w:color="auto"/>
                <w:right w:val="none" w:sz="0" w:space="0" w:color="auto"/>
              </w:divBdr>
            </w:div>
          </w:divsChild>
        </w:div>
        <w:div w:id="774789321">
          <w:marLeft w:val="0"/>
          <w:marRight w:val="0"/>
          <w:marTop w:val="0"/>
          <w:marBottom w:val="0"/>
          <w:divBdr>
            <w:top w:val="none" w:sz="0" w:space="0" w:color="auto"/>
            <w:left w:val="none" w:sz="0" w:space="0" w:color="auto"/>
            <w:bottom w:val="none" w:sz="0" w:space="0" w:color="auto"/>
            <w:right w:val="none" w:sz="0" w:space="0" w:color="auto"/>
          </w:divBdr>
          <w:divsChild>
            <w:div w:id="1134640427">
              <w:marLeft w:val="0"/>
              <w:marRight w:val="0"/>
              <w:marTop w:val="0"/>
              <w:marBottom w:val="0"/>
              <w:divBdr>
                <w:top w:val="none" w:sz="0" w:space="0" w:color="auto"/>
                <w:left w:val="none" w:sz="0" w:space="0" w:color="auto"/>
                <w:bottom w:val="none" w:sz="0" w:space="0" w:color="auto"/>
                <w:right w:val="none" w:sz="0" w:space="0" w:color="auto"/>
              </w:divBdr>
            </w:div>
          </w:divsChild>
        </w:div>
        <w:div w:id="793862833">
          <w:marLeft w:val="0"/>
          <w:marRight w:val="0"/>
          <w:marTop w:val="0"/>
          <w:marBottom w:val="0"/>
          <w:divBdr>
            <w:top w:val="none" w:sz="0" w:space="0" w:color="auto"/>
            <w:left w:val="none" w:sz="0" w:space="0" w:color="auto"/>
            <w:bottom w:val="none" w:sz="0" w:space="0" w:color="auto"/>
            <w:right w:val="none" w:sz="0" w:space="0" w:color="auto"/>
          </w:divBdr>
          <w:divsChild>
            <w:div w:id="1248809350">
              <w:marLeft w:val="0"/>
              <w:marRight w:val="0"/>
              <w:marTop w:val="0"/>
              <w:marBottom w:val="0"/>
              <w:divBdr>
                <w:top w:val="none" w:sz="0" w:space="0" w:color="auto"/>
                <w:left w:val="none" w:sz="0" w:space="0" w:color="auto"/>
                <w:bottom w:val="none" w:sz="0" w:space="0" w:color="auto"/>
                <w:right w:val="none" w:sz="0" w:space="0" w:color="auto"/>
              </w:divBdr>
            </w:div>
          </w:divsChild>
        </w:div>
        <w:div w:id="795610558">
          <w:marLeft w:val="0"/>
          <w:marRight w:val="0"/>
          <w:marTop w:val="0"/>
          <w:marBottom w:val="0"/>
          <w:divBdr>
            <w:top w:val="none" w:sz="0" w:space="0" w:color="auto"/>
            <w:left w:val="none" w:sz="0" w:space="0" w:color="auto"/>
            <w:bottom w:val="none" w:sz="0" w:space="0" w:color="auto"/>
            <w:right w:val="none" w:sz="0" w:space="0" w:color="auto"/>
          </w:divBdr>
          <w:divsChild>
            <w:div w:id="1383627285">
              <w:marLeft w:val="0"/>
              <w:marRight w:val="0"/>
              <w:marTop w:val="0"/>
              <w:marBottom w:val="0"/>
              <w:divBdr>
                <w:top w:val="none" w:sz="0" w:space="0" w:color="auto"/>
                <w:left w:val="none" w:sz="0" w:space="0" w:color="auto"/>
                <w:bottom w:val="none" w:sz="0" w:space="0" w:color="auto"/>
                <w:right w:val="none" w:sz="0" w:space="0" w:color="auto"/>
              </w:divBdr>
            </w:div>
          </w:divsChild>
        </w:div>
        <w:div w:id="835802157">
          <w:marLeft w:val="0"/>
          <w:marRight w:val="0"/>
          <w:marTop w:val="0"/>
          <w:marBottom w:val="0"/>
          <w:divBdr>
            <w:top w:val="none" w:sz="0" w:space="0" w:color="auto"/>
            <w:left w:val="none" w:sz="0" w:space="0" w:color="auto"/>
            <w:bottom w:val="none" w:sz="0" w:space="0" w:color="auto"/>
            <w:right w:val="none" w:sz="0" w:space="0" w:color="auto"/>
          </w:divBdr>
          <w:divsChild>
            <w:div w:id="462894478">
              <w:marLeft w:val="0"/>
              <w:marRight w:val="0"/>
              <w:marTop w:val="0"/>
              <w:marBottom w:val="0"/>
              <w:divBdr>
                <w:top w:val="none" w:sz="0" w:space="0" w:color="auto"/>
                <w:left w:val="none" w:sz="0" w:space="0" w:color="auto"/>
                <w:bottom w:val="none" w:sz="0" w:space="0" w:color="auto"/>
                <w:right w:val="none" w:sz="0" w:space="0" w:color="auto"/>
              </w:divBdr>
            </w:div>
          </w:divsChild>
        </w:div>
        <w:div w:id="839274393">
          <w:marLeft w:val="0"/>
          <w:marRight w:val="0"/>
          <w:marTop w:val="0"/>
          <w:marBottom w:val="0"/>
          <w:divBdr>
            <w:top w:val="none" w:sz="0" w:space="0" w:color="auto"/>
            <w:left w:val="none" w:sz="0" w:space="0" w:color="auto"/>
            <w:bottom w:val="none" w:sz="0" w:space="0" w:color="auto"/>
            <w:right w:val="none" w:sz="0" w:space="0" w:color="auto"/>
          </w:divBdr>
          <w:divsChild>
            <w:div w:id="2073655239">
              <w:marLeft w:val="0"/>
              <w:marRight w:val="0"/>
              <w:marTop w:val="0"/>
              <w:marBottom w:val="0"/>
              <w:divBdr>
                <w:top w:val="none" w:sz="0" w:space="0" w:color="auto"/>
                <w:left w:val="none" w:sz="0" w:space="0" w:color="auto"/>
                <w:bottom w:val="none" w:sz="0" w:space="0" w:color="auto"/>
                <w:right w:val="none" w:sz="0" w:space="0" w:color="auto"/>
              </w:divBdr>
            </w:div>
          </w:divsChild>
        </w:div>
        <w:div w:id="890265772">
          <w:marLeft w:val="0"/>
          <w:marRight w:val="0"/>
          <w:marTop w:val="0"/>
          <w:marBottom w:val="0"/>
          <w:divBdr>
            <w:top w:val="none" w:sz="0" w:space="0" w:color="auto"/>
            <w:left w:val="none" w:sz="0" w:space="0" w:color="auto"/>
            <w:bottom w:val="none" w:sz="0" w:space="0" w:color="auto"/>
            <w:right w:val="none" w:sz="0" w:space="0" w:color="auto"/>
          </w:divBdr>
          <w:divsChild>
            <w:div w:id="847987848">
              <w:marLeft w:val="0"/>
              <w:marRight w:val="0"/>
              <w:marTop w:val="0"/>
              <w:marBottom w:val="0"/>
              <w:divBdr>
                <w:top w:val="none" w:sz="0" w:space="0" w:color="auto"/>
                <w:left w:val="none" w:sz="0" w:space="0" w:color="auto"/>
                <w:bottom w:val="none" w:sz="0" w:space="0" w:color="auto"/>
                <w:right w:val="none" w:sz="0" w:space="0" w:color="auto"/>
              </w:divBdr>
            </w:div>
          </w:divsChild>
        </w:div>
        <w:div w:id="931814346">
          <w:marLeft w:val="0"/>
          <w:marRight w:val="0"/>
          <w:marTop w:val="0"/>
          <w:marBottom w:val="0"/>
          <w:divBdr>
            <w:top w:val="none" w:sz="0" w:space="0" w:color="auto"/>
            <w:left w:val="none" w:sz="0" w:space="0" w:color="auto"/>
            <w:bottom w:val="none" w:sz="0" w:space="0" w:color="auto"/>
            <w:right w:val="none" w:sz="0" w:space="0" w:color="auto"/>
          </w:divBdr>
          <w:divsChild>
            <w:div w:id="1205479388">
              <w:marLeft w:val="0"/>
              <w:marRight w:val="0"/>
              <w:marTop w:val="0"/>
              <w:marBottom w:val="0"/>
              <w:divBdr>
                <w:top w:val="none" w:sz="0" w:space="0" w:color="auto"/>
                <w:left w:val="none" w:sz="0" w:space="0" w:color="auto"/>
                <w:bottom w:val="none" w:sz="0" w:space="0" w:color="auto"/>
                <w:right w:val="none" w:sz="0" w:space="0" w:color="auto"/>
              </w:divBdr>
            </w:div>
          </w:divsChild>
        </w:div>
        <w:div w:id="943195027">
          <w:marLeft w:val="0"/>
          <w:marRight w:val="0"/>
          <w:marTop w:val="0"/>
          <w:marBottom w:val="0"/>
          <w:divBdr>
            <w:top w:val="none" w:sz="0" w:space="0" w:color="auto"/>
            <w:left w:val="none" w:sz="0" w:space="0" w:color="auto"/>
            <w:bottom w:val="none" w:sz="0" w:space="0" w:color="auto"/>
            <w:right w:val="none" w:sz="0" w:space="0" w:color="auto"/>
          </w:divBdr>
          <w:divsChild>
            <w:div w:id="1181891136">
              <w:marLeft w:val="0"/>
              <w:marRight w:val="0"/>
              <w:marTop w:val="0"/>
              <w:marBottom w:val="0"/>
              <w:divBdr>
                <w:top w:val="none" w:sz="0" w:space="0" w:color="auto"/>
                <w:left w:val="none" w:sz="0" w:space="0" w:color="auto"/>
                <w:bottom w:val="none" w:sz="0" w:space="0" w:color="auto"/>
                <w:right w:val="none" w:sz="0" w:space="0" w:color="auto"/>
              </w:divBdr>
            </w:div>
          </w:divsChild>
        </w:div>
        <w:div w:id="955218362">
          <w:marLeft w:val="0"/>
          <w:marRight w:val="0"/>
          <w:marTop w:val="0"/>
          <w:marBottom w:val="0"/>
          <w:divBdr>
            <w:top w:val="none" w:sz="0" w:space="0" w:color="auto"/>
            <w:left w:val="none" w:sz="0" w:space="0" w:color="auto"/>
            <w:bottom w:val="none" w:sz="0" w:space="0" w:color="auto"/>
            <w:right w:val="none" w:sz="0" w:space="0" w:color="auto"/>
          </w:divBdr>
          <w:divsChild>
            <w:div w:id="1804082733">
              <w:marLeft w:val="0"/>
              <w:marRight w:val="0"/>
              <w:marTop w:val="0"/>
              <w:marBottom w:val="0"/>
              <w:divBdr>
                <w:top w:val="none" w:sz="0" w:space="0" w:color="auto"/>
                <w:left w:val="none" w:sz="0" w:space="0" w:color="auto"/>
                <w:bottom w:val="none" w:sz="0" w:space="0" w:color="auto"/>
                <w:right w:val="none" w:sz="0" w:space="0" w:color="auto"/>
              </w:divBdr>
            </w:div>
          </w:divsChild>
        </w:div>
        <w:div w:id="957105667">
          <w:marLeft w:val="0"/>
          <w:marRight w:val="0"/>
          <w:marTop w:val="0"/>
          <w:marBottom w:val="0"/>
          <w:divBdr>
            <w:top w:val="none" w:sz="0" w:space="0" w:color="auto"/>
            <w:left w:val="none" w:sz="0" w:space="0" w:color="auto"/>
            <w:bottom w:val="none" w:sz="0" w:space="0" w:color="auto"/>
            <w:right w:val="none" w:sz="0" w:space="0" w:color="auto"/>
          </w:divBdr>
          <w:divsChild>
            <w:div w:id="2061397661">
              <w:marLeft w:val="0"/>
              <w:marRight w:val="0"/>
              <w:marTop w:val="0"/>
              <w:marBottom w:val="0"/>
              <w:divBdr>
                <w:top w:val="none" w:sz="0" w:space="0" w:color="auto"/>
                <w:left w:val="none" w:sz="0" w:space="0" w:color="auto"/>
                <w:bottom w:val="none" w:sz="0" w:space="0" w:color="auto"/>
                <w:right w:val="none" w:sz="0" w:space="0" w:color="auto"/>
              </w:divBdr>
            </w:div>
          </w:divsChild>
        </w:div>
        <w:div w:id="967079744">
          <w:marLeft w:val="0"/>
          <w:marRight w:val="0"/>
          <w:marTop w:val="0"/>
          <w:marBottom w:val="0"/>
          <w:divBdr>
            <w:top w:val="none" w:sz="0" w:space="0" w:color="auto"/>
            <w:left w:val="none" w:sz="0" w:space="0" w:color="auto"/>
            <w:bottom w:val="none" w:sz="0" w:space="0" w:color="auto"/>
            <w:right w:val="none" w:sz="0" w:space="0" w:color="auto"/>
          </w:divBdr>
          <w:divsChild>
            <w:div w:id="757098595">
              <w:marLeft w:val="0"/>
              <w:marRight w:val="0"/>
              <w:marTop w:val="0"/>
              <w:marBottom w:val="0"/>
              <w:divBdr>
                <w:top w:val="none" w:sz="0" w:space="0" w:color="auto"/>
                <w:left w:val="none" w:sz="0" w:space="0" w:color="auto"/>
                <w:bottom w:val="none" w:sz="0" w:space="0" w:color="auto"/>
                <w:right w:val="none" w:sz="0" w:space="0" w:color="auto"/>
              </w:divBdr>
            </w:div>
          </w:divsChild>
        </w:div>
        <w:div w:id="984234264">
          <w:marLeft w:val="0"/>
          <w:marRight w:val="0"/>
          <w:marTop w:val="0"/>
          <w:marBottom w:val="0"/>
          <w:divBdr>
            <w:top w:val="none" w:sz="0" w:space="0" w:color="auto"/>
            <w:left w:val="none" w:sz="0" w:space="0" w:color="auto"/>
            <w:bottom w:val="none" w:sz="0" w:space="0" w:color="auto"/>
            <w:right w:val="none" w:sz="0" w:space="0" w:color="auto"/>
          </w:divBdr>
          <w:divsChild>
            <w:div w:id="118187503">
              <w:marLeft w:val="0"/>
              <w:marRight w:val="0"/>
              <w:marTop w:val="0"/>
              <w:marBottom w:val="0"/>
              <w:divBdr>
                <w:top w:val="none" w:sz="0" w:space="0" w:color="auto"/>
                <w:left w:val="none" w:sz="0" w:space="0" w:color="auto"/>
                <w:bottom w:val="none" w:sz="0" w:space="0" w:color="auto"/>
                <w:right w:val="none" w:sz="0" w:space="0" w:color="auto"/>
              </w:divBdr>
            </w:div>
          </w:divsChild>
        </w:div>
        <w:div w:id="1005592165">
          <w:marLeft w:val="0"/>
          <w:marRight w:val="0"/>
          <w:marTop w:val="0"/>
          <w:marBottom w:val="0"/>
          <w:divBdr>
            <w:top w:val="none" w:sz="0" w:space="0" w:color="auto"/>
            <w:left w:val="none" w:sz="0" w:space="0" w:color="auto"/>
            <w:bottom w:val="none" w:sz="0" w:space="0" w:color="auto"/>
            <w:right w:val="none" w:sz="0" w:space="0" w:color="auto"/>
          </w:divBdr>
          <w:divsChild>
            <w:div w:id="1314800723">
              <w:marLeft w:val="0"/>
              <w:marRight w:val="0"/>
              <w:marTop w:val="0"/>
              <w:marBottom w:val="0"/>
              <w:divBdr>
                <w:top w:val="none" w:sz="0" w:space="0" w:color="auto"/>
                <w:left w:val="none" w:sz="0" w:space="0" w:color="auto"/>
                <w:bottom w:val="none" w:sz="0" w:space="0" w:color="auto"/>
                <w:right w:val="none" w:sz="0" w:space="0" w:color="auto"/>
              </w:divBdr>
            </w:div>
          </w:divsChild>
        </w:div>
        <w:div w:id="1027095666">
          <w:marLeft w:val="0"/>
          <w:marRight w:val="0"/>
          <w:marTop w:val="0"/>
          <w:marBottom w:val="0"/>
          <w:divBdr>
            <w:top w:val="none" w:sz="0" w:space="0" w:color="auto"/>
            <w:left w:val="none" w:sz="0" w:space="0" w:color="auto"/>
            <w:bottom w:val="none" w:sz="0" w:space="0" w:color="auto"/>
            <w:right w:val="none" w:sz="0" w:space="0" w:color="auto"/>
          </w:divBdr>
          <w:divsChild>
            <w:div w:id="1878735737">
              <w:marLeft w:val="0"/>
              <w:marRight w:val="0"/>
              <w:marTop w:val="0"/>
              <w:marBottom w:val="0"/>
              <w:divBdr>
                <w:top w:val="none" w:sz="0" w:space="0" w:color="auto"/>
                <w:left w:val="none" w:sz="0" w:space="0" w:color="auto"/>
                <w:bottom w:val="none" w:sz="0" w:space="0" w:color="auto"/>
                <w:right w:val="none" w:sz="0" w:space="0" w:color="auto"/>
              </w:divBdr>
            </w:div>
          </w:divsChild>
        </w:div>
        <w:div w:id="1054698445">
          <w:marLeft w:val="0"/>
          <w:marRight w:val="0"/>
          <w:marTop w:val="0"/>
          <w:marBottom w:val="0"/>
          <w:divBdr>
            <w:top w:val="none" w:sz="0" w:space="0" w:color="auto"/>
            <w:left w:val="none" w:sz="0" w:space="0" w:color="auto"/>
            <w:bottom w:val="none" w:sz="0" w:space="0" w:color="auto"/>
            <w:right w:val="none" w:sz="0" w:space="0" w:color="auto"/>
          </w:divBdr>
          <w:divsChild>
            <w:div w:id="1940287297">
              <w:marLeft w:val="0"/>
              <w:marRight w:val="0"/>
              <w:marTop w:val="0"/>
              <w:marBottom w:val="0"/>
              <w:divBdr>
                <w:top w:val="none" w:sz="0" w:space="0" w:color="auto"/>
                <w:left w:val="none" w:sz="0" w:space="0" w:color="auto"/>
                <w:bottom w:val="none" w:sz="0" w:space="0" w:color="auto"/>
                <w:right w:val="none" w:sz="0" w:space="0" w:color="auto"/>
              </w:divBdr>
            </w:div>
          </w:divsChild>
        </w:div>
        <w:div w:id="1115248824">
          <w:marLeft w:val="0"/>
          <w:marRight w:val="0"/>
          <w:marTop w:val="0"/>
          <w:marBottom w:val="0"/>
          <w:divBdr>
            <w:top w:val="none" w:sz="0" w:space="0" w:color="auto"/>
            <w:left w:val="none" w:sz="0" w:space="0" w:color="auto"/>
            <w:bottom w:val="none" w:sz="0" w:space="0" w:color="auto"/>
            <w:right w:val="none" w:sz="0" w:space="0" w:color="auto"/>
          </w:divBdr>
          <w:divsChild>
            <w:div w:id="1191450771">
              <w:marLeft w:val="0"/>
              <w:marRight w:val="0"/>
              <w:marTop w:val="0"/>
              <w:marBottom w:val="0"/>
              <w:divBdr>
                <w:top w:val="none" w:sz="0" w:space="0" w:color="auto"/>
                <w:left w:val="none" w:sz="0" w:space="0" w:color="auto"/>
                <w:bottom w:val="none" w:sz="0" w:space="0" w:color="auto"/>
                <w:right w:val="none" w:sz="0" w:space="0" w:color="auto"/>
              </w:divBdr>
            </w:div>
          </w:divsChild>
        </w:div>
        <w:div w:id="1133593746">
          <w:marLeft w:val="0"/>
          <w:marRight w:val="0"/>
          <w:marTop w:val="0"/>
          <w:marBottom w:val="0"/>
          <w:divBdr>
            <w:top w:val="none" w:sz="0" w:space="0" w:color="auto"/>
            <w:left w:val="none" w:sz="0" w:space="0" w:color="auto"/>
            <w:bottom w:val="none" w:sz="0" w:space="0" w:color="auto"/>
            <w:right w:val="none" w:sz="0" w:space="0" w:color="auto"/>
          </w:divBdr>
          <w:divsChild>
            <w:div w:id="1773553340">
              <w:marLeft w:val="0"/>
              <w:marRight w:val="0"/>
              <w:marTop w:val="0"/>
              <w:marBottom w:val="0"/>
              <w:divBdr>
                <w:top w:val="none" w:sz="0" w:space="0" w:color="auto"/>
                <w:left w:val="none" w:sz="0" w:space="0" w:color="auto"/>
                <w:bottom w:val="none" w:sz="0" w:space="0" w:color="auto"/>
                <w:right w:val="none" w:sz="0" w:space="0" w:color="auto"/>
              </w:divBdr>
            </w:div>
          </w:divsChild>
        </w:div>
        <w:div w:id="1172404953">
          <w:marLeft w:val="0"/>
          <w:marRight w:val="0"/>
          <w:marTop w:val="0"/>
          <w:marBottom w:val="0"/>
          <w:divBdr>
            <w:top w:val="none" w:sz="0" w:space="0" w:color="auto"/>
            <w:left w:val="none" w:sz="0" w:space="0" w:color="auto"/>
            <w:bottom w:val="none" w:sz="0" w:space="0" w:color="auto"/>
            <w:right w:val="none" w:sz="0" w:space="0" w:color="auto"/>
          </w:divBdr>
          <w:divsChild>
            <w:div w:id="1823623408">
              <w:marLeft w:val="0"/>
              <w:marRight w:val="0"/>
              <w:marTop w:val="0"/>
              <w:marBottom w:val="0"/>
              <w:divBdr>
                <w:top w:val="none" w:sz="0" w:space="0" w:color="auto"/>
                <w:left w:val="none" w:sz="0" w:space="0" w:color="auto"/>
                <w:bottom w:val="none" w:sz="0" w:space="0" w:color="auto"/>
                <w:right w:val="none" w:sz="0" w:space="0" w:color="auto"/>
              </w:divBdr>
            </w:div>
          </w:divsChild>
        </w:div>
        <w:div w:id="1187018170">
          <w:marLeft w:val="0"/>
          <w:marRight w:val="0"/>
          <w:marTop w:val="0"/>
          <w:marBottom w:val="0"/>
          <w:divBdr>
            <w:top w:val="none" w:sz="0" w:space="0" w:color="auto"/>
            <w:left w:val="none" w:sz="0" w:space="0" w:color="auto"/>
            <w:bottom w:val="none" w:sz="0" w:space="0" w:color="auto"/>
            <w:right w:val="none" w:sz="0" w:space="0" w:color="auto"/>
          </w:divBdr>
          <w:divsChild>
            <w:div w:id="657615945">
              <w:marLeft w:val="0"/>
              <w:marRight w:val="0"/>
              <w:marTop w:val="0"/>
              <w:marBottom w:val="0"/>
              <w:divBdr>
                <w:top w:val="none" w:sz="0" w:space="0" w:color="auto"/>
                <w:left w:val="none" w:sz="0" w:space="0" w:color="auto"/>
                <w:bottom w:val="none" w:sz="0" w:space="0" w:color="auto"/>
                <w:right w:val="none" w:sz="0" w:space="0" w:color="auto"/>
              </w:divBdr>
            </w:div>
          </w:divsChild>
        </w:div>
        <w:div w:id="1244294769">
          <w:marLeft w:val="0"/>
          <w:marRight w:val="0"/>
          <w:marTop w:val="0"/>
          <w:marBottom w:val="0"/>
          <w:divBdr>
            <w:top w:val="none" w:sz="0" w:space="0" w:color="auto"/>
            <w:left w:val="none" w:sz="0" w:space="0" w:color="auto"/>
            <w:bottom w:val="none" w:sz="0" w:space="0" w:color="auto"/>
            <w:right w:val="none" w:sz="0" w:space="0" w:color="auto"/>
          </w:divBdr>
          <w:divsChild>
            <w:div w:id="2120559130">
              <w:marLeft w:val="0"/>
              <w:marRight w:val="0"/>
              <w:marTop w:val="0"/>
              <w:marBottom w:val="0"/>
              <w:divBdr>
                <w:top w:val="none" w:sz="0" w:space="0" w:color="auto"/>
                <w:left w:val="none" w:sz="0" w:space="0" w:color="auto"/>
                <w:bottom w:val="none" w:sz="0" w:space="0" w:color="auto"/>
                <w:right w:val="none" w:sz="0" w:space="0" w:color="auto"/>
              </w:divBdr>
            </w:div>
          </w:divsChild>
        </w:div>
        <w:div w:id="1252205476">
          <w:marLeft w:val="0"/>
          <w:marRight w:val="0"/>
          <w:marTop w:val="0"/>
          <w:marBottom w:val="0"/>
          <w:divBdr>
            <w:top w:val="none" w:sz="0" w:space="0" w:color="auto"/>
            <w:left w:val="none" w:sz="0" w:space="0" w:color="auto"/>
            <w:bottom w:val="none" w:sz="0" w:space="0" w:color="auto"/>
            <w:right w:val="none" w:sz="0" w:space="0" w:color="auto"/>
          </w:divBdr>
          <w:divsChild>
            <w:div w:id="329988028">
              <w:marLeft w:val="0"/>
              <w:marRight w:val="0"/>
              <w:marTop w:val="0"/>
              <w:marBottom w:val="0"/>
              <w:divBdr>
                <w:top w:val="none" w:sz="0" w:space="0" w:color="auto"/>
                <w:left w:val="none" w:sz="0" w:space="0" w:color="auto"/>
                <w:bottom w:val="none" w:sz="0" w:space="0" w:color="auto"/>
                <w:right w:val="none" w:sz="0" w:space="0" w:color="auto"/>
              </w:divBdr>
            </w:div>
          </w:divsChild>
        </w:div>
        <w:div w:id="1273130986">
          <w:marLeft w:val="0"/>
          <w:marRight w:val="0"/>
          <w:marTop w:val="0"/>
          <w:marBottom w:val="0"/>
          <w:divBdr>
            <w:top w:val="none" w:sz="0" w:space="0" w:color="auto"/>
            <w:left w:val="none" w:sz="0" w:space="0" w:color="auto"/>
            <w:bottom w:val="none" w:sz="0" w:space="0" w:color="auto"/>
            <w:right w:val="none" w:sz="0" w:space="0" w:color="auto"/>
          </w:divBdr>
          <w:divsChild>
            <w:div w:id="427964785">
              <w:marLeft w:val="0"/>
              <w:marRight w:val="0"/>
              <w:marTop w:val="0"/>
              <w:marBottom w:val="0"/>
              <w:divBdr>
                <w:top w:val="none" w:sz="0" w:space="0" w:color="auto"/>
                <w:left w:val="none" w:sz="0" w:space="0" w:color="auto"/>
                <w:bottom w:val="none" w:sz="0" w:space="0" w:color="auto"/>
                <w:right w:val="none" w:sz="0" w:space="0" w:color="auto"/>
              </w:divBdr>
            </w:div>
          </w:divsChild>
        </w:div>
        <w:div w:id="1300500053">
          <w:marLeft w:val="0"/>
          <w:marRight w:val="0"/>
          <w:marTop w:val="0"/>
          <w:marBottom w:val="0"/>
          <w:divBdr>
            <w:top w:val="none" w:sz="0" w:space="0" w:color="auto"/>
            <w:left w:val="none" w:sz="0" w:space="0" w:color="auto"/>
            <w:bottom w:val="none" w:sz="0" w:space="0" w:color="auto"/>
            <w:right w:val="none" w:sz="0" w:space="0" w:color="auto"/>
          </w:divBdr>
          <w:divsChild>
            <w:div w:id="1980959603">
              <w:marLeft w:val="0"/>
              <w:marRight w:val="0"/>
              <w:marTop w:val="0"/>
              <w:marBottom w:val="0"/>
              <w:divBdr>
                <w:top w:val="none" w:sz="0" w:space="0" w:color="auto"/>
                <w:left w:val="none" w:sz="0" w:space="0" w:color="auto"/>
                <w:bottom w:val="none" w:sz="0" w:space="0" w:color="auto"/>
                <w:right w:val="none" w:sz="0" w:space="0" w:color="auto"/>
              </w:divBdr>
            </w:div>
          </w:divsChild>
        </w:div>
        <w:div w:id="1340082101">
          <w:marLeft w:val="0"/>
          <w:marRight w:val="0"/>
          <w:marTop w:val="0"/>
          <w:marBottom w:val="0"/>
          <w:divBdr>
            <w:top w:val="none" w:sz="0" w:space="0" w:color="auto"/>
            <w:left w:val="none" w:sz="0" w:space="0" w:color="auto"/>
            <w:bottom w:val="none" w:sz="0" w:space="0" w:color="auto"/>
            <w:right w:val="none" w:sz="0" w:space="0" w:color="auto"/>
          </w:divBdr>
          <w:divsChild>
            <w:div w:id="1688212540">
              <w:marLeft w:val="0"/>
              <w:marRight w:val="0"/>
              <w:marTop w:val="0"/>
              <w:marBottom w:val="0"/>
              <w:divBdr>
                <w:top w:val="none" w:sz="0" w:space="0" w:color="auto"/>
                <w:left w:val="none" w:sz="0" w:space="0" w:color="auto"/>
                <w:bottom w:val="none" w:sz="0" w:space="0" w:color="auto"/>
                <w:right w:val="none" w:sz="0" w:space="0" w:color="auto"/>
              </w:divBdr>
            </w:div>
          </w:divsChild>
        </w:div>
        <w:div w:id="1342243623">
          <w:marLeft w:val="0"/>
          <w:marRight w:val="0"/>
          <w:marTop w:val="0"/>
          <w:marBottom w:val="0"/>
          <w:divBdr>
            <w:top w:val="none" w:sz="0" w:space="0" w:color="auto"/>
            <w:left w:val="none" w:sz="0" w:space="0" w:color="auto"/>
            <w:bottom w:val="none" w:sz="0" w:space="0" w:color="auto"/>
            <w:right w:val="none" w:sz="0" w:space="0" w:color="auto"/>
          </w:divBdr>
          <w:divsChild>
            <w:div w:id="699890228">
              <w:marLeft w:val="0"/>
              <w:marRight w:val="0"/>
              <w:marTop w:val="0"/>
              <w:marBottom w:val="0"/>
              <w:divBdr>
                <w:top w:val="none" w:sz="0" w:space="0" w:color="auto"/>
                <w:left w:val="none" w:sz="0" w:space="0" w:color="auto"/>
                <w:bottom w:val="none" w:sz="0" w:space="0" w:color="auto"/>
                <w:right w:val="none" w:sz="0" w:space="0" w:color="auto"/>
              </w:divBdr>
            </w:div>
          </w:divsChild>
        </w:div>
        <w:div w:id="1369254810">
          <w:marLeft w:val="0"/>
          <w:marRight w:val="0"/>
          <w:marTop w:val="0"/>
          <w:marBottom w:val="0"/>
          <w:divBdr>
            <w:top w:val="none" w:sz="0" w:space="0" w:color="auto"/>
            <w:left w:val="none" w:sz="0" w:space="0" w:color="auto"/>
            <w:bottom w:val="none" w:sz="0" w:space="0" w:color="auto"/>
            <w:right w:val="none" w:sz="0" w:space="0" w:color="auto"/>
          </w:divBdr>
          <w:divsChild>
            <w:div w:id="1991639636">
              <w:marLeft w:val="0"/>
              <w:marRight w:val="0"/>
              <w:marTop w:val="0"/>
              <w:marBottom w:val="0"/>
              <w:divBdr>
                <w:top w:val="none" w:sz="0" w:space="0" w:color="auto"/>
                <w:left w:val="none" w:sz="0" w:space="0" w:color="auto"/>
                <w:bottom w:val="none" w:sz="0" w:space="0" w:color="auto"/>
                <w:right w:val="none" w:sz="0" w:space="0" w:color="auto"/>
              </w:divBdr>
            </w:div>
          </w:divsChild>
        </w:div>
        <w:div w:id="1382898684">
          <w:marLeft w:val="0"/>
          <w:marRight w:val="0"/>
          <w:marTop w:val="0"/>
          <w:marBottom w:val="0"/>
          <w:divBdr>
            <w:top w:val="none" w:sz="0" w:space="0" w:color="auto"/>
            <w:left w:val="none" w:sz="0" w:space="0" w:color="auto"/>
            <w:bottom w:val="none" w:sz="0" w:space="0" w:color="auto"/>
            <w:right w:val="none" w:sz="0" w:space="0" w:color="auto"/>
          </w:divBdr>
          <w:divsChild>
            <w:div w:id="1781728121">
              <w:marLeft w:val="0"/>
              <w:marRight w:val="0"/>
              <w:marTop w:val="0"/>
              <w:marBottom w:val="0"/>
              <w:divBdr>
                <w:top w:val="none" w:sz="0" w:space="0" w:color="auto"/>
                <w:left w:val="none" w:sz="0" w:space="0" w:color="auto"/>
                <w:bottom w:val="none" w:sz="0" w:space="0" w:color="auto"/>
                <w:right w:val="none" w:sz="0" w:space="0" w:color="auto"/>
              </w:divBdr>
            </w:div>
          </w:divsChild>
        </w:div>
        <w:div w:id="1441146288">
          <w:marLeft w:val="0"/>
          <w:marRight w:val="0"/>
          <w:marTop w:val="0"/>
          <w:marBottom w:val="0"/>
          <w:divBdr>
            <w:top w:val="none" w:sz="0" w:space="0" w:color="auto"/>
            <w:left w:val="none" w:sz="0" w:space="0" w:color="auto"/>
            <w:bottom w:val="none" w:sz="0" w:space="0" w:color="auto"/>
            <w:right w:val="none" w:sz="0" w:space="0" w:color="auto"/>
          </w:divBdr>
          <w:divsChild>
            <w:div w:id="295844046">
              <w:marLeft w:val="0"/>
              <w:marRight w:val="0"/>
              <w:marTop w:val="0"/>
              <w:marBottom w:val="0"/>
              <w:divBdr>
                <w:top w:val="none" w:sz="0" w:space="0" w:color="auto"/>
                <w:left w:val="none" w:sz="0" w:space="0" w:color="auto"/>
                <w:bottom w:val="none" w:sz="0" w:space="0" w:color="auto"/>
                <w:right w:val="none" w:sz="0" w:space="0" w:color="auto"/>
              </w:divBdr>
            </w:div>
          </w:divsChild>
        </w:div>
        <w:div w:id="1454858356">
          <w:marLeft w:val="0"/>
          <w:marRight w:val="0"/>
          <w:marTop w:val="0"/>
          <w:marBottom w:val="0"/>
          <w:divBdr>
            <w:top w:val="none" w:sz="0" w:space="0" w:color="auto"/>
            <w:left w:val="none" w:sz="0" w:space="0" w:color="auto"/>
            <w:bottom w:val="none" w:sz="0" w:space="0" w:color="auto"/>
            <w:right w:val="none" w:sz="0" w:space="0" w:color="auto"/>
          </w:divBdr>
          <w:divsChild>
            <w:div w:id="1249316524">
              <w:marLeft w:val="0"/>
              <w:marRight w:val="0"/>
              <w:marTop w:val="0"/>
              <w:marBottom w:val="0"/>
              <w:divBdr>
                <w:top w:val="none" w:sz="0" w:space="0" w:color="auto"/>
                <w:left w:val="none" w:sz="0" w:space="0" w:color="auto"/>
                <w:bottom w:val="none" w:sz="0" w:space="0" w:color="auto"/>
                <w:right w:val="none" w:sz="0" w:space="0" w:color="auto"/>
              </w:divBdr>
            </w:div>
          </w:divsChild>
        </w:div>
        <w:div w:id="1458720909">
          <w:marLeft w:val="0"/>
          <w:marRight w:val="0"/>
          <w:marTop w:val="0"/>
          <w:marBottom w:val="0"/>
          <w:divBdr>
            <w:top w:val="none" w:sz="0" w:space="0" w:color="auto"/>
            <w:left w:val="none" w:sz="0" w:space="0" w:color="auto"/>
            <w:bottom w:val="none" w:sz="0" w:space="0" w:color="auto"/>
            <w:right w:val="none" w:sz="0" w:space="0" w:color="auto"/>
          </w:divBdr>
          <w:divsChild>
            <w:div w:id="1176849055">
              <w:marLeft w:val="0"/>
              <w:marRight w:val="0"/>
              <w:marTop w:val="0"/>
              <w:marBottom w:val="0"/>
              <w:divBdr>
                <w:top w:val="none" w:sz="0" w:space="0" w:color="auto"/>
                <w:left w:val="none" w:sz="0" w:space="0" w:color="auto"/>
                <w:bottom w:val="none" w:sz="0" w:space="0" w:color="auto"/>
                <w:right w:val="none" w:sz="0" w:space="0" w:color="auto"/>
              </w:divBdr>
            </w:div>
          </w:divsChild>
        </w:div>
        <w:div w:id="1460294945">
          <w:marLeft w:val="0"/>
          <w:marRight w:val="0"/>
          <w:marTop w:val="0"/>
          <w:marBottom w:val="0"/>
          <w:divBdr>
            <w:top w:val="none" w:sz="0" w:space="0" w:color="auto"/>
            <w:left w:val="none" w:sz="0" w:space="0" w:color="auto"/>
            <w:bottom w:val="none" w:sz="0" w:space="0" w:color="auto"/>
            <w:right w:val="none" w:sz="0" w:space="0" w:color="auto"/>
          </w:divBdr>
          <w:divsChild>
            <w:div w:id="831071337">
              <w:marLeft w:val="0"/>
              <w:marRight w:val="0"/>
              <w:marTop w:val="0"/>
              <w:marBottom w:val="0"/>
              <w:divBdr>
                <w:top w:val="none" w:sz="0" w:space="0" w:color="auto"/>
                <w:left w:val="none" w:sz="0" w:space="0" w:color="auto"/>
                <w:bottom w:val="none" w:sz="0" w:space="0" w:color="auto"/>
                <w:right w:val="none" w:sz="0" w:space="0" w:color="auto"/>
              </w:divBdr>
            </w:div>
          </w:divsChild>
        </w:div>
        <w:div w:id="1476675970">
          <w:marLeft w:val="0"/>
          <w:marRight w:val="0"/>
          <w:marTop w:val="0"/>
          <w:marBottom w:val="0"/>
          <w:divBdr>
            <w:top w:val="none" w:sz="0" w:space="0" w:color="auto"/>
            <w:left w:val="none" w:sz="0" w:space="0" w:color="auto"/>
            <w:bottom w:val="none" w:sz="0" w:space="0" w:color="auto"/>
            <w:right w:val="none" w:sz="0" w:space="0" w:color="auto"/>
          </w:divBdr>
          <w:divsChild>
            <w:div w:id="2120636147">
              <w:marLeft w:val="0"/>
              <w:marRight w:val="0"/>
              <w:marTop w:val="0"/>
              <w:marBottom w:val="0"/>
              <w:divBdr>
                <w:top w:val="none" w:sz="0" w:space="0" w:color="auto"/>
                <w:left w:val="none" w:sz="0" w:space="0" w:color="auto"/>
                <w:bottom w:val="none" w:sz="0" w:space="0" w:color="auto"/>
                <w:right w:val="none" w:sz="0" w:space="0" w:color="auto"/>
              </w:divBdr>
            </w:div>
          </w:divsChild>
        </w:div>
        <w:div w:id="1534534914">
          <w:marLeft w:val="0"/>
          <w:marRight w:val="0"/>
          <w:marTop w:val="0"/>
          <w:marBottom w:val="0"/>
          <w:divBdr>
            <w:top w:val="none" w:sz="0" w:space="0" w:color="auto"/>
            <w:left w:val="none" w:sz="0" w:space="0" w:color="auto"/>
            <w:bottom w:val="none" w:sz="0" w:space="0" w:color="auto"/>
            <w:right w:val="none" w:sz="0" w:space="0" w:color="auto"/>
          </w:divBdr>
          <w:divsChild>
            <w:div w:id="547180528">
              <w:marLeft w:val="0"/>
              <w:marRight w:val="0"/>
              <w:marTop w:val="0"/>
              <w:marBottom w:val="0"/>
              <w:divBdr>
                <w:top w:val="none" w:sz="0" w:space="0" w:color="auto"/>
                <w:left w:val="none" w:sz="0" w:space="0" w:color="auto"/>
                <w:bottom w:val="none" w:sz="0" w:space="0" w:color="auto"/>
                <w:right w:val="none" w:sz="0" w:space="0" w:color="auto"/>
              </w:divBdr>
            </w:div>
          </w:divsChild>
        </w:div>
        <w:div w:id="1538274223">
          <w:marLeft w:val="0"/>
          <w:marRight w:val="0"/>
          <w:marTop w:val="0"/>
          <w:marBottom w:val="0"/>
          <w:divBdr>
            <w:top w:val="none" w:sz="0" w:space="0" w:color="auto"/>
            <w:left w:val="none" w:sz="0" w:space="0" w:color="auto"/>
            <w:bottom w:val="none" w:sz="0" w:space="0" w:color="auto"/>
            <w:right w:val="none" w:sz="0" w:space="0" w:color="auto"/>
          </w:divBdr>
          <w:divsChild>
            <w:div w:id="966853935">
              <w:marLeft w:val="0"/>
              <w:marRight w:val="0"/>
              <w:marTop w:val="0"/>
              <w:marBottom w:val="0"/>
              <w:divBdr>
                <w:top w:val="none" w:sz="0" w:space="0" w:color="auto"/>
                <w:left w:val="none" w:sz="0" w:space="0" w:color="auto"/>
                <w:bottom w:val="none" w:sz="0" w:space="0" w:color="auto"/>
                <w:right w:val="none" w:sz="0" w:space="0" w:color="auto"/>
              </w:divBdr>
            </w:div>
          </w:divsChild>
        </w:div>
        <w:div w:id="1557205085">
          <w:marLeft w:val="0"/>
          <w:marRight w:val="0"/>
          <w:marTop w:val="0"/>
          <w:marBottom w:val="0"/>
          <w:divBdr>
            <w:top w:val="none" w:sz="0" w:space="0" w:color="auto"/>
            <w:left w:val="none" w:sz="0" w:space="0" w:color="auto"/>
            <w:bottom w:val="none" w:sz="0" w:space="0" w:color="auto"/>
            <w:right w:val="none" w:sz="0" w:space="0" w:color="auto"/>
          </w:divBdr>
          <w:divsChild>
            <w:div w:id="183593824">
              <w:marLeft w:val="0"/>
              <w:marRight w:val="0"/>
              <w:marTop w:val="0"/>
              <w:marBottom w:val="0"/>
              <w:divBdr>
                <w:top w:val="none" w:sz="0" w:space="0" w:color="auto"/>
                <w:left w:val="none" w:sz="0" w:space="0" w:color="auto"/>
                <w:bottom w:val="none" w:sz="0" w:space="0" w:color="auto"/>
                <w:right w:val="none" w:sz="0" w:space="0" w:color="auto"/>
              </w:divBdr>
            </w:div>
          </w:divsChild>
        </w:div>
        <w:div w:id="1568952288">
          <w:marLeft w:val="0"/>
          <w:marRight w:val="0"/>
          <w:marTop w:val="0"/>
          <w:marBottom w:val="0"/>
          <w:divBdr>
            <w:top w:val="none" w:sz="0" w:space="0" w:color="auto"/>
            <w:left w:val="none" w:sz="0" w:space="0" w:color="auto"/>
            <w:bottom w:val="none" w:sz="0" w:space="0" w:color="auto"/>
            <w:right w:val="none" w:sz="0" w:space="0" w:color="auto"/>
          </w:divBdr>
          <w:divsChild>
            <w:div w:id="1459495053">
              <w:marLeft w:val="0"/>
              <w:marRight w:val="0"/>
              <w:marTop w:val="0"/>
              <w:marBottom w:val="0"/>
              <w:divBdr>
                <w:top w:val="none" w:sz="0" w:space="0" w:color="auto"/>
                <w:left w:val="none" w:sz="0" w:space="0" w:color="auto"/>
                <w:bottom w:val="none" w:sz="0" w:space="0" w:color="auto"/>
                <w:right w:val="none" w:sz="0" w:space="0" w:color="auto"/>
              </w:divBdr>
            </w:div>
          </w:divsChild>
        </w:div>
        <w:div w:id="1579628716">
          <w:marLeft w:val="0"/>
          <w:marRight w:val="0"/>
          <w:marTop w:val="0"/>
          <w:marBottom w:val="0"/>
          <w:divBdr>
            <w:top w:val="none" w:sz="0" w:space="0" w:color="auto"/>
            <w:left w:val="none" w:sz="0" w:space="0" w:color="auto"/>
            <w:bottom w:val="none" w:sz="0" w:space="0" w:color="auto"/>
            <w:right w:val="none" w:sz="0" w:space="0" w:color="auto"/>
          </w:divBdr>
          <w:divsChild>
            <w:div w:id="1382168699">
              <w:marLeft w:val="0"/>
              <w:marRight w:val="0"/>
              <w:marTop w:val="0"/>
              <w:marBottom w:val="0"/>
              <w:divBdr>
                <w:top w:val="none" w:sz="0" w:space="0" w:color="auto"/>
                <w:left w:val="none" w:sz="0" w:space="0" w:color="auto"/>
                <w:bottom w:val="none" w:sz="0" w:space="0" w:color="auto"/>
                <w:right w:val="none" w:sz="0" w:space="0" w:color="auto"/>
              </w:divBdr>
            </w:div>
          </w:divsChild>
        </w:div>
        <w:div w:id="1712068339">
          <w:marLeft w:val="0"/>
          <w:marRight w:val="0"/>
          <w:marTop w:val="0"/>
          <w:marBottom w:val="0"/>
          <w:divBdr>
            <w:top w:val="none" w:sz="0" w:space="0" w:color="auto"/>
            <w:left w:val="none" w:sz="0" w:space="0" w:color="auto"/>
            <w:bottom w:val="none" w:sz="0" w:space="0" w:color="auto"/>
            <w:right w:val="none" w:sz="0" w:space="0" w:color="auto"/>
          </w:divBdr>
          <w:divsChild>
            <w:div w:id="1854952643">
              <w:marLeft w:val="0"/>
              <w:marRight w:val="0"/>
              <w:marTop w:val="0"/>
              <w:marBottom w:val="0"/>
              <w:divBdr>
                <w:top w:val="none" w:sz="0" w:space="0" w:color="auto"/>
                <w:left w:val="none" w:sz="0" w:space="0" w:color="auto"/>
                <w:bottom w:val="none" w:sz="0" w:space="0" w:color="auto"/>
                <w:right w:val="none" w:sz="0" w:space="0" w:color="auto"/>
              </w:divBdr>
            </w:div>
          </w:divsChild>
        </w:div>
        <w:div w:id="1723628781">
          <w:marLeft w:val="0"/>
          <w:marRight w:val="0"/>
          <w:marTop w:val="0"/>
          <w:marBottom w:val="0"/>
          <w:divBdr>
            <w:top w:val="none" w:sz="0" w:space="0" w:color="auto"/>
            <w:left w:val="none" w:sz="0" w:space="0" w:color="auto"/>
            <w:bottom w:val="none" w:sz="0" w:space="0" w:color="auto"/>
            <w:right w:val="none" w:sz="0" w:space="0" w:color="auto"/>
          </w:divBdr>
          <w:divsChild>
            <w:div w:id="2080639293">
              <w:marLeft w:val="0"/>
              <w:marRight w:val="0"/>
              <w:marTop w:val="0"/>
              <w:marBottom w:val="0"/>
              <w:divBdr>
                <w:top w:val="none" w:sz="0" w:space="0" w:color="auto"/>
                <w:left w:val="none" w:sz="0" w:space="0" w:color="auto"/>
                <w:bottom w:val="none" w:sz="0" w:space="0" w:color="auto"/>
                <w:right w:val="none" w:sz="0" w:space="0" w:color="auto"/>
              </w:divBdr>
            </w:div>
          </w:divsChild>
        </w:div>
        <w:div w:id="1739670267">
          <w:marLeft w:val="0"/>
          <w:marRight w:val="0"/>
          <w:marTop w:val="0"/>
          <w:marBottom w:val="0"/>
          <w:divBdr>
            <w:top w:val="none" w:sz="0" w:space="0" w:color="auto"/>
            <w:left w:val="none" w:sz="0" w:space="0" w:color="auto"/>
            <w:bottom w:val="none" w:sz="0" w:space="0" w:color="auto"/>
            <w:right w:val="none" w:sz="0" w:space="0" w:color="auto"/>
          </w:divBdr>
          <w:divsChild>
            <w:div w:id="1110079265">
              <w:marLeft w:val="0"/>
              <w:marRight w:val="0"/>
              <w:marTop w:val="0"/>
              <w:marBottom w:val="0"/>
              <w:divBdr>
                <w:top w:val="none" w:sz="0" w:space="0" w:color="auto"/>
                <w:left w:val="none" w:sz="0" w:space="0" w:color="auto"/>
                <w:bottom w:val="none" w:sz="0" w:space="0" w:color="auto"/>
                <w:right w:val="none" w:sz="0" w:space="0" w:color="auto"/>
              </w:divBdr>
            </w:div>
          </w:divsChild>
        </w:div>
        <w:div w:id="1769231610">
          <w:marLeft w:val="0"/>
          <w:marRight w:val="0"/>
          <w:marTop w:val="0"/>
          <w:marBottom w:val="0"/>
          <w:divBdr>
            <w:top w:val="none" w:sz="0" w:space="0" w:color="auto"/>
            <w:left w:val="none" w:sz="0" w:space="0" w:color="auto"/>
            <w:bottom w:val="none" w:sz="0" w:space="0" w:color="auto"/>
            <w:right w:val="none" w:sz="0" w:space="0" w:color="auto"/>
          </w:divBdr>
          <w:divsChild>
            <w:div w:id="1088648103">
              <w:marLeft w:val="0"/>
              <w:marRight w:val="0"/>
              <w:marTop w:val="0"/>
              <w:marBottom w:val="0"/>
              <w:divBdr>
                <w:top w:val="none" w:sz="0" w:space="0" w:color="auto"/>
                <w:left w:val="none" w:sz="0" w:space="0" w:color="auto"/>
                <w:bottom w:val="none" w:sz="0" w:space="0" w:color="auto"/>
                <w:right w:val="none" w:sz="0" w:space="0" w:color="auto"/>
              </w:divBdr>
            </w:div>
          </w:divsChild>
        </w:div>
        <w:div w:id="1788231895">
          <w:marLeft w:val="0"/>
          <w:marRight w:val="0"/>
          <w:marTop w:val="0"/>
          <w:marBottom w:val="0"/>
          <w:divBdr>
            <w:top w:val="none" w:sz="0" w:space="0" w:color="auto"/>
            <w:left w:val="none" w:sz="0" w:space="0" w:color="auto"/>
            <w:bottom w:val="none" w:sz="0" w:space="0" w:color="auto"/>
            <w:right w:val="none" w:sz="0" w:space="0" w:color="auto"/>
          </w:divBdr>
          <w:divsChild>
            <w:div w:id="885607412">
              <w:marLeft w:val="0"/>
              <w:marRight w:val="0"/>
              <w:marTop w:val="0"/>
              <w:marBottom w:val="0"/>
              <w:divBdr>
                <w:top w:val="none" w:sz="0" w:space="0" w:color="auto"/>
                <w:left w:val="none" w:sz="0" w:space="0" w:color="auto"/>
                <w:bottom w:val="none" w:sz="0" w:space="0" w:color="auto"/>
                <w:right w:val="none" w:sz="0" w:space="0" w:color="auto"/>
              </w:divBdr>
            </w:div>
          </w:divsChild>
        </w:div>
        <w:div w:id="1808086580">
          <w:marLeft w:val="0"/>
          <w:marRight w:val="0"/>
          <w:marTop w:val="0"/>
          <w:marBottom w:val="0"/>
          <w:divBdr>
            <w:top w:val="none" w:sz="0" w:space="0" w:color="auto"/>
            <w:left w:val="none" w:sz="0" w:space="0" w:color="auto"/>
            <w:bottom w:val="none" w:sz="0" w:space="0" w:color="auto"/>
            <w:right w:val="none" w:sz="0" w:space="0" w:color="auto"/>
          </w:divBdr>
          <w:divsChild>
            <w:div w:id="1770731807">
              <w:marLeft w:val="0"/>
              <w:marRight w:val="0"/>
              <w:marTop w:val="0"/>
              <w:marBottom w:val="0"/>
              <w:divBdr>
                <w:top w:val="none" w:sz="0" w:space="0" w:color="auto"/>
                <w:left w:val="none" w:sz="0" w:space="0" w:color="auto"/>
                <w:bottom w:val="none" w:sz="0" w:space="0" w:color="auto"/>
                <w:right w:val="none" w:sz="0" w:space="0" w:color="auto"/>
              </w:divBdr>
            </w:div>
          </w:divsChild>
        </w:div>
        <w:div w:id="1834881113">
          <w:marLeft w:val="0"/>
          <w:marRight w:val="0"/>
          <w:marTop w:val="0"/>
          <w:marBottom w:val="0"/>
          <w:divBdr>
            <w:top w:val="none" w:sz="0" w:space="0" w:color="auto"/>
            <w:left w:val="none" w:sz="0" w:space="0" w:color="auto"/>
            <w:bottom w:val="none" w:sz="0" w:space="0" w:color="auto"/>
            <w:right w:val="none" w:sz="0" w:space="0" w:color="auto"/>
          </w:divBdr>
          <w:divsChild>
            <w:div w:id="189992413">
              <w:marLeft w:val="0"/>
              <w:marRight w:val="0"/>
              <w:marTop w:val="0"/>
              <w:marBottom w:val="0"/>
              <w:divBdr>
                <w:top w:val="none" w:sz="0" w:space="0" w:color="auto"/>
                <w:left w:val="none" w:sz="0" w:space="0" w:color="auto"/>
                <w:bottom w:val="none" w:sz="0" w:space="0" w:color="auto"/>
                <w:right w:val="none" w:sz="0" w:space="0" w:color="auto"/>
              </w:divBdr>
            </w:div>
          </w:divsChild>
        </w:div>
        <w:div w:id="1848058788">
          <w:marLeft w:val="0"/>
          <w:marRight w:val="0"/>
          <w:marTop w:val="0"/>
          <w:marBottom w:val="0"/>
          <w:divBdr>
            <w:top w:val="none" w:sz="0" w:space="0" w:color="auto"/>
            <w:left w:val="none" w:sz="0" w:space="0" w:color="auto"/>
            <w:bottom w:val="none" w:sz="0" w:space="0" w:color="auto"/>
            <w:right w:val="none" w:sz="0" w:space="0" w:color="auto"/>
          </w:divBdr>
          <w:divsChild>
            <w:div w:id="1497956588">
              <w:marLeft w:val="0"/>
              <w:marRight w:val="0"/>
              <w:marTop w:val="0"/>
              <w:marBottom w:val="0"/>
              <w:divBdr>
                <w:top w:val="none" w:sz="0" w:space="0" w:color="auto"/>
                <w:left w:val="none" w:sz="0" w:space="0" w:color="auto"/>
                <w:bottom w:val="none" w:sz="0" w:space="0" w:color="auto"/>
                <w:right w:val="none" w:sz="0" w:space="0" w:color="auto"/>
              </w:divBdr>
            </w:div>
          </w:divsChild>
        </w:div>
        <w:div w:id="1863130375">
          <w:marLeft w:val="0"/>
          <w:marRight w:val="0"/>
          <w:marTop w:val="0"/>
          <w:marBottom w:val="0"/>
          <w:divBdr>
            <w:top w:val="none" w:sz="0" w:space="0" w:color="auto"/>
            <w:left w:val="none" w:sz="0" w:space="0" w:color="auto"/>
            <w:bottom w:val="none" w:sz="0" w:space="0" w:color="auto"/>
            <w:right w:val="none" w:sz="0" w:space="0" w:color="auto"/>
          </w:divBdr>
          <w:divsChild>
            <w:div w:id="400831871">
              <w:marLeft w:val="0"/>
              <w:marRight w:val="0"/>
              <w:marTop w:val="0"/>
              <w:marBottom w:val="0"/>
              <w:divBdr>
                <w:top w:val="none" w:sz="0" w:space="0" w:color="auto"/>
                <w:left w:val="none" w:sz="0" w:space="0" w:color="auto"/>
                <w:bottom w:val="none" w:sz="0" w:space="0" w:color="auto"/>
                <w:right w:val="none" w:sz="0" w:space="0" w:color="auto"/>
              </w:divBdr>
            </w:div>
          </w:divsChild>
        </w:div>
        <w:div w:id="1910923906">
          <w:marLeft w:val="0"/>
          <w:marRight w:val="0"/>
          <w:marTop w:val="0"/>
          <w:marBottom w:val="0"/>
          <w:divBdr>
            <w:top w:val="none" w:sz="0" w:space="0" w:color="auto"/>
            <w:left w:val="none" w:sz="0" w:space="0" w:color="auto"/>
            <w:bottom w:val="none" w:sz="0" w:space="0" w:color="auto"/>
            <w:right w:val="none" w:sz="0" w:space="0" w:color="auto"/>
          </w:divBdr>
          <w:divsChild>
            <w:div w:id="1750538038">
              <w:marLeft w:val="0"/>
              <w:marRight w:val="0"/>
              <w:marTop w:val="0"/>
              <w:marBottom w:val="0"/>
              <w:divBdr>
                <w:top w:val="none" w:sz="0" w:space="0" w:color="auto"/>
                <w:left w:val="none" w:sz="0" w:space="0" w:color="auto"/>
                <w:bottom w:val="none" w:sz="0" w:space="0" w:color="auto"/>
                <w:right w:val="none" w:sz="0" w:space="0" w:color="auto"/>
              </w:divBdr>
            </w:div>
          </w:divsChild>
        </w:div>
        <w:div w:id="2008364652">
          <w:marLeft w:val="0"/>
          <w:marRight w:val="0"/>
          <w:marTop w:val="0"/>
          <w:marBottom w:val="0"/>
          <w:divBdr>
            <w:top w:val="none" w:sz="0" w:space="0" w:color="auto"/>
            <w:left w:val="none" w:sz="0" w:space="0" w:color="auto"/>
            <w:bottom w:val="none" w:sz="0" w:space="0" w:color="auto"/>
            <w:right w:val="none" w:sz="0" w:space="0" w:color="auto"/>
          </w:divBdr>
          <w:divsChild>
            <w:div w:id="1622304501">
              <w:marLeft w:val="0"/>
              <w:marRight w:val="0"/>
              <w:marTop w:val="0"/>
              <w:marBottom w:val="0"/>
              <w:divBdr>
                <w:top w:val="none" w:sz="0" w:space="0" w:color="auto"/>
                <w:left w:val="none" w:sz="0" w:space="0" w:color="auto"/>
                <w:bottom w:val="none" w:sz="0" w:space="0" w:color="auto"/>
                <w:right w:val="none" w:sz="0" w:space="0" w:color="auto"/>
              </w:divBdr>
            </w:div>
          </w:divsChild>
        </w:div>
        <w:div w:id="2008820649">
          <w:marLeft w:val="0"/>
          <w:marRight w:val="0"/>
          <w:marTop w:val="0"/>
          <w:marBottom w:val="0"/>
          <w:divBdr>
            <w:top w:val="none" w:sz="0" w:space="0" w:color="auto"/>
            <w:left w:val="none" w:sz="0" w:space="0" w:color="auto"/>
            <w:bottom w:val="none" w:sz="0" w:space="0" w:color="auto"/>
            <w:right w:val="none" w:sz="0" w:space="0" w:color="auto"/>
          </w:divBdr>
          <w:divsChild>
            <w:div w:id="186338639">
              <w:marLeft w:val="0"/>
              <w:marRight w:val="0"/>
              <w:marTop w:val="0"/>
              <w:marBottom w:val="0"/>
              <w:divBdr>
                <w:top w:val="none" w:sz="0" w:space="0" w:color="auto"/>
                <w:left w:val="none" w:sz="0" w:space="0" w:color="auto"/>
                <w:bottom w:val="none" w:sz="0" w:space="0" w:color="auto"/>
                <w:right w:val="none" w:sz="0" w:space="0" w:color="auto"/>
              </w:divBdr>
            </w:div>
          </w:divsChild>
        </w:div>
        <w:div w:id="2010717882">
          <w:marLeft w:val="0"/>
          <w:marRight w:val="0"/>
          <w:marTop w:val="0"/>
          <w:marBottom w:val="0"/>
          <w:divBdr>
            <w:top w:val="none" w:sz="0" w:space="0" w:color="auto"/>
            <w:left w:val="none" w:sz="0" w:space="0" w:color="auto"/>
            <w:bottom w:val="none" w:sz="0" w:space="0" w:color="auto"/>
            <w:right w:val="none" w:sz="0" w:space="0" w:color="auto"/>
          </w:divBdr>
          <w:divsChild>
            <w:div w:id="1296832106">
              <w:marLeft w:val="0"/>
              <w:marRight w:val="0"/>
              <w:marTop w:val="0"/>
              <w:marBottom w:val="0"/>
              <w:divBdr>
                <w:top w:val="none" w:sz="0" w:space="0" w:color="auto"/>
                <w:left w:val="none" w:sz="0" w:space="0" w:color="auto"/>
                <w:bottom w:val="none" w:sz="0" w:space="0" w:color="auto"/>
                <w:right w:val="none" w:sz="0" w:space="0" w:color="auto"/>
              </w:divBdr>
            </w:div>
          </w:divsChild>
        </w:div>
        <w:div w:id="2015065373">
          <w:marLeft w:val="0"/>
          <w:marRight w:val="0"/>
          <w:marTop w:val="0"/>
          <w:marBottom w:val="0"/>
          <w:divBdr>
            <w:top w:val="none" w:sz="0" w:space="0" w:color="auto"/>
            <w:left w:val="none" w:sz="0" w:space="0" w:color="auto"/>
            <w:bottom w:val="none" w:sz="0" w:space="0" w:color="auto"/>
            <w:right w:val="none" w:sz="0" w:space="0" w:color="auto"/>
          </w:divBdr>
          <w:divsChild>
            <w:div w:id="1473403133">
              <w:marLeft w:val="0"/>
              <w:marRight w:val="0"/>
              <w:marTop w:val="0"/>
              <w:marBottom w:val="0"/>
              <w:divBdr>
                <w:top w:val="none" w:sz="0" w:space="0" w:color="auto"/>
                <w:left w:val="none" w:sz="0" w:space="0" w:color="auto"/>
                <w:bottom w:val="none" w:sz="0" w:space="0" w:color="auto"/>
                <w:right w:val="none" w:sz="0" w:space="0" w:color="auto"/>
              </w:divBdr>
            </w:div>
          </w:divsChild>
        </w:div>
        <w:div w:id="2088990588">
          <w:marLeft w:val="0"/>
          <w:marRight w:val="0"/>
          <w:marTop w:val="0"/>
          <w:marBottom w:val="0"/>
          <w:divBdr>
            <w:top w:val="none" w:sz="0" w:space="0" w:color="auto"/>
            <w:left w:val="none" w:sz="0" w:space="0" w:color="auto"/>
            <w:bottom w:val="none" w:sz="0" w:space="0" w:color="auto"/>
            <w:right w:val="none" w:sz="0" w:space="0" w:color="auto"/>
          </w:divBdr>
          <w:divsChild>
            <w:div w:id="1168059912">
              <w:marLeft w:val="0"/>
              <w:marRight w:val="0"/>
              <w:marTop w:val="0"/>
              <w:marBottom w:val="0"/>
              <w:divBdr>
                <w:top w:val="none" w:sz="0" w:space="0" w:color="auto"/>
                <w:left w:val="none" w:sz="0" w:space="0" w:color="auto"/>
                <w:bottom w:val="none" w:sz="0" w:space="0" w:color="auto"/>
                <w:right w:val="none" w:sz="0" w:space="0" w:color="auto"/>
              </w:divBdr>
            </w:div>
          </w:divsChild>
        </w:div>
        <w:div w:id="2094815967">
          <w:marLeft w:val="0"/>
          <w:marRight w:val="0"/>
          <w:marTop w:val="0"/>
          <w:marBottom w:val="0"/>
          <w:divBdr>
            <w:top w:val="none" w:sz="0" w:space="0" w:color="auto"/>
            <w:left w:val="none" w:sz="0" w:space="0" w:color="auto"/>
            <w:bottom w:val="none" w:sz="0" w:space="0" w:color="auto"/>
            <w:right w:val="none" w:sz="0" w:space="0" w:color="auto"/>
          </w:divBdr>
          <w:divsChild>
            <w:div w:id="1970937441">
              <w:marLeft w:val="0"/>
              <w:marRight w:val="0"/>
              <w:marTop w:val="0"/>
              <w:marBottom w:val="0"/>
              <w:divBdr>
                <w:top w:val="none" w:sz="0" w:space="0" w:color="auto"/>
                <w:left w:val="none" w:sz="0" w:space="0" w:color="auto"/>
                <w:bottom w:val="none" w:sz="0" w:space="0" w:color="auto"/>
                <w:right w:val="none" w:sz="0" w:space="0" w:color="auto"/>
              </w:divBdr>
            </w:div>
          </w:divsChild>
        </w:div>
        <w:div w:id="2121408839">
          <w:marLeft w:val="0"/>
          <w:marRight w:val="0"/>
          <w:marTop w:val="0"/>
          <w:marBottom w:val="0"/>
          <w:divBdr>
            <w:top w:val="none" w:sz="0" w:space="0" w:color="auto"/>
            <w:left w:val="none" w:sz="0" w:space="0" w:color="auto"/>
            <w:bottom w:val="none" w:sz="0" w:space="0" w:color="auto"/>
            <w:right w:val="none" w:sz="0" w:space="0" w:color="auto"/>
          </w:divBdr>
          <w:divsChild>
            <w:div w:id="18409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32453">
      <w:bodyDiv w:val="1"/>
      <w:marLeft w:val="0"/>
      <w:marRight w:val="0"/>
      <w:marTop w:val="0"/>
      <w:marBottom w:val="0"/>
      <w:divBdr>
        <w:top w:val="none" w:sz="0" w:space="0" w:color="auto"/>
        <w:left w:val="none" w:sz="0" w:space="0" w:color="auto"/>
        <w:bottom w:val="none" w:sz="0" w:space="0" w:color="auto"/>
        <w:right w:val="none" w:sz="0" w:space="0" w:color="auto"/>
      </w:divBdr>
      <w:divsChild>
        <w:div w:id="47538193">
          <w:marLeft w:val="0"/>
          <w:marRight w:val="0"/>
          <w:marTop w:val="0"/>
          <w:marBottom w:val="0"/>
          <w:divBdr>
            <w:top w:val="none" w:sz="0" w:space="0" w:color="auto"/>
            <w:left w:val="none" w:sz="0" w:space="0" w:color="auto"/>
            <w:bottom w:val="none" w:sz="0" w:space="0" w:color="auto"/>
            <w:right w:val="none" w:sz="0" w:space="0" w:color="auto"/>
          </w:divBdr>
          <w:divsChild>
            <w:div w:id="1787119861">
              <w:marLeft w:val="0"/>
              <w:marRight w:val="0"/>
              <w:marTop w:val="0"/>
              <w:marBottom w:val="0"/>
              <w:divBdr>
                <w:top w:val="none" w:sz="0" w:space="0" w:color="auto"/>
                <w:left w:val="none" w:sz="0" w:space="0" w:color="auto"/>
                <w:bottom w:val="none" w:sz="0" w:space="0" w:color="auto"/>
                <w:right w:val="none" w:sz="0" w:space="0" w:color="auto"/>
              </w:divBdr>
            </w:div>
          </w:divsChild>
        </w:div>
        <w:div w:id="211384119">
          <w:marLeft w:val="0"/>
          <w:marRight w:val="0"/>
          <w:marTop w:val="0"/>
          <w:marBottom w:val="0"/>
          <w:divBdr>
            <w:top w:val="none" w:sz="0" w:space="0" w:color="auto"/>
            <w:left w:val="none" w:sz="0" w:space="0" w:color="auto"/>
            <w:bottom w:val="none" w:sz="0" w:space="0" w:color="auto"/>
            <w:right w:val="none" w:sz="0" w:space="0" w:color="auto"/>
          </w:divBdr>
          <w:divsChild>
            <w:div w:id="1099061044">
              <w:marLeft w:val="0"/>
              <w:marRight w:val="0"/>
              <w:marTop w:val="0"/>
              <w:marBottom w:val="0"/>
              <w:divBdr>
                <w:top w:val="none" w:sz="0" w:space="0" w:color="auto"/>
                <w:left w:val="none" w:sz="0" w:space="0" w:color="auto"/>
                <w:bottom w:val="none" w:sz="0" w:space="0" w:color="auto"/>
                <w:right w:val="none" w:sz="0" w:space="0" w:color="auto"/>
              </w:divBdr>
            </w:div>
          </w:divsChild>
        </w:div>
        <w:div w:id="326439581">
          <w:marLeft w:val="0"/>
          <w:marRight w:val="0"/>
          <w:marTop w:val="0"/>
          <w:marBottom w:val="0"/>
          <w:divBdr>
            <w:top w:val="none" w:sz="0" w:space="0" w:color="auto"/>
            <w:left w:val="none" w:sz="0" w:space="0" w:color="auto"/>
            <w:bottom w:val="none" w:sz="0" w:space="0" w:color="auto"/>
            <w:right w:val="none" w:sz="0" w:space="0" w:color="auto"/>
          </w:divBdr>
          <w:divsChild>
            <w:div w:id="1725136782">
              <w:marLeft w:val="0"/>
              <w:marRight w:val="0"/>
              <w:marTop w:val="0"/>
              <w:marBottom w:val="0"/>
              <w:divBdr>
                <w:top w:val="none" w:sz="0" w:space="0" w:color="auto"/>
                <w:left w:val="none" w:sz="0" w:space="0" w:color="auto"/>
                <w:bottom w:val="none" w:sz="0" w:space="0" w:color="auto"/>
                <w:right w:val="none" w:sz="0" w:space="0" w:color="auto"/>
              </w:divBdr>
            </w:div>
          </w:divsChild>
        </w:div>
        <w:div w:id="350110207">
          <w:marLeft w:val="0"/>
          <w:marRight w:val="0"/>
          <w:marTop w:val="0"/>
          <w:marBottom w:val="0"/>
          <w:divBdr>
            <w:top w:val="none" w:sz="0" w:space="0" w:color="auto"/>
            <w:left w:val="none" w:sz="0" w:space="0" w:color="auto"/>
            <w:bottom w:val="none" w:sz="0" w:space="0" w:color="auto"/>
            <w:right w:val="none" w:sz="0" w:space="0" w:color="auto"/>
          </w:divBdr>
          <w:divsChild>
            <w:div w:id="729885142">
              <w:marLeft w:val="0"/>
              <w:marRight w:val="0"/>
              <w:marTop w:val="0"/>
              <w:marBottom w:val="0"/>
              <w:divBdr>
                <w:top w:val="none" w:sz="0" w:space="0" w:color="auto"/>
                <w:left w:val="none" w:sz="0" w:space="0" w:color="auto"/>
                <w:bottom w:val="none" w:sz="0" w:space="0" w:color="auto"/>
                <w:right w:val="none" w:sz="0" w:space="0" w:color="auto"/>
              </w:divBdr>
            </w:div>
          </w:divsChild>
        </w:div>
        <w:div w:id="615404553">
          <w:marLeft w:val="0"/>
          <w:marRight w:val="0"/>
          <w:marTop w:val="0"/>
          <w:marBottom w:val="0"/>
          <w:divBdr>
            <w:top w:val="none" w:sz="0" w:space="0" w:color="auto"/>
            <w:left w:val="none" w:sz="0" w:space="0" w:color="auto"/>
            <w:bottom w:val="none" w:sz="0" w:space="0" w:color="auto"/>
            <w:right w:val="none" w:sz="0" w:space="0" w:color="auto"/>
          </w:divBdr>
          <w:divsChild>
            <w:div w:id="1244489553">
              <w:marLeft w:val="0"/>
              <w:marRight w:val="0"/>
              <w:marTop w:val="0"/>
              <w:marBottom w:val="0"/>
              <w:divBdr>
                <w:top w:val="none" w:sz="0" w:space="0" w:color="auto"/>
                <w:left w:val="none" w:sz="0" w:space="0" w:color="auto"/>
                <w:bottom w:val="none" w:sz="0" w:space="0" w:color="auto"/>
                <w:right w:val="none" w:sz="0" w:space="0" w:color="auto"/>
              </w:divBdr>
            </w:div>
          </w:divsChild>
        </w:div>
        <w:div w:id="913977399">
          <w:marLeft w:val="0"/>
          <w:marRight w:val="0"/>
          <w:marTop w:val="0"/>
          <w:marBottom w:val="0"/>
          <w:divBdr>
            <w:top w:val="none" w:sz="0" w:space="0" w:color="auto"/>
            <w:left w:val="none" w:sz="0" w:space="0" w:color="auto"/>
            <w:bottom w:val="none" w:sz="0" w:space="0" w:color="auto"/>
            <w:right w:val="none" w:sz="0" w:space="0" w:color="auto"/>
          </w:divBdr>
          <w:divsChild>
            <w:div w:id="868222911">
              <w:marLeft w:val="0"/>
              <w:marRight w:val="0"/>
              <w:marTop w:val="0"/>
              <w:marBottom w:val="0"/>
              <w:divBdr>
                <w:top w:val="none" w:sz="0" w:space="0" w:color="auto"/>
                <w:left w:val="none" w:sz="0" w:space="0" w:color="auto"/>
                <w:bottom w:val="none" w:sz="0" w:space="0" w:color="auto"/>
                <w:right w:val="none" w:sz="0" w:space="0" w:color="auto"/>
              </w:divBdr>
            </w:div>
          </w:divsChild>
        </w:div>
        <w:div w:id="916598357">
          <w:marLeft w:val="0"/>
          <w:marRight w:val="0"/>
          <w:marTop w:val="0"/>
          <w:marBottom w:val="0"/>
          <w:divBdr>
            <w:top w:val="none" w:sz="0" w:space="0" w:color="auto"/>
            <w:left w:val="none" w:sz="0" w:space="0" w:color="auto"/>
            <w:bottom w:val="none" w:sz="0" w:space="0" w:color="auto"/>
            <w:right w:val="none" w:sz="0" w:space="0" w:color="auto"/>
          </w:divBdr>
          <w:divsChild>
            <w:div w:id="160123023">
              <w:marLeft w:val="0"/>
              <w:marRight w:val="0"/>
              <w:marTop w:val="0"/>
              <w:marBottom w:val="0"/>
              <w:divBdr>
                <w:top w:val="none" w:sz="0" w:space="0" w:color="auto"/>
                <w:left w:val="none" w:sz="0" w:space="0" w:color="auto"/>
                <w:bottom w:val="none" w:sz="0" w:space="0" w:color="auto"/>
                <w:right w:val="none" w:sz="0" w:space="0" w:color="auto"/>
              </w:divBdr>
            </w:div>
          </w:divsChild>
        </w:div>
        <w:div w:id="928346796">
          <w:marLeft w:val="0"/>
          <w:marRight w:val="0"/>
          <w:marTop w:val="0"/>
          <w:marBottom w:val="0"/>
          <w:divBdr>
            <w:top w:val="none" w:sz="0" w:space="0" w:color="auto"/>
            <w:left w:val="none" w:sz="0" w:space="0" w:color="auto"/>
            <w:bottom w:val="none" w:sz="0" w:space="0" w:color="auto"/>
            <w:right w:val="none" w:sz="0" w:space="0" w:color="auto"/>
          </w:divBdr>
          <w:divsChild>
            <w:div w:id="919632931">
              <w:marLeft w:val="0"/>
              <w:marRight w:val="0"/>
              <w:marTop w:val="0"/>
              <w:marBottom w:val="0"/>
              <w:divBdr>
                <w:top w:val="none" w:sz="0" w:space="0" w:color="auto"/>
                <w:left w:val="none" w:sz="0" w:space="0" w:color="auto"/>
                <w:bottom w:val="none" w:sz="0" w:space="0" w:color="auto"/>
                <w:right w:val="none" w:sz="0" w:space="0" w:color="auto"/>
              </w:divBdr>
            </w:div>
            <w:div w:id="2056390394">
              <w:marLeft w:val="0"/>
              <w:marRight w:val="0"/>
              <w:marTop w:val="0"/>
              <w:marBottom w:val="0"/>
              <w:divBdr>
                <w:top w:val="none" w:sz="0" w:space="0" w:color="auto"/>
                <w:left w:val="none" w:sz="0" w:space="0" w:color="auto"/>
                <w:bottom w:val="none" w:sz="0" w:space="0" w:color="auto"/>
                <w:right w:val="none" w:sz="0" w:space="0" w:color="auto"/>
              </w:divBdr>
            </w:div>
          </w:divsChild>
        </w:div>
        <w:div w:id="964045253">
          <w:marLeft w:val="0"/>
          <w:marRight w:val="0"/>
          <w:marTop w:val="0"/>
          <w:marBottom w:val="0"/>
          <w:divBdr>
            <w:top w:val="none" w:sz="0" w:space="0" w:color="auto"/>
            <w:left w:val="none" w:sz="0" w:space="0" w:color="auto"/>
            <w:bottom w:val="none" w:sz="0" w:space="0" w:color="auto"/>
            <w:right w:val="none" w:sz="0" w:space="0" w:color="auto"/>
          </w:divBdr>
          <w:divsChild>
            <w:div w:id="273294997">
              <w:marLeft w:val="0"/>
              <w:marRight w:val="0"/>
              <w:marTop w:val="0"/>
              <w:marBottom w:val="0"/>
              <w:divBdr>
                <w:top w:val="none" w:sz="0" w:space="0" w:color="auto"/>
                <w:left w:val="none" w:sz="0" w:space="0" w:color="auto"/>
                <w:bottom w:val="none" w:sz="0" w:space="0" w:color="auto"/>
                <w:right w:val="none" w:sz="0" w:space="0" w:color="auto"/>
              </w:divBdr>
            </w:div>
          </w:divsChild>
        </w:div>
        <w:div w:id="1062212600">
          <w:marLeft w:val="0"/>
          <w:marRight w:val="0"/>
          <w:marTop w:val="0"/>
          <w:marBottom w:val="0"/>
          <w:divBdr>
            <w:top w:val="none" w:sz="0" w:space="0" w:color="auto"/>
            <w:left w:val="none" w:sz="0" w:space="0" w:color="auto"/>
            <w:bottom w:val="none" w:sz="0" w:space="0" w:color="auto"/>
            <w:right w:val="none" w:sz="0" w:space="0" w:color="auto"/>
          </w:divBdr>
          <w:divsChild>
            <w:div w:id="1972978868">
              <w:marLeft w:val="0"/>
              <w:marRight w:val="0"/>
              <w:marTop w:val="0"/>
              <w:marBottom w:val="0"/>
              <w:divBdr>
                <w:top w:val="none" w:sz="0" w:space="0" w:color="auto"/>
                <w:left w:val="none" w:sz="0" w:space="0" w:color="auto"/>
                <w:bottom w:val="none" w:sz="0" w:space="0" w:color="auto"/>
                <w:right w:val="none" w:sz="0" w:space="0" w:color="auto"/>
              </w:divBdr>
            </w:div>
          </w:divsChild>
        </w:div>
        <w:div w:id="1081830208">
          <w:marLeft w:val="0"/>
          <w:marRight w:val="0"/>
          <w:marTop w:val="0"/>
          <w:marBottom w:val="0"/>
          <w:divBdr>
            <w:top w:val="none" w:sz="0" w:space="0" w:color="auto"/>
            <w:left w:val="none" w:sz="0" w:space="0" w:color="auto"/>
            <w:bottom w:val="none" w:sz="0" w:space="0" w:color="auto"/>
            <w:right w:val="none" w:sz="0" w:space="0" w:color="auto"/>
          </w:divBdr>
          <w:divsChild>
            <w:div w:id="1714766988">
              <w:marLeft w:val="0"/>
              <w:marRight w:val="0"/>
              <w:marTop w:val="0"/>
              <w:marBottom w:val="0"/>
              <w:divBdr>
                <w:top w:val="none" w:sz="0" w:space="0" w:color="auto"/>
                <w:left w:val="none" w:sz="0" w:space="0" w:color="auto"/>
                <w:bottom w:val="none" w:sz="0" w:space="0" w:color="auto"/>
                <w:right w:val="none" w:sz="0" w:space="0" w:color="auto"/>
              </w:divBdr>
            </w:div>
          </w:divsChild>
        </w:div>
        <w:div w:id="1126312552">
          <w:marLeft w:val="0"/>
          <w:marRight w:val="0"/>
          <w:marTop w:val="0"/>
          <w:marBottom w:val="0"/>
          <w:divBdr>
            <w:top w:val="none" w:sz="0" w:space="0" w:color="auto"/>
            <w:left w:val="none" w:sz="0" w:space="0" w:color="auto"/>
            <w:bottom w:val="none" w:sz="0" w:space="0" w:color="auto"/>
            <w:right w:val="none" w:sz="0" w:space="0" w:color="auto"/>
          </w:divBdr>
          <w:divsChild>
            <w:div w:id="1402680185">
              <w:marLeft w:val="0"/>
              <w:marRight w:val="0"/>
              <w:marTop w:val="0"/>
              <w:marBottom w:val="0"/>
              <w:divBdr>
                <w:top w:val="none" w:sz="0" w:space="0" w:color="auto"/>
                <w:left w:val="none" w:sz="0" w:space="0" w:color="auto"/>
                <w:bottom w:val="none" w:sz="0" w:space="0" w:color="auto"/>
                <w:right w:val="none" w:sz="0" w:space="0" w:color="auto"/>
              </w:divBdr>
            </w:div>
          </w:divsChild>
        </w:div>
        <w:div w:id="1170802176">
          <w:marLeft w:val="0"/>
          <w:marRight w:val="0"/>
          <w:marTop w:val="0"/>
          <w:marBottom w:val="0"/>
          <w:divBdr>
            <w:top w:val="none" w:sz="0" w:space="0" w:color="auto"/>
            <w:left w:val="none" w:sz="0" w:space="0" w:color="auto"/>
            <w:bottom w:val="none" w:sz="0" w:space="0" w:color="auto"/>
            <w:right w:val="none" w:sz="0" w:space="0" w:color="auto"/>
          </w:divBdr>
          <w:divsChild>
            <w:div w:id="2142652102">
              <w:marLeft w:val="0"/>
              <w:marRight w:val="0"/>
              <w:marTop w:val="0"/>
              <w:marBottom w:val="0"/>
              <w:divBdr>
                <w:top w:val="none" w:sz="0" w:space="0" w:color="auto"/>
                <w:left w:val="none" w:sz="0" w:space="0" w:color="auto"/>
                <w:bottom w:val="none" w:sz="0" w:space="0" w:color="auto"/>
                <w:right w:val="none" w:sz="0" w:space="0" w:color="auto"/>
              </w:divBdr>
            </w:div>
          </w:divsChild>
        </w:div>
        <w:div w:id="1239905621">
          <w:marLeft w:val="0"/>
          <w:marRight w:val="0"/>
          <w:marTop w:val="0"/>
          <w:marBottom w:val="0"/>
          <w:divBdr>
            <w:top w:val="none" w:sz="0" w:space="0" w:color="auto"/>
            <w:left w:val="none" w:sz="0" w:space="0" w:color="auto"/>
            <w:bottom w:val="none" w:sz="0" w:space="0" w:color="auto"/>
            <w:right w:val="none" w:sz="0" w:space="0" w:color="auto"/>
          </w:divBdr>
          <w:divsChild>
            <w:div w:id="1645694500">
              <w:marLeft w:val="0"/>
              <w:marRight w:val="0"/>
              <w:marTop w:val="0"/>
              <w:marBottom w:val="0"/>
              <w:divBdr>
                <w:top w:val="none" w:sz="0" w:space="0" w:color="auto"/>
                <w:left w:val="none" w:sz="0" w:space="0" w:color="auto"/>
                <w:bottom w:val="none" w:sz="0" w:space="0" w:color="auto"/>
                <w:right w:val="none" w:sz="0" w:space="0" w:color="auto"/>
              </w:divBdr>
            </w:div>
          </w:divsChild>
        </w:div>
        <w:div w:id="1258249969">
          <w:marLeft w:val="0"/>
          <w:marRight w:val="0"/>
          <w:marTop w:val="0"/>
          <w:marBottom w:val="0"/>
          <w:divBdr>
            <w:top w:val="none" w:sz="0" w:space="0" w:color="auto"/>
            <w:left w:val="none" w:sz="0" w:space="0" w:color="auto"/>
            <w:bottom w:val="none" w:sz="0" w:space="0" w:color="auto"/>
            <w:right w:val="none" w:sz="0" w:space="0" w:color="auto"/>
          </w:divBdr>
          <w:divsChild>
            <w:div w:id="311258438">
              <w:marLeft w:val="0"/>
              <w:marRight w:val="0"/>
              <w:marTop w:val="0"/>
              <w:marBottom w:val="0"/>
              <w:divBdr>
                <w:top w:val="none" w:sz="0" w:space="0" w:color="auto"/>
                <w:left w:val="none" w:sz="0" w:space="0" w:color="auto"/>
                <w:bottom w:val="none" w:sz="0" w:space="0" w:color="auto"/>
                <w:right w:val="none" w:sz="0" w:space="0" w:color="auto"/>
              </w:divBdr>
            </w:div>
          </w:divsChild>
        </w:div>
        <w:div w:id="1323240726">
          <w:marLeft w:val="0"/>
          <w:marRight w:val="0"/>
          <w:marTop w:val="0"/>
          <w:marBottom w:val="0"/>
          <w:divBdr>
            <w:top w:val="none" w:sz="0" w:space="0" w:color="auto"/>
            <w:left w:val="none" w:sz="0" w:space="0" w:color="auto"/>
            <w:bottom w:val="none" w:sz="0" w:space="0" w:color="auto"/>
            <w:right w:val="none" w:sz="0" w:space="0" w:color="auto"/>
          </w:divBdr>
          <w:divsChild>
            <w:div w:id="1417823936">
              <w:marLeft w:val="0"/>
              <w:marRight w:val="0"/>
              <w:marTop w:val="0"/>
              <w:marBottom w:val="0"/>
              <w:divBdr>
                <w:top w:val="none" w:sz="0" w:space="0" w:color="auto"/>
                <w:left w:val="none" w:sz="0" w:space="0" w:color="auto"/>
                <w:bottom w:val="none" w:sz="0" w:space="0" w:color="auto"/>
                <w:right w:val="none" w:sz="0" w:space="0" w:color="auto"/>
              </w:divBdr>
            </w:div>
          </w:divsChild>
        </w:div>
        <w:div w:id="1435515213">
          <w:marLeft w:val="0"/>
          <w:marRight w:val="0"/>
          <w:marTop w:val="0"/>
          <w:marBottom w:val="0"/>
          <w:divBdr>
            <w:top w:val="none" w:sz="0" w:space="0" w:color="auto"/>
            <w:left w:val="none" w:sz="0" w:space="0" w:color="auto"/>
            <w:bottom w:val="none" w:sz="0" w:space="0" w:color="auto"/>
            <w:right w:val="none" w:sz="0" w:space="0" w:color="auto"/>
          </w:divBdr>
          <w:divsChild>
            <w:div w:id="364520753">
              <w:marLeft w:val="0"/>
              <w:marRight w:val="0"/>
              <w:marTop w:val="0"/>
              <w:marBottom w:val="0"/>
              <w:divBdr>
                <w:top w:val="none" w:sz="0" w:space="0" w:color="auto"/>
                <w:left w:val="none" w:sz="0" w:space="0" w:color="auto"/>
                <w:bottom w:val="none" w:sz="0" w:space="0" w:color="auto"/>
                <w:right w:val="none" w:sz="0" w:space="0" w:color="auto"/>
              </w:divBdr>
            </w:div>
          </w:divsChild>
        </w:div>
        <w:div w:id="1594631753">
          <w:marLeft w:val="0"/>
          <w:marRight w:val="0"/>
          <w:marTop w:val="0"/>
          <w:marBottom w:val="0"/>
          <w:divBdr>
            <w:top w:val="none" w:sz="0" w:space="0" w:color="auto"/>
            <w:left w:val="none" w:sz="0" w:space="0" w:color="auto"/>
            <w:bottom w:val="none" w:sz="0" w:space="0" w:color="auto"/>
            <w:right w:val="none" w:sz="0" w:space="0" w:color="auto"/>
          </w:divBdr>
          <w:divsChild>
            <w:div w:id="1429497292">
              <w:marLeft w:val="0"/>
              <w:marRight w:val="0"/>
              <w:marTop w:val="0"/>
              <w:marBottom w:val="0"/>
              <w:divBdr>
                <w:top w:val="none" w:sz="0" w:space="0" w:color="auto"/>
                <w:left w:val="none" w:sz="0" w:space="0" w:color="auto"/>
                <w:bottom w:val="none" w:sz="0" w:space="0" w:color="auto"/>
                <w:right w:val="none" w:sz="0" w:space="0" w:color="auto"/>
              </w:divBdr>
            </w:div>
          </w:divsChild>
        </w:div>
        <w:div w:id="1709452041">
          <w:marLeft w:val="0"/>
          <w:marRight w:val="0"/>
          <w:marTop w:val="0"/>
          <w:marBottom w:val="0"/>
          <w:divBdr>
            <w:top w:val="none" w:sz="0" w:space="0" w:color="auto"/>
            <w:left w:val="none" w:sz="0" w:space="0" w:color="auto"/>
            <w:bottom w:val="none" w:sz="0" w:space="0" w:color="auto"/>
            <w:right w:val="none" w:sz="0" w:space="0" w:color="auto"/>
          </w:divBdr>
          <w:divsChild>
            <w:div w:id="834338902">
              <w:marLeft w:val="0"/>
              <w:marRight w:val="0"/>
              <w:marTop w:val="0"/>
              <w:marBottom w:val="0"/>
              <w:divBdr>
                <w:top w:val="none" w:sz="0" w:space="0" w:color="auto"/>
                <w:left w:val="none" w:sz="0" w:space="0" w:color="auto"/>
                <w:bottom w:val="none" w:sz="0" w:space="0" w:color="auto"/>
                <w:right w:val="none" w:sz="0" w:space="0" w:color="auto"/>
              </w:divBdr>
            </w:div>
          </w:divsChild>
        </w:div>
        <w:div w:id="1943293785">
          <w:marLeft w:val="0"/>
          <w:marRight w:val="0"/>
          <w:marTop w:val="0"/>
          <w:marBottom w:val="0"/>
          <w:divBdr>
            <w:top w:val="none" w:sz="0" w:space="0" w:color="auto"/>
            <w:left w:val="none" w:sz="0" w:space="0" w:color="auto"/>
            <w:bottom w:val="none" w:sz="0" w:space="0" w:color="auto"/>
            <w:right w:val="none" w:sz="0" w:space="0" w:color="auto"/>
          </w:divBdr>
          <w:divsChild>
            <w:div w:id="162088604">
              <w:marLeft w:val="0"/>
              <w:marRight w:val="0"/>
              <w:marTop w:val="0"/>
              <w:marBottom w:val="0"/>
              <w:divBdr>
                <w:top w:val="none" w:sz="0" w:space="0" w:color="auto"/>
                <w:left w:val="none" w:sz="0" w:space="0" w:color="auto"/>
                <w:bottom w:val="none" w:sz="0" w:space="0" w:color="auto"/>
                <w:right w:val="none" w:sz="0" w:space="0" w:color="auto"/>
              </w:divBdr>
            </w:div>
          </w:divsChild>
        </w:div>
        <w:div w:id="2042628157">
          <w:marLeft w:val="0"/>
          <w:marRight w:val="0"/>
          <w:marTop w:val="0"/>
          <w:marBottom w:val="0"/>
          <w:divBdr>
            <w:top w:val="none" w:sz="0" w:space="0" w:color="auto"/>
            <w:left w:val="none" w:sz="0" w:space="0" w:color="auto"/>
            <w:bottom w:val="none" w:sz="0" w:space="0" w:color="auto"/>
            <w:right w:val="none" w:sz="0" w:space="0" w:color="auto"/>
          </w:divBdr>
          <w:divsChild>
            <w:div w:id="1993170363">
              <w:marLeft w:val="0"/>
              <w:marRight w:val="0"/>
              <w:marTop w:val="0"/>
              <w:marBottom w:val="0"/>
              <w:divBdr>
                <w:top w:val="none" w:sz="0" w:space="0" w:color="auto"/>
                <w:left w:val="none" w:sz="0" w:space="0" w:color="auto"/>
                <w:bottom w:val="none" w:sz="0" w:space="0" w:color="auto"/>
                <w:right w:val="none" w:sz="0" w:space="0" w:color="auto"/>
              </w:divBdr>
            </w:div>
          </w:divsChild>
        </w:div>
        <w:div w:id="2072188349">
          <w:marLeft w:val="0"/>
          <w:marRight w:val="0"/>
          <w:marTop w:val="0"/>
          <w:marBottom w:val="0"/>
          <w:divBdr>
            <w:top w:val="none" w:sz="0" w:space="0" w:color="auto"/>
            <w:left w:val="none" w:sz="0" w:space="0" w:color="auto"/>
            <w:bottom w:val="none" w:sz="0" w:space="0" w:color="auto"/>
            <w:right w:val="none" w:sz="0" w:space="0" w:color="auto"/>
          </w:divBdr>
          <w:divsChild>
            <w:div w:id="61375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228871">
      <w:bodyDiv w:val="1"/>
      <w:marLeft w:val="0"/>
      <w:marRight w:val="0"/>
      <w:marTop w:val="0"/>
      <w:marBottom w:val="0"/>
      <w:divBdr>
        <w:top w:val="none" w:sz="0" w:space="0" w:color="auto"/>
        <w:left w:val="none" w:sz="0" w:space="0" w:color="auto"/>
        <w:bottom w:val="none" w:sz="0" w:space="0" w:color="auto"/>
        <w:right w:val="none" w:sz="0" w:space="0" w:color="auto"/>
      </w:divBdr>
    </w:div>
    <w:div w:id="1787308424">
      <w:bodyDiv w:val="1"/>
      <w:marLeft w:val="0"/>
      <w:marRight w:val="0"/>
      <w:marTop w:val="0"/>
      <w:marBottom w:val="0"/>
      <w:divBdr>
        <w:top w:val="none" w:sz="0" w:space="0" w:color="auto"/>
        <w:left w:val="none" w:sz="0" w:space="0" w:color="auto"/>
        <w:bottom w:val="none" w:sz="0" w:space="0" w:color="auto"/>
        <w:right w:val="none" w:sz="0" w:space="0" w:color="auto"/>
      </w:divBdr>
    </w:div>
    <w:div w:id="1817986119">
      <w:bodyDiv w:val="1"/>
      <w:marLeft w:val="0"/>
      <w:marRight w:val="0"/>
      <w:marTop w:val="0"/>
      <w:marBottom w:val="0"/>
      <w:divBdr>
        <w:top w:val="none" w:sz="0" w:space="0" w:color="auto"/>
        <w:left w:val="none" w:sz="0" w:space="0" w:color="auto"/>
        <w:bottom w:val="none" w:sz="0" w:space="0" w:color="auto"/>
        <w:right w:val="none" w:sz="0" w:space="0" w:color="auto"/>
      </w:divBdr>
      <w:divsChild>
        <w:div w:id="135611675">
          <w:marLeft w:val="0"/>
          <w:marRight w:val="0"/>
          <w:marTop w:val="0"/>
          <w:marBottom w:val="0"/>
          <w:divBdr>
            <w:top w:val="none" w:sz="0" w:space="0" w:color="auto"/>
            <w:left w:val="none" w:sz="0" w:space="0" w:color="auto"/>
            <w:bottom w:val="none" w:sz="0" w:space="0" w:color="auto"/>
            <w:right w:val="none" w:sz="0" w:space="0" w:color="auto"/>
          </w:divBdr>
          <w:divsChild>
            <w:div w:id="880823475">
              <w:marLeft w:val="0"/>
              <w:marRight w:val="0"/>
              <w:marTop w:val="0"/>
              <w:marBottom w:val="0"/>
              <w:divBdr>
                <w:top w:val="none" w:sz="0" w:space="0" w:color="auto"/>
                <w:left w:val="none" w:sz="0" w:space="0" w:color="auto"/>
                <w:bottom w:val="none" w:sz="0" w:space="0" w:color="auto"/>
                <w:right w:val="none" w:sz="0" w:space="0" w:color="auto"/>
              </w:divBdr>
            </w:div>
          </w:divsChild>
        </w:div>
        <w:div w:id="217209752">
          <w:marLeft w:val="0"/>
          <w:marRight w:val="0"/>
          <w:marTop w:val="0"/>
          <w:marBottom w:val="0"/>
          <w:divBdr>
            <w:top w:val="none" w:sz="0" w:space="0" w:color="auto"/>
            <w:left w:val="none" w:sz="0" w:space="0" w:color="auto"/>
            <w:bottom w:val="none" w:sz="0" w:space="0" w:color="auto"/>
            <w:right w:val="none" w:sz="0" w:space="0" w:color="auto"/>
          </w:divBdr>
          <w:divsChild>
            <w:div w:id="1323506543">
              <w:marLeft w:val="0"/>
              <w:marRight w:val="0"/>
              <w:marTop w:val="0"/>
              <w:marBottom w:val="0"/>
              <w:divBdr>
                <w:top w:val="none" w:sz="0" w:space="0" w:color="auto"/>
                <w:left w:val="none" w:sz="0" w:space="0" w:color="auto"/>
                <w:bottom w:val="none" w:sz="0" w:space="0" w:color="auto"/>
                <w:right w:val="none" w:sz="0" w:space="0" w:color="auto"/>
              </w:divBdr>
            </w:div>
          </w:divsChild>
        </w:div>
        <w:div w:id="223489826">
          <w:marLeft w:val="0"/>
          <w:marRight w:val="0"/>
          <w:marTop w:val="0"/>
          <w:marBottom w:val="0"/>
          <w:divBdr>
            <w:top w:val="none" w:sz="0" w:space="0" w:color="auto"/>
            <w:left w:val="none" w:sz="0" w:space="0" w:color="auto"/>
            <w:bottom w:val="none" w:sz="0" w:space="0" w:color="auto"/>
            <w:right w:val="none" w:sz="0" w:space="0" w:color="auto"/>
          </w:divBdr>
          <w:divsChild>
            <w:div w:id="1639993573">
              <w:marLeft w:val="0"/>
              <w:marRight w:val="0"/>
              <w:marTop w:val="0"/>
              <w:marBottom w:val="0"/>
              <w:divBdr>
                <w:top w:val="none" w:sz="0" w:space="0" w:color="auto"/>
                <w:left w:val="none" w:sz="0" w:space="0" w:color="auto"/>
                <w:bottom w:val="none" w:sz="0" w:space="0" w:color="auto"/>
                <w:right w:val="none" w:sz="0" w:space="0" w:color="auto"/>
              </w:divBdr>
            </w:div>
          </w:divsChild>
        </w:div>
        <w:div w:id="323124102">
          <w:marLeft w:val="0"/>
          <w:marRight w:val="0"/>
          <w:marTop w:val="0"/>
          <w:marBottom w:val="0"/>
          <w:divBdr>
            <w:top w:val="none" w:sz="0" w:space="0" w:color="auto"/>
            <w:left w:val="none" w:sz="0" w:space="0" w:color="auto"/>
            <w:bottom w:val="none" w:sz="0" w:space="0" w:color="auto"/>
            <w:right w:val="none" w:sz="0" w:space="0" w:color="auto"/>
          </w:divBdr>
          <w:divsChild>
            <w:div w:id="1546143262">
              <w:marLeft w:val="0"/>
              <w:marRight w:val="0"/>
              <w:marTop w:val="0"/>
              <w:marBottom w:val="0"/>
              <w:divBdr>
                <w:top w:val="none" w:sz="0" w:space="0" w:color="auto"/>
                <w:left w:val="none" w:sz="0" w:space="0" w:color="auto"/>
                <w:bottom w:val="none" w:sz="0" w:space="0" w:color="auto"/>
                <w:right w:val="none" w:sz="0" w:space="0" w:color="auto"/>
              </w:divBdr>
            </w:div>
          </w:divsChild>
        </w:div>
        <w:div w:id="367419515">
          <w:marLeft w:val="0"/>
          <w:marRight w:val="0"/>
          <w:marTop w:val="0"/>
          <w:marBottom w:val="0"/>
          <w:divBdr>
            <w:top w:val="none" w:sz="0" w:space="0" w:color="auto"/>
            <w:left w:val="none" w:sz="0" w:space="0" w:color="auto"/>
            <w:bottom w:val="none" w:sz="0" w:space="0" w:color="auto"/>
            <w:right w:val="none" w:sz="0" w:space="0" w:color="auto"/>
          </w:divBdr>
          <w:divsChild>
            <w:div w:id="1963922123">
              <w:marLeft w:val="0"/>
              <w:marRight w:val="0"/>
              <w:marTop w:val="0"/>
              <w:marBottom w:val="0"/>
              <w:divBdr>
                <w:top w:val="none" w:sz="0" w:space="0" w:color="auto"/>
                <w:left w:val="none" w:sz="0" w:space="0" w:color="auto"/>
                <w:bottom w:val="none" w:sz="0" w:space="0" w:color="auto"/>
                <w:right w:val="none" w:sz="0" w:space="0" w:color="auto"/>
              </w:divBdr>
            </w:div>
          </w:divsChild>
        </w:div>
        <w:div w:id="380717985">
          <w:marLeft w:val="0"/>
          <w:marRight w:val="0"/>
          <w:marTop w:val="0"/>
          <w:marBottom w:val="0"/>
          <w:divBdr>
            <w:top w:val="none" w:sz="0" w:space="0" w:color="auto"/>
            <w:left w:val="none" w:sz="0" w:space="0" w:color="auto"/>
            <w:bottom w:val="none" w:sz="0" w:space="0" w:color="auto"/>
            <w:right w:val="none" w:sz="0" w:space="0" w:color="auto"/>
          </w:divBdr>
          <w:divsChild>
            <w:div w:id="620264878">
              <w:marLeft w:val="0"/>
              <w:marRight w:val="0"/>
              <w:marTop w:val="0"/>
              <w:marBottom w:val="0"/>
              <w:divBdr>
                <w:top w:val="none" w:sz="0" w:space="0" w:color="auto"/>
                <w:left w:val="none" w:sz="0" w:space="0" w:color="auto"/>
                <w:bottom w:val="none" w:sz="0" w:space="0" w:color="auto"/>
                <w:right w:val="none" w:sz="0" w:space="0" w:color="auto"/>
              </w:divBdr>
            </w:div>
          </w:divsChild>
        </w:div>
        <w:div w:id="468789657">
          <w:marLeft w:val="0"/>
          <w:marRight w:val="0"/>
          <w:marTop w:val="0"/>
          <w:marBottom w:val="0"/>
          <w:divBdr>
            <w:top w:val="none" w:sz="0" w:space="0" w:color="auto"/>
            <w:left w:val="none" w:sz="0" w:space="0" w:color="auto"/>
            <w:bottom w:val="none" w:sz="0" w:space="0" w:color="auto"/>
            <w:right w:val="none" w:sz="0" w:space="0" w:color="auto"/>
          </w:divBdr>
          <w:divsChild>
            <w:div w:id="1158380226">
              <w:marLeft w:val="0"/>
              <w:marRight w:val="0"/>
              <w:marTop w:val="0"/>
              <w:marBottom w:val="0"/>
              <w:divBdr>
                <w:top w:val="none" w:sz="0" w:space="0" w:color="auto"/>
                <w:left w:val="none" w:sz="0" w:space="0" w:color="auto"/>
                <w:bottom w:val="none" w:sz="0" w:space="0" w:color="auto"/>
                <w:right w:val="none" w:sz="0" w:space="0" w:color="auto"/>
              </w:divBdr>
            </w:div>
          </w:divsChild>
        </w:div>
        <w:div w:id="488862463">
          <w:marLeft w:val="0"/>
          <w:marRight w:val="0"/>
          <w:marTop w:val="0"/>
          <w:marBottom w:val="0"/>
          <w:divBdr>
            <w:top w:val="none" w:sz="0" w:space="0" w:color="auto"/>
            <w:left w:val="none" w:sz="0" w:space="0" w:color="auto"/>
            <w:bottom w:val="none" w:sz="0" w:space="0" w:color="auto"/>
            <w:right w:val="none" w:sz="0" w:space="0" w:color="auto"/>
          </w:divBdr>
          <w:divsChild>
            <w:div w:id="1457795360">
              <w:marLeft w:val="0"/>
              <w:marRight w:val="0"/>
              <w:marTop w:val="0"/>
              <w:marBottom w:val="0"/>
              <w:divBdr>
                <w:top w:val="none" w:sz="0" w:space="0" w:color="auto"/>
                <w:left w:val="none" w:sz="0" w:space="0" w:color="auto"/>
                <w:bottom w:val="none" w:sz="0" w:space="0" w:color="auto"/>
                <w:right w:val="none" w:sz="0" w:space="0" w:color="auto"/>
              </w:divBdr>
            </w:div>
          </w:divsChild>
        </w:div>
        <w:div w:id="545724719">
          <w:marLeft w:val="0"/>
          <w:marRight w:val="0"/>
          <w:marTop w:val="0"/>
          <w:marBottom w:val="0"/>
          <w:divBdr>
            <w:top w:val="none" w:sz="0" w:space="0" w:color="auto"/>
            <w:left w:val="none" w:sz="0" w:space="0" w:color="auto"/>
            <w:bottom w:val="none" w:sz="0" w:space="0" w:color="auto"/>
            <w:right w:val="none" w:sz="0" w:space="0" w:color="auto"/>
          </w:divBdr>
          <w:divsChild>
            <w:div w:id="2000619878">
              <w:marLeft w:val="0"/>
              <w:marRight w:val="0"/>
              <w:marTop w:val="0"/>
              <w:marBottom w:val="0"/>
              <w:divBdr>
                <w:top w:val="none" w:sz="0" w:space="0" w:color="auto"/>
                <w:left w:val="none" w:sz="0" w:space="0" w:color="auto"/>
                <w:bottom w:val="none" w:sz="0" w:space="0" w:color="auto"/>
                <w:right w:val="none" w:sz="0" w:space="0" w:color="auto"/>
              </w:divBdr>
            </w:div>
          </w:divsChild>
        </w:div>
        <w:div w:id="616719886">
          <w:marLeft w:val="0"/>
          <w:marRight w:val="0"/>
          <w:marTop w:val="0"/>
          <w:marBottom w:val="0"/>
          <w:divBdr>
            <w:top w:val="none" w:sz="0" w:space="0" w:color="auto"/>
            <w:left w:val="none" w:sz="0" w:space="0" w:color="auto"/>
            <w:bottom w:val="none" w:sz="0" w:space="0" w:color="auto"/>
            <w:right w:val="none" w:sz="0" w:space="0" w:color="auto"/>
          </w:divBdr>
          <w:divsChild>
            <w:div w:id="747111942">
              <w:marLeft w:val="0"/>
              <w:marRight w:val="0"/>
              <w:marTop w:val="0"/>
              <w:marBottom w:val="0"/>
              <w:divBdr>
                <w:top w:val="none" w:sz="0" w:space="0" w:color="auto"/>
                <w:left w:val="none" w:sz="0" w:space="0" w:color="auto"/>
                <w:bottom w:val="none" w:sz="0" w:space="0" w:color="auto"/>
                <w:right w:val="none" w:sz="0" w:space="0" w:color="auto"/>
              </w:divBdr>
            </w:div>
          </w:divsChild>
        </w:div>
        <w:div w:id="746421661">
          <w:marLeft w:val="0"/>
          <w:marRight w:val="0"/>
          <w:marTop w:val="0"/>
          <w:marBottom w:val="0"/>
          <w:divBdr>
            <w:top w:val="none" w:sz="0" w:space="0" w:color="auto"/>
            <w:left w:val="none" w:sz="0" w:space="0" w:color="auto"/>
            <w:bottom w:val="none" w:sz="0" w:space="0" w:color="auto"/>
            <w:right w:val="none" w:sz="0" w:space="0" w:color="auto"/>
          </w:divBdr>
          <w:divsChild>
            <w:div w:id="205482957">
              <w:marLeft w:val="0"/>
              <w:marRight w:val="0"/>
              <w:marTop w:val="0"/>
              <w:marBottom w:val="0"/>
              <w:divBdr>
                <w:top w:val="none" w:sz="0" w:space="0" w:color="auto"/>
                <w:left w:val="none" w:sz="0" w:space="0" w:color="auto"/>
                <w:bottom w:val="none" w:sz="0" w:space="0" w:color="auto"/>
                <w:right w:val="none" w:sz="0" w:space="0" w:color="auto"/>
              </w:divBdr>
            </w:div>
          </w:divsChild>
        </w:div>
        <w:div w:id="829056183">
          <w:marLeft w:val="0"/>
          <w:marRight w:val="0"/>
          <w:marTop w:val="0"/>
          <w:marBottom w:val="0"/>
          <w:divBdr>
            <w:top w:val="none" w:sz="0" w:space="0" w:color="auto"/>
            <w:left w:val="none" w:sz="0" w:space="0" w:color="auto"/>
            <w:bottom w:val="none" w:sz="0" w:space="0" w:color="auto"/>
            <w:right w:val="none" w:sz="0" w:space="0" w:color="auto"/>
          </w:divBdr>
          <w:divsChild>
            <w:div w:id="2050101370">
              <w:marLeft w:val="0"/>
              <w:marRight w:val="0"/>
              <w:marTop w:val="0"/>
              <w:marBottom w:val="0"/>
              <w:divBdr>
                <w:top w:val="none" w:sz="0" w:space="0" w:color="auto"/>
                <w:left w:val="none" w:sz="0" w:space="0" w:color="auto"/>
                <w:bottom w:val="none" w:sz="0" w:space="0" w:color="auto"/>
                <w:right w:val="none" w:sz="0" w:space="0" w:color="auto"/>
              </w:divBdr>
            </w:div>
          </w:divsChild>
        </w:div>
        <w:div w:id="875776407">
          <w:marLeft w:val="0"/>
          <w:marRight w:val="0"/>
          <w:marTop w:val="0"/>
          <w:marBottom w:val="0"/>
          <w:divBdr>
            <w:top w:val="none" w:sz="0" w:space="0" w:color="auto"/>
            <w:left w:val="none" w:sz="0" w:space="0" w:color="auto"/>
            <w:bottom w:val="none" w:sz="0" w:space="0" w:color="auto"/>
            <w:right w:val="none" w:sz="0" w:space="0" w:color="auto"/>
          </w:divBdr>
          <w:divsChild>
            <w:div w:id="1477525747">
              <w:marLeft w:val="0"/>
              <w:marRight w:val="0"/>
              <w:marTop w:val="0"/>
              <w:marBottom w:val="0"/>
              <w:divBdr>
                <w:top w:val="none" w:sz="0" w:space="0" w:color="auto"/>
                <w:left w:val="none" w:sz="0" w:space="0" w:color="auto"/>
                <w:bottom w:val="none" w:sz="0" w:space="0" w:color="auto"/>
                <w:right w:val="none" w:sz="0" w:space="0" w:color="auto"/>
              </w:divBdr>
            </w:div>
          </w:divsChild>
        </w:div>
        <w:div w:id="1050232766">
          <w:marLeft w:val="0"/>
          <w:marRight w:val="0"/>
          <w:marTop w:val="0"/>
          <w:marBottom w:val="0"/>
          <w:divBdr>
            <w:top w:val="none" w:sz="0" w:space="0" w:color="auto"/>
            <w:left w:val="none" w:sz="0" w:space="0" w:color="auto"/>
            <w:bottom w:val="none" w:sz="0" w:space="0" w:color="auto"/>
            <w:right w:val="none" w:sz="0" w:space="0" w:color="auto"/>
          </w:divBdr>
          <w:divsChild>
            <w:div w:id="175731625">
              <w:marLeft w:val="0"/>
              <w:marRight w:val="0"/>
              <w:marTop w:val="0"/>
              <w:marBottom w:val="0"/>
              <w:divBdr>
                <w:top w:val="none" w:sz="0" w:space="0" w:color="auto"/>
                <w:left w:val="none" w:sz="0" w:space="0" w:color="auto"/>
                <w:bottom w:val="none" w:sz="0" w:space="0" w:color="auto"/>
                <w:right w:val="none" w:sz="0" w:space="0" w:color="auto"/>
              </w:divBdr>
            </w:div>
          </w:divsChild>
        </w:div>
        <w:div w:id="1336303560">
          <w:marLeft w:val="0"/>
          <w:marRight w:val="0"/>
          <w:marTop w:val="0"/>
          <w:marBottom w:val="0"/>
          <w:divBdr>
            <w:top w:val="none" w:sz="0" w:space="0" w:color="auto"/>
            <w:left w:val="none" w:sz="0" w:space="0" w:color="auto"/>
            <w:bottom w:val="none" w:sz="0" w:space="0" w:color="auto"/>
            <w:right w:val="none" w:sz="0" w:space="0" w:color="auto"/>
          </w:divBdr>
          <w:divsChild>
            <w:div w:id="1150050676">
              <w:marLeft w:val="0"/>
              <w:marRight w:val="0"/>
              <w:marTop w:val="0"/>
              <w:marBottom w:val="0"/>
              <w:divBdr>
                <w:top w:val="none" w:sz="0" w:space="0" w:color="auto"/>
                <w:left w:val="none" w:sz="0" w:space="0" w:color="auto"/>
                <w:bottom w:val="none" w:sz="0" w:space="0" w:color="auto"/>
                <w:right w:val="none" w:sz="0" w:space="0" w:color="auto"/>
              </w:divBdr>
            </w:div>
          </w:divsChild>
        </w:div>
        <w:div w:id="1468206447">
          <w:marLeft w:val="0"/>
          <w:marRight w:val="0"/>
          <w:marTop w:val="0"/>
          <w:marBottom w:val="0"/>
          <w:divBdr>
            <w:top w:val="none" w:sz="0" w:space="0" w:color="auto"/>
            <w:left w:val="none" w:sz="0" w:space="0" w:color="auto"/>
            <w:bottom w:val="none" w:sz="0" w:space="0" w:color="auto"/>
            <w:right w:val="none" w:sz="0" w:space="0" w:color="auto"/>
          </w:divBdr>
          <w:divsChild>
            <w:div w:id="320617265">
              <w:marLeft w:val="0"/>
              <w:marRight w:val="0"/>
              <w:marTop w:val="0"/>
              <w:marBottom w:val="0"/>
              <w:divBdr>
                <w:top w:val="none" w:sz="0" w:space="0" w:color="auto"/>
                <w:left w:val="none" w:sz="0" w:space="0" w:color="auto"/>
                <w:bottom w:val="none" w:sz="0" w:space="0" w:color="auto"/>
                <w:right w:val="none" w:sz="0" w:space="0" w:color="auto"/>
              </w:divBdr>
            </w:div>
          </w:divsChild>
        </w:div>
        <w:div w:id="1529684087">
          <w:marLeft w:val="0"/>
          <w:marRight w:val="0"/>
          <w:marTop w:val="0"/>
          <w:marBottom w:val="0"/>
          <w:divBdr>
            <w:top w:val="none" w:sz="0" w:space="0" w:color="auto"/>
            <w:left w:val="none" w:sz="0" w:space="0" w:color="auto"/>
            <w:bottom w:val="none" w:sz="0" w:space="0" w:color="auto"/>
            <w:right w:val="none" w:sz="0" w:space="0" w:color="auto"/>
          </w:divBdr>
          <w:divsChild>
            <w:div w:id="881863345">
              <w:marLeft w:val="0"/>
              <w:marRight w:val="0"/>
              <w:marTop w:val="0"/>
              <w:marBottom w:val="0"/>
              <w:divBdr>
                <w:top w:val="none" w:sz="0" w:space="0" w:color="auto"/>
                <w:left w:val="none" w:sz="0" w:space="0" w:color="auto"/>
                <w:bottom w:val="none" w:sz="0" w:space="0" w:color="auto"/>
                <w:right w:val="none" w:sz="0" w:space="0" w:color="auto"/>
              </w:divBdr>
            </w:div>
          </w:divsChild>
        </w:div>
        <w:div w:id="1544556807">
          <w:marLeft w:val="0"/>
          <w:marRight w:val="0"/>
          <w:marTop w:val="0"/>
          <w:marBottom w:val="0"/>
          <w:divBdr>
            <w:top w:val="none" w:sz="0" w:space="0" w:color="auto"/>
            <w:left w:val="none" w:sz="0" w:space="0" w:color="auto"/>
            <w:bottom w:val="none" w:sz="0" w:space="0" w:color="auto"/>
            <w:right w:val="none" w:sz="0" w:space="0" w:color="auto"/>
          </w:divBdr>
          <w:divsChild>
            <w:div w:id="1440025596">
              <w:marLeft w:val="0"/>
              <w:marRight w:val="0"/>
              <w:marTop w:val="0"/>
              <w:marBottom w:val="0"/>
              <w:divBdr>
                <w:top w:val="none" w:sz="0" w:space="0" w:color="auto"/>
                <w:left w:val="none" w:sz="0" w:space="0" w:color="auto"/>
                <w:bottom w:val="none" w:sz="0" w:space="0" w:color="auto"/>
                <w:right w:val="none" w:sz="0" w:space="0" w:color="auto"/>
              </w:divBdr>
            </w:div>
          </w:divsChild>
        </w:div>
        <w:div w:id="1550724239">
          <w:marLeft w:val="0"/>
          <w:marRight w:val="0"/>
          <w:marTop w:val="0"/>
          <w:marBottom w:val="0"/>
          <w:divBdr>
            <w:top w:val="none" w:sz="0" w:space="0" w:color="auto"/>
            <w:left w:val="none" w:sz="0" w:space="0" w:color="auto"/>
            <w:bottom w:val="none" w:sz="0" w:space="0" w:color="auto"/>
            <w:right w:val="none" w:sz="0" w:space="0" w:color="auto"/>
          </w:divBdr>
          <w:divsChild>
            <w:div w:id="1898739319">
              <w:marLeft w:val="0"/>
              <w:marRight w:val="0"/>
              <w:marTop w:val="0"/>
              <w:marBottom w:val="0"/>
              <w:divBdr>
                <w:top w:val="none" w:sz="0" w:space="0" w:color="auto"/>
                <w:left w:val="none" w:sz="0" w:space="0" w:color="auto"/>
                <w:bottom w:val="none" w:sz="0" w:space="0" w:color="auto"/>
                <w:right w:val="none" w:sz="0" w:space="0" w:color="auto"/>
              </w:divBdr>
            </w:div>
          </w:divsChild>
        </w:div>
        <w:div w:id="1629630402">
          <w:marLeft w:val="0"/>
          <w:marRight w:val="0"/>
          <w:marTop w:val="0"/>
          <w:marBottom w:val="0"/>
          <w:divBdr>
            <w:top w:val="none" w:sz="0" w:space="0" w:color="auto"/>
            <w:left w:val="none" w:sz="0" w:space="0" w:color="auto"/>
            <w:bottom w:val="none" w:sz="0" w:space="0" w:color="auto"/>
            <w:right w:val="none" w:sz="0" w:space="0" w:color="auto"/>
          </w:divBdr>
          <w:divsChild>
            <w:div w:id="858658773">
              <w:marLeft w:val="0"/>
              <w:marRight w:val="0"/>
              <w:marTop w:val="0"/>
              <w:marBottom w:val="0"/>
              <w:divBdr>
                <w:top w:val="none" w:sz="0" w:space="0" w:color="auto"/>
                <w:left w:val="none" w:sz="0" w:space="0" w:color="auto"/>
                <w:bottom w:val="none" w:sz="0" w:space="0" w:color="auto"/>
                <w:right w:val="none" w:sz="0" w:space="0" w:color="auto"/>
              </w:divBdr>
            </w:div>
          </w:divsChild>
        </w:div>
        <w:div w:id="1783529425">
          <w:marLeft w:val="0"/>
          <w:marRight w:val="0"/>
          <w:marTop w:val="0"/>
          <w:marBottom w:val="0"/>
          <w:divBdr>
            <w:top w:val="none" w:sz="0" w:space="0" w:color="auto"/>
            <w:left w:val="none" w:sz="0" w:space="0" w:color="auto"/>
            <w:bottom w:val="none" w:sz="0" w:space="0" w:color="auto"/>
            <w:right w:val="none" w:sz="0" w:space="0" w:color="auto"/>
          </w:divBdr>
          <w:divsChild>
            <w:div w:id="876039586">
              <w:marLeft w:val="0"/>
              <w:marRight w:val="0"/>
              <w:marTop w:val="0"/>
              <w:marBottom w:val="0"/>
              <w:divBdr>
                <w:top w:val="none" w:sz="0" w:space="0" w:color="auto"/>
                <w:left w:val="none" w:sz="0" w:space="0" w:color="auto"/>
                <w:bottom w:val="none" w:sz="0" w:space="0" w:color="auto"/>
                <w:right w:val="none" w:sz="0" w:space="0" w:color="auto"/>
              </w:divBdr>
            </w:div>
          </w:divsChild>
        </w:div>
        <w:div w:id="1843010547">
          <w:marLeft w:val="0"/>
          <w:marRight w:val="0"/>
          <w:marTop w:val="0"/>
          <w:marBottom w:val="0"/>
          <w:divBdr>
            <w:top w:val="none" w:sz="0" w:space="0" w:color="auto"/>
            <w:left w:val="none" w:sz="0" w:space="0" w:color="auto"/>
            <w:bottom w:val="none" w:sz="0" w:space="0" w:color="auto"/>
            <w:right w:val="none" w:sz="0" w:space="0" w:color="auto"/>
          </w:divBdr>
          <w:divsChild>
            <w:div w:id="658852315">
              <w:marLeft w:val="0"/>
              <w:marRight w:val="0"/>
              <w:marTop w:val="0"/>
              <w:marBottom w:val="0"/>
              <w:divBdr>
                <w:top w:val="none" w:sz="0" w:space="0" w:color="auto"/>
                <w:left w:val="none" w:sz="0" w:space="0" w:color="auto"/>
                <w:bottom w:val="none" w:sz="0" w:space="0" w:color="auto"/>
                <w:right w:val="none" w:sz="0" w:space="0" w:color="auto"/>
              </w:divBdr>
            </w:div>
          </w:divsChild>
        </w:div>
        <w:div w:id="1903641807">
          <w:marLeft w:val="0"/>
          <w:marRight w:val="0"/>
          <w:marTop w:val="0"/>
          <w:marBottom w:val="0"/>
          <w:divBdr>
            <w:top w:val="none" w:sz="0" w:space="0" w:color="auto"/>
            <w:left w:val="none" w:sz="0" w:space="0" w:color="auto"/>
            <w:bottom w:val="none" w:sz="0" w:space="0" w:color="auto"/>
            <w:right w:val="none" w:sz="0" w:space="0" w:color="auto"/>
          </w:divBdr>
          <w:divsChild>
            <w:div w:id="2076969033">
              <w:marLeft w:val="0"/>
              <w:marRight w:val="0"/>
              <w:marTop w:val="0"/>
              <w:marBottom w:val="0"/>
              <w:divBdr>
                <w:top w:val="none" w:sz="0" w:space="0" w:color="auto"/>
                <w:left w:val="none" w:sz="0" w:space="0" w:color="auto"/>
                <w:bottom w:val="none" w:sz="0" w:space="0" w:color="auto"/>
                <w:right w:val="none" w:sz="0" w:space="0" w:color="auto"/>
              </w:divBdr>
            </w:div>
          </w:divsChild>
        </w:div>
        <w:div w:id="1955988112">
          <w:marLeft w:val="0"/>
          <w:marRight w:val="0"/>
          <w:marTop w:val="0"/>
          <w:marBottom w:val="0"/>
          <w:divBdr>
            <w:top w:val="none" w:sz="0" w:space="0" w:color="auto"/>
            <w:left w:val="none" w:sz="0" w:space="0" w:color="auto"/>
            <w:bottom w:val="none" w:sz="0" w:space="0" w:color="auto"/>
            <w:right w:val="none" w:sz="0" w:space="0" w:color="auto"/>
          </w:divBdr>
          <w:divsChild>
            <w:div w:id="1130901006">
              <w:marLeft w:val="0"/>
              <w:marRight w:val="0"/>
              <w:marTop w:val="0"/>
              <w:marBottom w:val="0"/>
              <w:divBdr>
                <w:top w:val="none" w:sz="0" w:space="0" w:color="auto"/>
                <w:left w:val="none" w:sz="0" w:space="0" w:color="auto"/>
                <w:bottom w:val="none" w:sz="0" w:space="0" w:color="auto"/>
                <w:right w:val="none" w:sz="0" w:space="0" w:color="auto"/>
              </w:divBdr>
            </w:div>
          </w:divsChild>
        </w:div>
        <w:div w:id="2043747809">
          <w:marLeft w:val="0"/>
          <w:marRight w:val="0"/>
          <w:marTop w:val="0"/>
          <w:marBottom w:val="0"/>
          <w:divBdr>
            <w:top w:val="none" w:sz="0" w:space="0" w:color="auto"/>
            <w:left w:val="none" w:sz="0" w:space="0" w:color="auto"/>
            <w:bottom w:val="none" w:sz="0" w:space="0" w:color="auto"/>
            <w:right w:val="none" w:sz="0" w:space="0" w:color="auto"/>
          </w:divBdr>
          <w:divsChild>
            <w:div w:id="200350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345755">
      <w:bodyDiv w:val="1"/>
      <w:marLeft w:val="0"/>
      <w:marRight w:val="0"/>
      <w:marTop w:val="0"/>
      <w:marBottom w:val="0"/>
      <w:divBdr>
        <w:top w:val="none" w:sz="0" w:space="0" w:color="auto"/>
        <w:left w:val="none" w:sz="0" w:space="0" w:color="auto"/>
        <w:bottom w:val="none" w:sz="0" w:space="0" w:color="auto"/>
        <w:right w:val="none" w:sz="0" w:space="0" w:color="auto"/>
      </w:divBdr>
      <w:divsChild>
        <w:div w:id="21253787">
          <w:marLeft w:val="0"/>
          <w:marRight w:val="0"/>
          <w:marTop w:val="0"/>
          <w:marBottom w:val="0"/>
          <w:divBdr>
            <w:top w:val="none" w:sz="0" w:space="0" w:color="auto"/>
            <w:left w:val="none" w:sz="0" w:space="0" w:color="auto"/>
            <w:bottom w:val="none" w:sz="0" w:space="0" w:color="auto"/>
            <w:right w:val="none" w:sz="0" w:space="0" w:color="auto"/>
          </w:divBdr>
          <w:divsChild>
            <w:div w:id="13726885">
              <w:marLeft w:val="0"/>
              <w:marRight w:val="0"/>
              <w:marTop w:val="0"/>
              <w:marBottom w:val="0"/>
              <w:divBdr>
                <w:top w:val="none" w:sz="0" w:space="0" w:color="auto"/>
                <w:left w:val="none" w:sz="0" w:space="0" w:color="auto"/>
                <w:bottom w:val="none" w:sz="0" w:space="0" w:color="auto"/>
                <w:right w:val="none" w:sz="0" w:space="0" w:color="auto"/>
              </w:divBdr>
            </w:div>
          </w:divsChild>
        </w:div>
        <w:div w:id="26755040">
          <w:marLeft w:val="0"/>
          <w:marRight w:val="0"/>
          <w:marTop w:val="0"/>
          <w:marBottom w:val="0"/>
          <w:divBdr>
            <w:top w:val="none" w:sz="0" w:space="0" w:color="auto"/>
            <w:left w:val="none" w:sz="0" w:space="0" w:color="auto"/>
            <w:bottom w:val="none" w:sz="0" w:space="0" w:color="auto"/>
            <w:right w:val="none" w:sz="0" w:space="0" w:color="auto"/>
          </w:divBdr>
          <w:divsChild>
            <w:div w:id="1938293130">
              <w:marLeft w:val="0"/>
              <w:marRight w:val="0"/>
              <w:marTop w:val="0"/>
              <w:marBottom w:val="0"/>
              <w:divBdr>
                <w:top w:val="none" w:sz="0" w:space="0" w:color="auto"/>
                <w:left w:val="none" w:sz="0" w:space="0" w:color="auto"/>
                <w:bottom w:val="none" w:sz="0" w:space="0" w:color="auto"/>
                <w:right w:val="none" w:sz="0" w:space="0" w:color="auto"/>
              </w:divBdr>
            </w:div>
          </w:divsChild>
        </w:div>
        <w:div w:id="49766856">
          <w:marLeft w:val="0"/>
          <w:marRight w:val="0"/>
          <w:marTop w:val="0"/>
          <w:marBottom w:val="0"/>
          <w:divBdr>
            <w:top w:val="none" w:sz="0" w:space="0" w:color="auto"/>
            <w:left w:val="none" w:sz="0" w:space="0" w:color="auto"/>
            <w:bottom w:val="none" w:sz="0" w:space="0" w:color="auto"/>
            <w:right w:val="none" w:sz="0" w:space="0" w:color="auto"/>
          </w:divBdr>
          <w:divsChild>
            <w:div w:id="1566331960">
              <w:marLeft w:val="0"/>
              <w:marRight w:val="0"/>
              <w:marTop w:val="0"/>
              <w:marBottom w:val="0"/>
              <w:divBdr>
                <w:top w:val="none" w:sz="0" w:space="0" w:color="auto"/>
                <w:left w:val="none" w:sz="0" w:space="0" w:color="auto"/>
                <w:bottom w:val="none" w:sz="0" w:space="0" w:color="auto"/>
                <w:right w:val="none" w:sz="0" w:space="0" w:color="auto"/>
              </w:divBdr>
            </w:div>
          </w:divsChild>
        </w:div>
        <w:div w:id="101731789">
          <w:marLeft w:val="0"/>
          <w:marRight w:val="0"/>
          <w:marTop w:val="0"/>
          <w:marBottom w:val="0"/>
          <w:divBdr>
            <w:top w:val="none" w:sz="0" w:space="0" w:color="auto"/>
            <w:left w:val="none" w:sz="0" w:space="0" w:color="auto"/>
            <w:bottom w:val="none" w:sz="0" w:space="0" w:color="auto"/>
            <w:right w:val="none" w:sz="0" w:space="0" w:color="auto"/>
          </w:divBdr>
          <w:divsChild>
            <w:div w:id="459807819">
              <w:marLeft w:val="0"/>
              <w:marRight w:val="0"/>
              <w:marTop w:val="0"/>
              <w:marBottom w:val="0"/>
              <w:divBdr>
                <w:top w:val="none" w:sz="0" w:space="0" w:color="auto"/>
                <w:left w:val="none" w:sz="0" w:space="0" w:color="auto"/>
                <w:bottom w:val="none" w:sz="0" w:space="0" w:color="auto"/>
                <w:right w:val="none" w:sz="0" w:space="0" w:color="auto"/>
              </w:divBdr>
            </w:div>
          </w:divsChild>
        </w:div>
        <w:div w:id="188876881">
          <w:marLeft w:val="0"/>
          <w:marRight w:val="0"/>
          <w:marTop w:val="0"/>
          <w:marBottom w:val="0"/>
          <w:divBdr>
            <w:top w:val="none" w:sz="0" w:space="0" w:color="auto"/>
            <w:left w:val="none" w:sz="0" w:space="0" w:color="auto"/>
            <w:bottom w:val="none" w:sz="0" w:space="0" w:color="auto"/>
            <w:right w:val="none" w:sz="0" w:space="0" w:color="auto"/>
          </w:divBdr>
          <w:divsChild>
            <w:div w:id="570115404">
              <w:marLeft w:val="0"/>
              <w:marRight w:val="0"/>
              <w:marTop w:val="0"/>
              <w:marBottom w:val="0"/>
              <w:divBdr>
                <w:top w:val="none" w:sz="0" w:space="0" w:color="auto"/>
                <w:left w:val="none" w:sz="0" w:space="0" w:color="auto"/>
                <w:bottom w:val="none" w:sz="0" w:space="0" w:color="auto"/>
                <w:right w:val="none" w:sz="0" w:space="0" w:color="auto"/>
              </w:divBdr>
            </w:div>
          </w:divsChild>
        </w:div>
        <w:div w:id="203566000">
          <w:marLeft w:val="0"/>
          <w:marRight w:val="0"/>
          <w:marTop w:val="0"/>
          <w:marBottom w:val="0"/>
          <w:divBdr>
            <w:top w:val="none" w:sz="0" w:space="0" w:color="auto"/>
            <w:left w:val="none" w:sz="0" w:space="0" w:color="auto"/>
            <w:bottom w:val="none" w:sz="0" w:space="0" w:color="auto"/>
            <w:right w:val="none" w:sz="0" w:space="0" w:color="auto"/>
          </w:divBdr>
          <w:divsChild>
            <w:div w:id="560942659">
              <w:marLeft w:val="0"/>
              <w:marRight w:val="0"/>
              <w:marTop w:val="0"/>
              <w:marBottom w:val="0"/>
              <w:divBdr>
                <w:top w:val="none" w:sz="0" w:space="0" w:color="auto"/>
                <w:left w:val="none" w:sz="0" w:space="0" w:color="auto"/>
                <w:bottom w:val="none" w:sz="0" w:space="0" w:color="auto"/>
                <w:right w:val="none" w:sz="0" w:space="0" w:color="auto"/>
              </w:divBdr>
            </w:div>
          </w:divsChild>
        </w:div>
        <w:div w:id="424686774">
          <w:marLeft w:val="0"/>
          <w:marRight w:val="0"/>
          <w:marTop w:val="0"/>
          <w:marBottom w:val="0"/>
          <w:divBdr>
            <w:top w:val="none" w:sz="0" w:space="0" w:color="auto"/>
            <w:left w:val="none" w:sz="0" w:space="0" w:color="auto"/>
            <w:bottom w:val="none" w:sz="0" w:space="0" w:color="auto"/>
            <w:right w:val="none" w:sz="0" w:space="0" w:color="auto"/>
          </w:divBdr>
          <w:divsChild>
            <w:div w:id="1245257314">
              <w:marLeft w:val="0"/>
              <w:marRight w:val="0"/>
              <w:marTop w:val="0"/>
              <w:marBottom w:val="0"/>
              <w:divBdr>
                <w:top w:val="none" w:sz="0" w:space="0" w:color="auto"/>
                <w:left w:val="none" w:sz="0" w:space="0" w:color="auto"/>
                <w:bottom w:val="none" w:sz="0" w:space="0" w:color="auto"/>
                <w:right w:val="none" w:sz="0" w:space="0" w:color="auto"/>
              </w:divBdr>
            </w:div>
          </w:divsChild>
        </w:div>
        <w:div w:id="441413116">
          <w:marLeft w:val="0"/>
          <w:marRight w:val="0"/>
          <w:marTop w:val="0"/>
          <w:marBottom w:val="0"/>
          <w:divBdr>
            <w:top w:val="none" w:sz="0" w:space="0" w:color="auto"/>
            <w:left w:val="none" w:sz="0" w:space="0" w:color="auto"/>
            <w:bottom w:val="none" w:sz="0" w:space="0" w:color="auto"/>
            <w:right w:val="none" w:sz="0" w:space="0" w:color="auto"/>
          </w:divBdr>
          <w:divsChild>
            <w:div w:id="1300694474">
              <w:marLeft w:val="0"/>
              <w:marRight w:val="0"/>
              <w:marTop w:val="0"/>
              <w:marBottom w:val="0"/>
              <w:divBdr>
                <w:top w:val="none" w:sz="0" w:space="0" w:color="auto"/>
                <w:left w:val="none" w:sz="0" w:space="0" w:color="auto"/>
                <w:bottom w:val="none" w:sz="0" w:space="0" w:color="auto"/>
                <w:right w:val="none" w:sz="0" w:space="0" w:color="auto"/>
              </w:divBdr>
            </w:div>
          </w:divsChild>
        </w:div>
        <w:div w:id="446003190">
          <w:marLeft w:val="0"/>
          <w:marRight w:val="0"/>
          <w:marTop w:val="0"/>
          <w:marBottom w:val="0"/>
          <w:divBdr>
            <w:top w:val="none" w:sz="0" w:space="0" w:color="auto"/>
            <w:left w:val="none" w:sz="0" w:space="0" w:color="auto"/>
            <w:bottom w:val="none" w:sz="0" w:space="0" w:color="auto"/>
            <w:right w:val="none" w:sz="0" w:space="0" w:color="auto"/>
          </w:divBdr>
          <w:divsChild>
            <w:div w:id="295567881">
              <w:marLeft w:val="0"/>
              <w:marRight w:val="0"/>
              <w:marTop w:val="0"/>
              <w:marBottom w:val="0"/>
              <w:divBdr>
                <w:top w:val="none" w:sz="0" w:space="0" w:color="auto"/>
                <w:left w:val="none" w:sz="0" w:space="0" w:color="auto"/>
                <w:bottom w:val="none" w:sz="0" w:space="0" w:color="auto"/>
                <w:right w:val="none" w:sz="0" w:space="0" w:color="auto"/>
              </w:divBdr>
            </w:div>
          </w:divsChild>
        </w:div>
        <w:div w:id="522481865">
          <w:marLeft w:val="0"/>
          <w:marRight w:val="0"/>
          <w:marTop w:val="0"/>
          <w:marBottom w:val="0"/>
          <w:divBdr>
            <w:top w:val="none" w:sz="0" w:space="0" w:color="auto"/>
            <w:left w:val="none" w:sz="0" w:space="0" w:color="auto"/>
            <w:bottom w:val="none" w:sz="0" w:space="0" w:color="auto"/>
            <w:right w:val="none" w:sz="0" w:space="0" w:color="auto"/>
          </w:divBdr>
          <w:divsChild>
            <w:div w:id="1952277538">
              <w:marLeft w:val="0"/>
              <w:marRight w:val="0"/>
              <w:marTop w:val="0"/>
              <w:marBottom w:val="0"/>
              <w:divBdr>
                <w:top w:val="none" w:sz="0" w:space="0" w:color="auto"/>
                <w:left w:val="none" w:sz="0" w:space="0" w:color="auto"/>
                <w:bottom w:val="none" w:sz="0" w:space="0" w:color="auto"/>
                <w:right w:val="none" w:sz="0" w:space="0" w:color="auto"/>
              </w:divBdr>
            </w:div>
          </w:divsChild>
        </w:div>
        <w:div w:id="551886058">
          <w:marLeft w:val="0"/>
          <w:marRight w:val="0"/>
          <w:marTop w:val="0"/>
          <w:marBottom w:val="0"/>
          <w:divBdr>
            <w:top w:val="none" w:sz="0" w:space="0" w:color="auto"/>
            <w:left w:val="none" w:sz="0" w:space="0" w:color="auto"/>
            <w:bottom w:val="none" w:sz="0" w:space="0" w:color="auto"/>
            <w:right w:val="none" w:sz="0" w:space="0" w:color="auto"/>
          </w:divBdr>
          <w:divsChild>
            <w:div w:id="145049215">
              <w:marLeft w:val="0"/>
              <w:marRight w:val="0"/>
              <w:marTop w:val="0"/>
              <w:marBottom w:val="0"/>
              <w:divBdr>
                <w:top w:val="none" w:sz="0" w:space="0" w:color="auto"/>
                <w:left w:val="none" w:sz="0" w:space="0" w:color="auto"/>
                <w:bottom w:val="none" w:sz="0" w:space="0" w:color="auto"/>
                <w:right w:val="none" w:sz="0" w:space="0" w:color="auto"/>
              </w:divBdr>
            </w:div>
          </w:divsChild>
        </w:div>
        <w:div w:id="742487708">
          <w:marLeft w:val="0"/>
          <w:marRight w:val="0"/>
          <w:marTop w:val="0"/>
          <w:marBottom w:val="0"/>
          <w:divBdr>
            <w:top w:val="none" w:sz="0" w:space="0" w:color="auto"/>
            <w:left w:val="none" w:sz="0" w:space="0" w:color="auto"/>
            <w:bottom w:val="none" w:sz="0" w:space="0" w:color="auto"/>
            <w:right w:val="none" w:sz="0" w:space="0" w:color="auto"/>
          </w:divBdr>
          <w:divsChild>
            <w:div w:id="1902669693">
              <w:marLeft w:val="0"/>
              <w:marRight w:val="0"/>
              <w:marTop w:val="0"/>
              <w:marBottom w:val="0"/>
              <w:divBdr>
                <w:top w:val="none" w:sz="0" w:space="0" w:color="auto"/>
                <w:left w:val="none" w:sz="0" w:space="0" w:color="auto"/>
                <w:bottom w:val="none" w:sz="0" w:space="0" w:color="auto"/>
                <w:right w:val="none" w:sz="0" w:space="0" w:color="auto"/>
              </w:divBdr>
            </w:div>
          </w:divsChild>
        </w:div>
        <w:div w:id="776294418">
          <w:marLeft w:val="0"/>
          <w:marRight w:val="0"/>
          <w:marTop w:val="0"/>
          <w:marBottom w:val="0"/>
          <w:divBdr>
            <w:top w:val="none" w:sz="0" w:space="0" w:color="auto"/>
            <w:left w:val="none" w:sz="0" w:space="0" w:color="auto"/>
            <w:bottom w:val="none" w:sz="0" w:space="0" w:color="auto"/>
            <w:right w:val="none" w:sz="0" w:space="0" w:color="auto"/>
          </w:divBdr>
          <w:divsChild>
            <w:div w:id="995887736">
              <w:marLeft w:val="0"/>
              <w:marRight w:val="0"/>
              <w:marTop w:val="0"/>
              <w:marBottom w:val="0"/>
              <w:divBdr>
                <w:top w:val="none" w:sz="0" w:space="0" w:color="auto"/>
                <w:left w:val="none" w:sz="0" w:space="0" w:color="auto"/>
                <w:bottom w:val="none" w:sz="0" w:space="0" w:color="auto"/>
                <w:right w:val="none" w:sz="0" w:space="0" w:color="auto"/>
              </w:divBdr>
            </w:div>
          </w:divsChild>
        </w:div>
        <w:div w:id="791830325">
          <w:marLeft w:val="0"/>
          <w:marRight w:val="0"/>
          <w:marTop w:val="0"/>
          <w:marBottom w:val="0"/>
          <w:divBdr>
            <w:top w:val="none" w:sz="0" w:space="0" w:color="auto"/>
            <w:left w:val="none" w:sz="0" w:space="0" w:color="auto"/>
            <w:bottom w:val="none" w:sz="0" w:space="0" w:color="auto"/>
            <w:right w:val="none" w:sz="0" w:space="0" w:color="auto"/>
          </w:divBdr>
          <w:divsChild>
            <w:div w:id="466431707">
              <w:marLeft w:val="0"/>
              <w:marRight w:val="0"/>
              <w:marTop w:val="0"/>
              <w:marBottom w:val="0"/>
              <w:divBdr>
                <w:top w:val="none" w:sz="0" w:space="0" w:color="auto"/>
                <w:left w:val="none" w:sz="0" w:space="0" w:color="auto"/>
                <w:bottom w:val="none" w:sz="0" w:space="0" w:color="auto"/>
                <w:right w:val="none" w:sz="0" w:space="0" w:color="auto"/>
              </w:divBdr>
            </w:div>
          </w:divsChild>
        </w:div>
        <w:div w:id="811940978">
          <w:marLeft w:val="0"/>
          <w:marRight w:val="0"/>
          <w:marTop w:val="0"/>
          <w:marBottom w:val="0"/>
          <w:divBdr>
            <w:top w:val="none" w:sz="0" w:space="0" w:color="auto"/>
            <w:left w:val="none" w:sz="0" w:space="0" w:color="auto"/>
            <w:bottom w:val="none" w:sz="0" w:space="0" w:color="auto"/>
            <w:right w:val="none" w:sz="0" w:space="0" w:color="auto"/>
          </w:divBdr>
          <w:divsChild>
            <w:div w:id="289946723">
              <w:marLeft w:val="0"/>
              <w:marRight w:val="0"/>
              <w:marTop w:val="0"/>
              <w:marBottom w:val="0"/>
              <w:divBdr>
                <w:top w:val="none" w:sz="0" w:space="0" w:color="auto"/>
                <w:left w:val="none" w:sz="0" w:space="0" w:color="auto"/>
                <w:bottom w:val="none" w:sz="0" w:space="0" w:color="auto"/>
                <w:right w:val="none" w:sz="0" w:space="0" w:color="auto"/>
              </w:divBdr>
            </w:div>
          </w:divsChild>
        </w:div>
        <w:div w:id="822116286">
          <w:marLeft w:val="0"/>
          <w:marRight w:val="0"/>
          <w:marTop w:val="0"/>
          <w:marBottom w:val="0"/>
          <w:divBdr>
            <w:top w:val="none" w:sz="0" w:space="0" w:color="auto"/>
            <w:left w:val="none" w:sz="0" w:space="0" w:color="auto"/>
            <w:bottom w:val="none" w:sz="0" w:space="0" w:color="auto"/>
            <w:right w:val="none" w:sz="0" w:space="0" w:color="auto"/>
          </w:divBdr>
          <w:divsChild>
            <w:div w:id="1329557046">
              <w:marLeft w:val="0"/>
              <w:marRight w:val="0"/>
              <w:marTop w:val="0"/>
              <w:marBottom w:val="0"/>
              <w:divBdr>
                <w:top w:val="none" w:sz="0" w:space="0" w:color="auto"/>
                <w:left w:val="none" w:sz="0" w:space="0" w:color="auto"/>
                <w:bottom w:val="none" w:sz="0" w:space="0" w:color="auto"/>
                <w:right w:val="none" w:sz="0" w:space="0" w:color="auto"/>
              </w:divBdr>
            </w:div>
          </w:divsChild>
        </w:div>
        <w:div w:id="892079721">
          <w:marLeft w:val="0"/>
          <w:marRight w:val="0"/>
          <w:marTop w:val="0"/>
          <w:marBottom w:val="0"/>
          <w:divBdr>
            <w:top w:val="none" w:sz="0" w:space="0" w:color="auto"/>
            <w:left w:val="none" w:sz="0" w:space="0" w:color="auto"/>
            <w:bottom w:val="none" w:sz="0" w:space="0" w:color="auto"/>
            <w:right w:val="none" w:sz="0" w:space="0" w:color="auto"/>
          </w:divBdr>
          <w:divsChild>
            <w:div w:id="149249128">
              <w:marLeft w:val="0"/>
              <w:marRight w:val="0"/>
              <w:marTop w:val="0"/>
              <w:marBottom w:val="0"/>
              <w:divBdr>
                <w:top w:val="none" w:sz="0" w:space="0" w:color="auto"/>
                <w:left w:val="none" w:sz="0" w:space="0" w:color="auto"/>
                <w:bottom w:val="none" w:sz="0" w:space="0" w:color="auto"/>
                <w:right w:val="none" w:sz="0" w:space="0" w:color="auto"/>
              </w:divBdr>
            </w:div>
          </w:divsChild>
        </w:div>
        <w:div w:id="901871661">
          <w:marLeft w:val="0"/>
          <w:marRight w:val="0"/>
          <w:marTop w:val="0"/>
          <w:marBottom w:val="0"/>
          <w:divBdr>
            <w:top w:val="none" w:sz="0" w:space="0" w:color="auto"/>
            <w:left w:val="none" w:sz="0" w:space="0" w:color="auto"/>
            <w:bottom w:val="none" w:sz="0" w:space="0" w:color="auto"/>
            <w:right w:val="none" w:sz="0" w:space="0" w:color="auto"/>
          </w:divBdr>
          <w:divsChild>
            <w:div w:id="1751151205">
              <w:marLeft w:val="0"/>
              <w:marRight w:val="0"/>
              <w:marTop w:val="0"/>
              <w:marBottom w:val="0"/>
              <w:divBdr>
                <w:top w:val="none" w:sz="0" w:space="0" w:color="auto"/>
                <w:left w:val="none" w:sz="0" w:space="0" w:color="auto"/>
                <w:bottom w:val="none" w:sz="0" w:space="0" w:color="auto"/>
                <w:right w:val="none" w:sz="0" w:space="0" w:color="auto"/>
              </w:divBdr>
            </w:div>
          </w:divsChild>
        </w:div>
        <w:div w:id="924456871">
          <w:marLeft w:val="0"/>
          <w:marRight w:val="0"/>
          <w:marTop w:val="0"/>
          <w:marBottom w:val="0"/>
          <w:divBdr>
            <w:top w:val="none" w:sz="0" w:space="0" w:color="auto"/>
            <w:left w:val="none" w:sz="0" w:space="0" w:color="auto"/>
            <w:bottom w:val="none" w:sz="0" w:space="0" w:color="auto"/>
            <w:right w:val="none" w:sz="0" w:space="0" w:color="auto"/>
          </w:divBdr>
          <w:divsChild>
            <w:div w:id="722021083">
              <w:marLeft w:val="0"/>
              <w:marRight w:val="0"/>
              <w:marTop w:val="0"/>
              <w:marBottom w:val="0"/>
              <w:divBdr>
                <w:top w:val="none" w:sz="0" w:space="0" w:color="auto"/>
                <w:left w:val="none" w:sz="0" w:space="0" w:color="auto"/>
                <w:bottom w:val="none" w:sz="0" w:space="0" w:color="auto"/>
                <w:right w:val="none" w:sz="0" w:space="0" w:color="auto"/>
              </w:divBdr>
            </w:div>
          </w:divsChild>
        </w:div>
        <w:div w:id="973025586">
          <w:marLeft w:val="0"/>
          <w:marRight w:val="0"/>
          <w:marTop w:val="0"/>
          <w:marBottom w:val="0"/>
          <w:divBdr>
            <w:top w:val="none" w:sz="0" w:space="0" w:color="auto"/>
            <w:left w:val="none" w:sz="0" w:space="0" w:color="auto"/>
            <w:bottom w:val="none" w:sz="0" w:space="0" w:color="auto"/>
            <w:right w:val="none" w:sz="0" w:space="0" w:color="auto"/>
          </w:divBdr>
          <w:divsChild>
            <w:div w:id="713118203">
              <w:marLeft w:val="0"/>
              <w:marRight w:val="0"/>
              <w:marTop w:val="0"/>
              <w:marBottom w:val="0"/>
              <w:divBdr>
                <w:top w:val="none" w:sz="0" w:space="0" w:color="auto"/>
                <w:left w:val="none" w:sz="0" w:space="0" w:color="auto"/>
                <w:bottom w:val="none" w:sz="0" w:space="0" w:color="auto"/>
                <w:right w:val="none" w:sz="0" w:space="0" w:color="auto"/>
              </w:divBdr>
            </w:div>
          </w:divsChild>
        </w:div>
        <w:div w:id="1047989903">
          <w:marLeft w:val="0"/>
          <w:marRight w:val="0"/>
          <w:marTop w:val="0"/>
          <w:marBottom w:val="0"/>
          <w:divBdr>
            <w:top w:val="none" w:sz="0" w:space="0" w:color="auto"/>
            <w:left w:val="none" w:sz="0" w:space="0" w:color="auto"/>
            <w:bottom w:val="none" w:sz="0" w:space="0" w:color="auto"/>
            <w:right w:val="none" w:sz="0" w:space="0" w:color="auto"/>
          </w:divBdr>
          <w:divsChild>
            <w:div w:id="741637427">
              <w:marLeft w:val="0"/>
              <w:marRight w:val="0"/>
              <w:marTop w:val="0"/>
              <w:marBottom w:val="0"/>
              <w:divBdr>
                <w:top w:val="none" w:sz="0" w:space="0" w:color="auto"/>
                <w:left w:val="none" w:sz="0" w:space="0" w:color="auto"/>
                <w:bottom w:val="none" w:sz="0" w:space="0" w:color="auto"/>
                <w:right w:val="none" w:sz="0" w:space="0" w:color="auto"/>
              </w:divBdr>
            </w:div>
          </w:divsChild>
        </w:div>
        <w:div w:id="1127626276">
          <w:marLeft w:val="0"/>
          <w:marRight w:val="0"/>
          <w:marTop w:val="0"/>
          <w:marBottom w:val="0"/>
          <w:divBdr>
            <w:top w:val="none" w:sz="0" w:space="0" w:color="auto"/>
            <w:left w:val="none" w:sz="0" w:space="0" w:color="auto"/>
            <w:bottom w:val="none" w:sz="0" w:space="0" w:color="auto"/>
            <w:right w:val="none" w:sz="0" w:space="0" w:color="auto"/>
          </w:divBdr>
          <w:divsChild>
            <w:div w:id="1898398206">
              <w:marLeft w:val="0"/>
              <w:marRight w:val="0"/>
              <w:marTop w:val="0"/>
              <w:marBottom w:val="0"/>
              <w:divBdr>
                <w:top w:val="none" w:sz="0" w:space="0" w:color="auto"/>
                <w:left w:val="none" w:sz="0" w:space="0" w:color="auto"/>
                <w:bottom w:val="none" w:sz="0" w:space="0" w:color="auto"/>
                <w:right w:val="none" w:sz="0" w:space="0" w:color="auto"/>
              </w:divBdr>
            </w:div>
          </w:divsChild>
        </w:div>
        <w:div w:id="1177033937">
          <w:marLeft w:val="0"/>
          <w:marRight w:val="0"/>
          <w:marTop w:val="0"/>
          <w:marBottom w:val="0"/>
          <w:divBdr>
            <w:top w:val="none" w:sz="0" w:space="0" w:color="auto"/>
            <w:left w:val="none" w:sz="0" w:space="0" w:color="auto"/>
            <w:bottom w:val="none" w:sz="0" w:space="0" w:color="auto"/>
            <w:right w:val="none" w:sz="0" w:space="0" w:color="auto"/>
          </w:divBdr>
          <w:divsChild>
            <w:div w:id="373848811">
              <w:marLeft w:val="0"/>
              <w:marRight w:val="0"/>
              <w:marTop w:val="0"/>
              <w:marBottom w:val="0"/>
              <w:divBdr>
                <w:top w:val="none" w:sz="0" w:space="0" w:color="auto"/>
                <w:left w:val="none" w:sz="0" w:space="0" w:color="auto"/>
                <w:bottom w:val="none" w:sz="0" w:space="0" w:color="auto"/>
                <w:right w:val="none" w:sz="0" w:space="0" w:color="auto"/>
              </w:divBdr>
            </w:div>
          </w:divsChild>
        </w:div>
        <w:div w:id="1183591111">
          <w:marLeft w:val="0"/>
          <w:marRight w:val="0"/>
          <w:marTop w:val="0"/>
          <w:marBottom w:val="0"/>
          <w:divBdr>
            <w:top w:val="none" w:sz="0" w:space="0" w:color="auto"/>
            <w:left w:val="none" w:sz="0" w:space="0" w:color="auto"/>
            <w:bottom w:val="none" w:sz="0" w:space="0" w:color="auto"/>
            <w:right w:val="none" w:sz="0" w:space="0" w:color="auto"/>
          </w:divBdr>
          <w:divsChild>
            <w:div w:id="357125137">
              <w:marLeft w:val="0"/>
              <w:marRight w:val="0"/>
              <w:marTop w:val="0"/>
              <w:marBottom w:val="0"/>
              <w:divBdr>
                <w:top w:val="none" w:sz="0" w:space="0" w:color="auto"/>
                <w:left w:val="none" w:sz="0" w:space="0" w:color="auto"/>
                <w:bottom w:val="none" w:sz="0" w:space="0" w:color="auto"/>
                <w:right w:val="none" w:sz="0" w:space="0" w:color="auto"/>
              </w:divBdr>
            </w:div>
          </w:divsChild>
        </w:div>
        <w:div w:id="1223060918">
          <w:marLeft w:val="0"/>
          <w:marRight w:val="0"/>
          <w:marTop w:val="0"/>
          <w:marBottom w:val="0"/>
          <w:divBdr>
            <w:top w:val="none" w:sz="0" w:space="0" w:color="auto"/>
            <w:left w:val="none" w:sz="0" w:space="0" w:color="auto"/>
            <w:bottom w:val="none" w:sz="0" w:space="0" w:color="auto"/>
            <w:right w:val="none" w:sz="0" w:space="0" w:color="auto"/>
          </w:divBdr>
          <w:divsChild>
            <w:div w:id="918707455">
              <w:marLeft w:val="0"/>
              <w:marRight w:val="0"/>
              <w:marTop w:val="0"/>
              <w:marBottom w:val="0"/>
              <w:divBdr>
                <w:top w:val="none" w:sz="0" w:space="0" w:color="auto"/>
                <w:left w:val="none" w:sz="0" w:space="0" w:color="auto"/>
                <w:bottom w:val="none" w:sz="0" w:space="0" w:color="auto"/>
                <w:right w:val="none" w:sz="0" w:space="0" w:color="auto"/>
              </w:divBdr>
            </w:div>
          </w:divsChild>
        </w:div>
        <w:div w:id="1238322029">
          <w:marLeft w:val="0"/>
          <w:marRight w:val="0"/>
          <w:marTop w:val="0"/>
          <w:marBottom w:val="0"/>
          <w:divBdr>
            <w:top w:val="none" w:sz="0" w:space="0" w:color="auto"/>
            <w:left w:val="none" w:sz="0" w:space="0" w:color="auto"/>
            <w:bottom w:val="none" w:sz="0" w:space="0" w:color="auto"/>
            <w:right w:val="none" w:sz="0" w:space="0" w:color="auto"/>
          </w:divBdr>
          <w:divsChild>
            <w:div w:id="314141946">
              <w:marLeft w:val="0"/>
              <w:marRight w:val="0"/>
              <w:marTop w:val="0"/>
              <w:marBottom w:val="0"/>
              <w:divBdr>
                <w:top w:val="none" w:sz="0" w:space="0" w:color="auto"/>
                <w:left w:val="none" w:sz="0" w:space="0" w:color="auto"/>
                <w:bottom w:val="none" w:sz="0" w:space="0" w:color="auto"/>
                <w:right w:val="none" w:sz="0" w:space="0" w:color="auto"/>
              </w:divBdr>
            </w:div>
          </w:divsChild>
        </w:div>
        <w:div w:id="1349025578">
          <w:marLeft w:val="0"/>
          <w:marRight w:val="0"/>
          <w:marTop w:val="0"/>
          <w:marBottom w:val="0"/>
          <w:divBdr>
            <w:top w:val="none" w:sz="0" w:space="0" w:color="auto"/>
            <w:left w:val="none" w:sz="0" w:space="0" w:color="auto"/>
            <w:bottom w:val="none" w:sz="0" w:space="0" w:color="auto"/>
            <w:right w:val="none" w:sz="0" w:space="0" w:color="auto"/>
          </w:divBdr>
          <w:divsChild>
            <w:div w:id="1659842792">
              <w:marLeft w:val="0"/>
              <w:marRight w:val="0"/>
              <w:marTop w:val="0"/>
              <w:marBottom w:val="0"/>
              <w:divBdr>
                <w:top w:val="none" w:sz="0" w:space="0" w:color="auto"/>
                <w:left w:val="none" w:sz="0" w:space="0" w:color="auto"/>
                <w:bottom w:val="none" w:sz="0" w:space="0" w:color="auto"/>
                <w:right w:val="none" w:sz="0" w:space="0" w:color="auto"/>
              </w:divBdr>
            </w:div>
          </w:divsChild>
        </w:div>
        <w:div w:id="1361280012">
          <w:marLeft w:val="0"/>
          <w:marRight w:val="0"/>
          <w:marTop w:val="0"/>
          <w:marBottom w:val="0"/>
          <w:divBdr>
            <w:top w:val="none" w:sz="0" w:space="0" w:color="auto"/>
            <w:left w:val="none" w:sz="0" w:space="0" w:color="auto"/>
            <w:bottom w:val="none" w:sz="0" w:space="0" w:color="auto"/>
            <w:right w:val="none" w:sz="0" w:space="0" w:color="auto"/>
          </w:divBdr>
          <w:divsChild>
            <w:div w:id="73016221">
              <w:marLeft w:val="0"/>
              <w:marRight w:val="0"/>
              <w:marTop w:val="0"/>
              <w:marBottom w:val="0"/>
              <w:divBdr>
                <w:top w:val="none" w:sz="0" w:space="0" w:color="auto"/>
                <w:left w:val="none" w:sz="0" w:space="0" w:color="auto"/>
                <w:bottom w:val="none" w:sz="0" w:space="0" w:color="auto"/>
                <w:right w:val="none" w:sz="0" w:space="0" w:color="auto"/>
              </w:divBdr>
            </w:div>
          </w:divsChild>
        </w:div>
        <w:div w:id="1386568977">
          <w:marLeft w:val="0"/>
          <w:marRight w:val="0"/>
          <w:marTop w:val="0"/>
          <w:marBottom w:val="0"/>
          <w:divBdr>
            <w:top w:val="none" w:sz="0" w:space="0" w:color="auto"/>
            <w:left w:val="none" w:sz="0" w:space="0" w:color="auto"/>
            <w:bottom w:val="none" w:sz="0" w:space="0" w:color="auto"/>
            <w:right w:val="none" w:sz="0" w:space="0" w:color="auto"/>
          </w:divBdr>
          <w:divsChild>
            <w:div w:id="1987396004">
              <w:marLeft w:val="0"/>
              <w:marRight w:val="0"/>
              <w:marTop w:val="0"/>
              <w:marBottom w:val="0"/>
              <w:divBdr>
                <w:top w:val="none" w:sz="0" w:space="0" w:color="auto"/>
                <w:left w:val="none" w:sz="0" w:space="0" w:color="auto"/>
                <w:bottom w:val="none" w:sz="0" w:space="0" w:color="auto"/>
                <w:right w:val="none" w:sz="0" w:space="0" w:color="auto"/>
              </w:divBdr>
            </w:div>
          </w:divsChild>
        </w:div>
        <w:div w:id="1583488551">
          <w:marLeft w:val="0"/>
          <w:marRight w:val="0"/>
          <w:marTop w:val="0"/>
          <w:marBottom w:val="0"/>
          <w:divBdr>
            <w:top w:val="none" w:sz="0" w:space="0" w:color="auto"/>
            <w:left w:val="none" w:sz="0" w:space="0" w:color="auto"/>
            <w:bottom w:val="none" w:sz="0" w:space="0" w:color="auto"/>
            <w:right w:val="none" w:sz="0" w:space="0" w:color="auto"/>
          </w:divBdr>
          <w:divsChild>
            <w:div w:id="104884110">
              <w:marLeft w:val="0"/>
              <w:marRight w:val="0"/>
              <w:marTop w:val="0"/>
              <w:marBottom w:val="0"/>
              <w:divBdr>
                <w:top w:val="none" w:sz="0" w:space="0" w:color="auto"/>
                <w:left w:val="none" w:sz="0" w:space="0" w:color="auto"/>
                <w:bottom w:val="none" w:sz="0" w:space="0" w:color="auto"/>
                <w:right w:val="none" w:sz="0" w:space="0" w:color="auto"/>
              </w:divBdr>
            </w:div>
          </w:divsChild>
        </w:div>
        <w:div w:id="1626422897">
          <w:marLeft w:val="0"/>
          <w:marRight w:val="0"/>
          <w:marTop w:val="0"/>
          <w:marBottom w:val="0"/>
          <w:divBdr>
            <w:top w:val="none" w:sz="0" w:space="0" w:color="auto"/>
            <w:left w:val="none" w:sz="0" w:space="0" w:color="auto"/>
            <w:bottom w:val="none" w:sz="0" w:space="0" w:color="auto"/>
            <w:right w:val="none" w:sz="0" w:space="0" w:color="auto"/>
          </w:divBdr>
          <w:divsChild>
            <w:div w:id="564681510">
              <w:marLeft w:val="0"/>
              <w:marRight w:val="0"/>
              <w:marTop w:val="0"/>
              <w:marBottom w:val="0"/>
              <w:divBdr>
                <w:top w:val="none" w:sz="0" w:space="0" w:color="auto"/>
                <w:left w:val="none" w:sz="0" w:space="0" w:color="auto"/>
                <w:bottom w:val="none" w:sz="0" w:space="0" w:color="auto"/>
                <w:right w:val="none" w:sz="0" w:space="0" w:color="auto"/>
              </w:divBdr>
            </w:div>
          </w:divsChild>
        </w:div>
        <w:div w:id="1661080795">
          <w:marLeft w:val="0"/>
          <w:marRight w:val="0"/>
          <w:marTop w:val="0"/>
          <w:marBottom w:val="0"/>
          <w:divBdr>
            <w:top w:val="none" w:sz="0" w:space="0" w:color="auto"/>
            <w:left w:val="none" w:sz="0" w:space="0" w:color="auto"/>
            <w:bottom w:val="none" w:sz="0" w:space="0" w:color="auto"/>
            <w:right w:val="none" w:sz="0" w:space="0" w:color="auto"/>
          </w:divBdr>
          <w:divsChild>
            <w:div w:id="280454944">
              <w:marLeft w:val="0"/>
              <w:marRight w:val="0"/>
              <w:marTop w:val="0"/>
              <w:marBottom w:val="0"/>
              <w:divBdr>
                <w:top w:val="none" w:sz="0" w:space="0" w:color="auto"/>
                <w:left w:val="none" w:sz="0" w:space="0" w:color="auto"/>
                <w:bottom w:val="none" w:sz="0" w:space="0" w:color="auto"/>
                <w:right w:val="none" w:sz="0" w:space="0" w:color="auto"/>
              </w:divBdr>
            </w:div>
          </w:divsChild>
        </w:div>
        <w:div w:id="1770813422">
          <w:marLeft w:val="0"/>
          <w:marRight w:val="0"/>
          <w:marTop w:val="0"/>
          <w:marBottom w:val="0"/>
          <w:divBdr>
            <w:top w:val="none" w:sz="0" w:space="0" w:color="auto"/>
            <w:left w:val="none" w:sz="0" w:space="0" w:color="auto"/>
            <w:bottom w:val="none" w:sz="0" w:space="0" w:color="auto"/>
            <w:right w:val="none" w:sz="0" w:space="0" w:color="auto"/>
          </w:divBdr>
          <w:divsChild>
            <w:div w:id="1077820500">
              <w:marLeft w:val="0"/>
              <w:marRight w:val="0"/>
              <w:marTop w:val="0"/>
              <w:marBottom w:val="0"/>
              <w:divBdr>
                <w:top w:val="none" w:sz="0" w:space="0" w:color="auto"/>
                <w:left w:val="none" w:sz="0" w:space="0" w:color="auto"/>
                <w:bottom w:val="none" w:sz="0" w:space="0" w:color="auto"/>
                <w:right w:val="none" w:sz="0" w:space="0" w:color="auto"/>
              </w:divBdr>
            </w:div>
          </w:divsChild>
        </w:div>
        <w:div w:id="1890726995">
          <w:marLeft w:val="0"/>
          <w:marRight w:val="0"/>
          <w:marTop w:val="0"/>
          <w:marBottom w:val="0"/>
          <w:divBdr>
            <w:top w:val="none" w:sz="0" w:space="0" w:color="auto"/>
            <w:left w:val="none" w:sz="0" w:space="0" w:color="auto"/>
            <w:bottom w:val="none" w:sz="0" w:space="0" w:color="auto"/>
            <w:right w:val="none" w:sz="0" w:space="0" w:color="auto"/>
          </w:divBdr>
          <w:divsChild>
            <w:div w:id="1527598235">
              <w:marLeft w:val="0"/>
              <w:marRight w:val="0"/>
              <w:marTop w:val="0"/>
              <w:marBottom w:val="0"/>
              <w:divBdr>
                <w:top w:val="none" w:sz="0" w:space="0" w:color="auto"/>
                <w:left w:val="none" w:sz="0" w:space="0" w:color="auto"/>
                <w:bottom w:val="none" w:sz="0" w:space="0" w:color="auto"/>
                <w:right w:val="none" w:sz="0" w:space="0" w:color="auto"/>
              </w:divBdr>
            </w:div>
          </w:divsChild>
        </w:div>
        <w:div w:id="1920941084">
          <w:marLeft w:val="0"/>
          <w:marRight w:val="0"/>
          <w:marTop w:val="0"/>
          <w:marBottom w:val="0"/>
          <w:divBdr>
            <w:top w:val="none" w:sz="0" w:space="0" w:color="auto"/>
            <w:left w:val="none" w:sz="0" w:space="0" w:color="auto"/>
            <w:bottom w:val="none" w:sz="0" w:space="0" w:color="auto"/>
            <w:right w:val="none" w:sz="0" w:space="0" w:color="auto"/>
          </w:divBdr>
          <w:divsChild>
            <w:div w:id="1638686226">
              <w:marLeft w:val="0"/>
              <w:marRight w:val="0"/>
              <w:marTop w:val="0"/>
              <w:marBottom w:val="0"/>
              <w:divBdr>
                <w:top w:val="none" w:sz="0" w:space="0" w:color="auto"/>
                <w:left w:val="none" w:sz="0" w:space="0" w:color="auto"/>
                <w:bottom w:val="none" w:sz="0" w:space="0" w:color="auto"/>
                <w:right w:val="none" w:sz="0" w:space="0" w:color="auto"/>
              </w:divBdr>
            </w:div>
          </w:divsChild>
        </w:div>
        <w:div w:id="1940334922">
          <w:marLeft w:val="0"/>
          <w:marRight w:val="0"/>
          <w:marTop w:val="0"/>
          <w:marBottom w:val="0"/>
          <w:divBdr>
            <w:top w:val="none" w:sz="0" w:space="0" w:color="auto"/>
            <w:left w:val="none" w:sz="0" w:space="0" w:color="auto"/>
            <w:bottom w:val="none" w:sz="0" w:space="0" w:color="auto"/>
            <w:right w:val="none" w:sz="0" w:space="0" w:color="auto"/>
          </w:divBdr>
          <w:divsChild>
            <w:div w:id="281888873">
              <w:marLeft w:val="0"/>
              <w:marRight w:val="0"/>
              <w:marTop w:val="0"/>
              <w:marBottom w:val="0"/>
              <w:divBdr>
                <w:top w:val="none" w:sz="0" w:space="0" w:color="auto"/>
                <w:left w:val="none" w:sz="0" w:space="0" w:color="auto"/>
                <w:bottom w:val="none" w:sz="0" w:space="0" w:color="auto"/>
                <w:right w:val="none" w:sz="0" w:space="0" w:color="auto"/>
              </w:divBdr>
            </w:div>
          </w:divsChild>
        </w:div>
        <w:div w:id="1945108861">
          <w:marLeft w:val="0"/>
          <w:marRight w:val="0"/>
          <w:marTop w:val="0"/>
          <w:marBottom w:val="0"/>
          <w:divBdr>
            <w:top w:val="none" w:sz="0" w:space="0" w:color="auto"/>
            <w:left w:val="none" w:sz="0" w:space="0" w:color="auto"/>
            <w:bottom w:val="none" w:sz="0" w:space="0" w:color="auto"/>
            <w:right w:val="none" w:sz="0" w:space="0" w:color="auto"/>
          </w:divBdr>
          <w:divsChild>
            <w:div w:id="355540770">
              <w:marLeft w:val="0"/>
              <w:marRight w:val="0"/>
              <w:marTop w:val="0"/>
              <w:marBottom w:val="0"/>
              <w:divBdr>
                <w:top w:val="none" w:sz="0" w:space="0" w:color="auto"/>
                <w:left w:val="none" w:sz="0" w:space="0" w:color="auto"/>
                <w:bottom w:val="none" w:sz="0" w:space="0" w:color="auto"/>
                <w:right w:val="none" w:sz="0" w:space="0" w:color="auto"/>
              </w:divBdr>
            </w:div>
          </w:divsChild>
        </w:div>
        <w:div w:id="2036231455">
          <w:marLeft w:val="0"/>
          <w:marRight w:val="0"/>
          <w:marTop w:val="0"/>
          <w:marBottom w:val="0"/>
          <w:divBdr>
            <w:top w:val="none" w:sz="0" w:space="0" w:color="auto"/>
            <w:left w:val="none" w:sz="0" w:space="0" w:color="auto"/>
            <w:bottom w:val="none" w:sz="0" w:space="0" w:color="auto"/>
            <w:right w:val="none" w:sz="0" w:space="0" w:color="auto"/>
          </w:divBdr>
          <w:divsChild>
            <w:div w:id="511068845">
              <w:marLeft w:val="0"/>
              <w:marRight w:val="0"/>
              <w:marTop w:val="0"/>
              <w:marBottom w:val="0"/>
              <w:divBdr>
                <w:top w:val="none" w:sz="0" w:space="0" w:color="auto"/>
                <w:left w:val="none" w:sz="0" w:space="0" w:color="auto"/>
                <w:bottom w:val="none" w:sz="0" w:space="0" w:color="auto"/>
                <w:right w:val="none" w:sz="0" w:space="0" w:color="auto"/>
              </w:divBdr>
            </w:div>
          </w:divsChild>
        </w:div>
        <w:div w:id="2037344997">
          <w:marLeft w:val="0"/>
          <w:marRight w:val="0"/>
          <w:marTop w:val="0"/>
          <w:marBottom w:val="0"/>
          <w:divBdr>
            <w:top w:val="none" w:sz="0" w:space="0" w:color="auto"/>
            <w:left w:val="none" w:sz="0" w:space="0" w:color="auto"/>
            <w:bottom w:val="none" w:sz="0" w:space="0" w:color="auto"/>
            <w:right w:val="none" w:sz="0" w:space="0" w:color="auto"/>
          </w:divBdr>
          <w:divsChild>
            <w:div w:id="312880865">
              <w:marLeft w:val="0"/>
              <w:marRight w:val="0"/>
              <w:marTop w:val="0"/>
              <w:marBottom w:val="0"/>
              <w:divBdr>
                <w:top w:val="none" w:sz="0" w:space="0" w:color="auto"/>
                <w:left w:val="none" w:sz="0" w:space="0" w:color="auto"/>
                <w:bottom w:val="none" w:sz="0" w:space="0" w:color="auto"/>
                <w:right w:val="none" w:sz="0" w:space="0" w:color="auto"/>
              </w:divBdr>
            </w:div>
          </w:divsChild>
        </w:div>
        <w:div w:id="2046909577">
          <w:marLeft w:val="0"/>
          <w:marRight w:val="0"/>
          <w:marTop w:val="0"/>
          <w:marBottom w:val="0"/>
          <w:divBdr>
            <w:top w:val="none" w:sz="0" w:space="0" w:color="auto"/>
            <w:left w:val="none" w:sz="0" w:space="0" w:color="auto"/>
            <w:bottom w:val="none" w:sz="0" w:space="0" w:color="auto"/>
            <w:right w:val="none" w:sz="0" w:space="0" w:color="auto"/>
          </w:divBdr>
          <w:divsChild>
            <w:div w:id="561058583">
              <w:marLeft w:val="0"/>
              <w:marRight w:val="0"/>
              <w:marTop w:val="0"/>
              <w:marBottom w:val="0"/>
              <w:divBdr>
                <w:top w:val="none" w:sz="0" w:space="0" w:color="auto"/>
                <w:left w:val="none" w:sz="0" w:space="0" w:color="auto"/>
                <w:bottom w:val="none" w:sz="0" w:space="0" w:color="auto"/>
                <w:right w:val="none" w:sz="0" w:space="0" w:color="auto"/>
              </w:divBdr>
            </w:div>
          </w:divsChild>
        </w:div>
        <w:div w:id="2082949246">
          <w:marLeft w:val="0"/>
          <w:marRight w:val="0"/>
          <w:marTop w:val="0"/>
          <w:marBottom w:val="0"/>
          <w:divBdr>
            <w:top w:val="none" w:sz="0" w:space="0" w:color="auto"/>
            <w:left w:val="none" w:sz="0" w:space="0" w:color="auto"/>
            <w:bottom w:val="none" w:sz="0" w:space="0" w:color="auto"/>
            <w:right w:val="none" w:sz="0" w:space="0" w:color="auto"/>
          </w:divBdr>
          <w:divsChild>
            <w:div w:id="1452896617">
              <w:marLeft w:val="0"/>
              <w:marRight w:val="0"/>
              <w:marTop w:val="0"/>
              <w:marBottom w:val="0"/>
              <w:divBdr>
                <w:top w:val="none" w:sz="0" w:space="0" w:color="auto"/>
                <w:left w:val="none" w:sz="0" w:space="0" w:color="auto"/>
                <w:bottom w:val="none" w:sz="0" w:space="0" w:color="auto"/>
                <w:right w:val="none" w:sz="0" w:space="0" w:color="auto"/>
              </w:divBdr>
            </w:div>
          </w:divsChild>
        </w:div>
        <w:div w:id="2134669788">
          <w:marLeft w:val="0"/>
          <w:marRight w:val="0"/>
          <w:marTop w:val="0"/>
          <w:marBottom w:val="0"/>
          <w:divBdr>
            <w:top w:val="none" w:sz="0" w:space="0" w:color="auto"/>
            <w:left w:val="none" w:sz="0" w:space="0" w:color="auto"/>
            <w:bottom w:val="none" w:sz="0" w:space="0" w:color="auto"/>
            <w:right w:val="none" w:sz="0" w:space="0" w:color="auto"/>
          </w:divBdr>
          <w:divsChild>
            <w:div w:id="12428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7965">
      <w:bodyDiv w:val="1"/>
      <w:marLeft w:val="0"/>
      <w:marRight w:val="0"/>
      <w:marTop w:val="0"/>
      <w:marBottom w:val="0"/>
      <w:divBdr>
        <w:top w:val="none" w:sz="0" w:space="0" w:color="auto"/>
        <w:left w:val="none" w:sz="0" w:space="0" w:color="auto"/>
        <w:bottom w:val="none" w:sz="0" w:space="0" w:color="auto"/>
        <w:right w:val="none" w:sz="0" w:space="0" w:color="auto"/>
      </w:divBdr>
    </w:div>
    <w:div w:id="1898200946">
      <w:bodyDiv w:val="1"/>
      <w:marLeft w:val="0"/>
      <w:marRight w:val="0"/>
      <w:marTop w:val="0"/>
      <w:marBottom w:val="0"/>
      <w:divBdr>
        <w:top w:val="none" w:sz="0" w:space="0" w:color="auto"/>
        <w:left w:val="none" w:sz="0" w:space="0" w:color="auto"/>
        <w:bottom w:val="none" w:sz="0" w:space="0" w:color="auto"/>
        <w:right w:val="none" w:sz="0" w:space="0" w:color="auto"/>
      </w:divBdr>
      <w:divsChild>
        <w:div w:id="35735625">
          <w:marLeft w:val="0"/>
          <w:marRight w:val="0"/>
          <w:marTop w:val="0"/>
          <w:marBottom w:val="0"/>
          <w:divBdr>
            <w:top w:val="none" w:sz="0" w:space="0" w:color="auto"/>
            <w:left w:val="none" w:sz="0" w:space="0" w:color="auto"/>
            <w:bottom w:val="none" w:sz="0" w:space="0" w:color="auto"/>
            <w:right w:val="none" w:sz="0" w:space="0" w:color="auto"/>
          </w:divBdr>
          <w:divsChild>
            <w:div w:id="1788113031">
              <w:marLeft w:val="0"/>
              <w:marRight w:val="0"/>
              <w:marTop w:val="0"/>
              <w:marBottom w:val="0"/>
              <w:divBdr>
                <w:top w:val="none" w:sz="0" w:space="0" w:color="auto"/>
                <w:left w:val="none" w:sz="0" w:space="0" w:color="auto"/>
                <w:bottom w:val="none" w:sz="0" w:space="0" w:color="auto"/>
                <w:right w:val="none" w:sz="0" w:space="0" w:color="auto"/>
              </w:divBdr>
            </w:div>
          </w:divsChild>
        </w:div>
        <w:div w:id="296188340">
          <w:marLeft w:val="0"/>
          <w:marRight w:val="0"/>
          <w:marTop w:val="0"/>
          <w:marBottom w:val="0"/>
          <w:divBdr>
            <w:top w:val="none" w:sz="0" w:space="0" w:color="auto"/>
            <w:left w:val="none" w:sz="0" w:space="0" w:color="auto"/>
            <w:bottom w:val="none" w:sz="0" w:space="0" w:color="auto"/>
            <w:right w:val="none" w:sz="0" w:space="0" w:color="auto"/>
          </w:divBdr>
          <w:divsChild>
            <w:div w:id="548029101">
              <w:marLeft w:val="0"/>
              <w:marRight w:val="0"/>
              <w:marTop w:val="0"/>
              <w:marBottom w:val="0"/>
              <w:divBdr>
                <w:top w:val="none" w:sz="0" w:space="0" w:color="auto"/>
                <w:left w:val="none" w:sz="0" w:space="0" w:color="auto"/>
                <w:bottom w:val="none" w:sz="0" w:space="0" w:color="auto"/>
                <w:right w:val="none" w:sz="0" w:space="0" w:color="auto"/>
              </w:divBdr>
            </w:div>
            <w:div w:id="1675258835">
              <w:marLeft w:val="0"/>
              <w:marRight w:val="0"/>
              <w:marTop w:val="0"/>
              <w:marBottom w:val="0"/>
              <w:divBdr>
                <w:top w:val="none" w:sz="0" w:space="0" w:color="auto"/>
                <w:left w:val="none" w:sz="0" w:space="0" w:color="auto"/>
                <w:bottom w:val="none" w:sz="0" w:space="0" w:color="auto"/>
                <w:right w:val="none" w:sz="0" w:space="0" w:color="auto"/>
              </w:divBdr>
            </w:div>
          </w:divsChild>
        </w:div>
        <w:div w:id="582186838">
          <w:marLeft w:val="0"/>
          <w:marRight w:val="0"/>
          <w:marTop w:val="0"/>
          <w:marBottom w:val="0"/>
          <w:divBdr>
            <w:top w:val="none" w:sz="0" w:space="0" w:color="auto"/>
            <w:left w:val="none" w:sz="0" w:space="0" w:color="auto"/>
            <w:bottom w:val="none" w:sz="0" w:space="0" w:color="auto"/>
            <w:right w:val="none" w:sz="0" w:space="0" w:color="auto"/>
          </w:divBdr>
          <w:divsChild>
            <w:div w:id="714962932">
              <w:marLeft w:val="0"/>
              <w:marRight w:val="0"/>
              <w:marTop w:val="0"/>
              <w:marBottom w:val="0"/>
              <w:divBdr>
                <w:top w:val="none" w:sz="0" w:space="0" w:color="auto"/>
                <w:left w:val="none" w:sz="0" w:space="0" w:color="auto"/>
                <w:bottom w:val="none" w:sz="0" w:space="0" w:color="auto"/>
                <w:right w:val="none" w:sz="0" w:space="0" w:color="auto"/>
              </w:divBdr>
            </w:div>
            <w:div w:id="2007127060">
              <w:marLeft w:val="0"/>
              <w:marRight w:val="0"/>
              <w:marTop w:val="0"/>
              <w:marBottom w:val="0"/>
              <w:divBdr>
                <w:top w:val="none" w:sz="0" w:space="0" w:color="auto"/>
                <w:left w:val="none" w:sz="0" w:space="0" w:color="auto"/>
                <w:bottom w:val="none" w:sz="0" w:space="0" w:color="auto"/>
                <w:right w:val="none" w:sz="0" w:space="0" w:color="auto"/>
              </w:divBdr>
            </w:div>
          </w:divsChild>
        </w:div>
        <w:div w:id="684943390">
          <w:marLeft w:val="0"/>
          <w:marRight w:val="0"/>
          <w:marTop w:val="0"/>
          <w:marBottom w:val="0"/>
          <w:divBdr>
            <w:top w:val="none" w:sz="0" w:space="0" w:color="auto"/>
            <w:left w:val="none" w:sz="0" w:space="0" w:color="auto"/>
            <w:bottom w:val="none" w:sz="0" w:space="0" w:color="auto"/>
            <w:right w:val="none" w:sz="0" w:space="0" w:color="auto"/>
          </w:divBdr>
          <w:divsChild>
            <w:div w:id="908661707">
              <w:marLeft w:val="0"/>
              <w:marRight w:val="0"/>
              <w:marTop w:val="0"/>
              <w:marBottom w:val="0"/>
              <w:divBdr>
                <w:top w:val="none" w:sz="0" w:space="0" w:color="auto"/>
                <w:left w:val="none" w:sz="0" w:space="0" w:color="auto"/>
                <w:bottom w:val="none" w:sz="0" w:space="0" w:color="auto"/>
                <w:right w:val="none" w:sz="0" w:space="0" w:color="auto"/>
              </w:divBdr>
            </w:div>
            <w:div w:id="1887181430">
              <w:marLeft w:val="0"/>
              <w:marRight w:val="0"/>
              <w:marTop w:val="0"/>
              <w:marBottom w:val="0"/>
              <w:divBdr>
                <w:top w:val="none" w:sz="0" w:space="0" w:color="auto"/>
                <w:left w:val="none" w:sz="0" w:space="0" w:color="auto"/>
                <w:bottom w:val="none" w:sz="0" w:space="0" w:color="auto"/>
                <w:right w:val="none" w:sz="0" w:space="0" w:color="auto"/>
              </w:divBdr>
            </w:div>
          </w:divsChild>
        </w:div>
        <w:div w:id="693724655">
          <w:marLeft w:val="0"/>
          <w:marRight w:val="0"/>
          <w:marTop w:val="0"/>
          <w:marBottom w:val="0"/>
          <w:divBdr>
            <w:top w:val="none" w:sz="0" w:space="0" w:color="auto"/>
            <w:left w:val="none" w:sz="0" w:space="0" w:color="auto"/>
            <w:bottom w:val="none" w:sz="0" w:space="0" w:color="auto"/>
            <w:right w:val="none" w:sz="0" w:space="0" w:color="auto"/>
          </w:divBdr>
          <w:divsChild>
            <w:div w:id="489103553">
              <w:marLeft w:val="0"/>
              <w:marRight w:val="0"/>
              <w:marTop w:val="0"/>
              <w:marBottom w:val="0"/>
              <w:divBdr>
                <w:top w:val="none" w:sz="0" w:space="0" w:color="auto"/>
                <w:left w:val="none" w:sz="0" w:space="0" w:color="auto"/>
                <w:bottom w:val="none" w:sz="0" w:space="0" w:color="auto"/>
                <w:right w:val="none" w:sz="0" w:space="0" w:color="auto"/>
              </w:divBdr>
            </w:div>
          </w:divsChild>
        </w:div>
        <w:div w:id="1227103975">
          <w:marLeft w:val="0"/>
          <w:marRight w:val="0"/>
          <w:marTop w:val="0"/>
          <w:marBottom w:val="0"/>
          <w:divBdr>
            <w:top w:val="none" w:sz="0" w:space="0" w:color="auto"/>
            <w:left w:val="none" w:sz="0" w:space="0" w:color="auto"/>
            <w:bottom w:val="none" w:sz="0" w:space="0" w:color="auto"/>
            <w:right w:val="none" w:sz="0" w:space="0" w:color="auto"/>
          </w:divBdr>
          <w:divsChild>
            <w:div w:id="651370493">
              <w:marLeft w:val="0"/>
              <w:marRight w:val="0"/>
              <w:marTop w:val="0"/>
              <w:marBottom w:val="0"/>
              <w:divBdr>
                <w:top w:val="none" w:sz="0" w:space="0" w:color="auto"/>
                <w:left w:val="none" w:sz="0" w:space="0" w:color="auto"/>
                <w:bottom w:val="none" w:sz="0" w:space="0" w:color="auto"/>
                <w:right w:val="none" w:sz="0" w:space="0" w:color="auto"/>
              </w:divBdr>
            </w:div>
          </w:divsChild>
        </w:div>
        <w:div w:id="1230074687">
          <w:marLeft w:val="0"/>
          <w:marRight w:val="0"/>
          <w:marTop w:val="0"/>
          <w:marBottom w:val="0"/>
          <w:divBdr>
            <w:top w:val="none" w:sz="0" w:space="0" w:color="auto"/>
            <w:left w:val="none" w:sz="0" w:space="0" w:color="auto"/>
            <w:bottom w:val="none" w:sz="0" w:space="0" w:color="auto"/>
            <w:right w:val="none" w:sz="0" w:space="0" w:color="auto"/>
          </w:divBdr>
          <w:divsChild>
            <w:div w:id="1532065152">
              <w:marLeft w:val="0"/>
              <w:marRight w:val="0"/>
              <w:marTop w:val="0"/>
              <w:marBottom w:val="0"/>
              <w:divBdr>
                <w:top w:val="none" w:sz="0" w:space="0" w:color="auto"/>
                <w:left w:val="none" w:sz="0" w:space="0" w:color="auto"/>
                <w:bottom w:val="none" w:sz="0" w:space="0" w:color="auto"/>
                <w:right w:val="none" w:sz="0" w:space="0" w:color="auto"/>
              </w:divBdr>
            </w:div>
          </w:divsChild>
        </w:div>
        <w:div w:id="1742605419">
          <w:marLeft w:val="0"/>
          <w:marRight w:val="0"/>
          <w:marTop w:val="0"/>
          <w:marBottom w:val="0"/>
          <w:divBdr>
            <w:top w:val="none" w:sz="0" w:space="0" w:color="auto"/>
            <w:left w:val="none" w:sz="0" w:space="0" w:color="auto"/>
            <w:bottom w:val="none" w:sz="0" w:space="0" w:color="auto"/>
            <w:right w:val="none" w:sz="0" w:space="0" w:color="auto"/>
          </w:divBdr>
          <w:divsChild>
            <w:div w:id="697970667">
              <w:marLeft w:val="0"/>
              <w:marRight w:val="0"/>
              <w:marTop w:val="0"/>
              <w:marBottom w:val="0"/>
              <w:divBdr>
                <w:top w:val="none" w:sz="0" w:space="0" w:color="auto"/>
                <w:left w:val="none" w:sz="0" w:space="0" w:color="auto"/>
                <w:bottom w:val="none" w:sz="0" w:space="0" w:color="auto"/>
                <w:right w:val="none" w:sz="0" w:space="0" w:color="auto"/>
              </w:divBdr>
            </w:div>
          </w:divsChild>
        </w:div>
        <w:div w:id="1746563251">
          <w:marLeft w:val="0"/>
          <w:marRight w:val="0"/>
          <w:marTop w:val="0"/>
          <w:marBottom w:val="0"/>
          <w:divBdr>
            <w:top w:val="none" w:sz="0" w:space="0" w:color="auto"/>
            <w:left w:val="none" w:sz="0" w:space="0" w:color="auto"/>
            <w:bottom w:val="none" w:sz="0" w:space="0" w:color="auto"/>
            <w:right w:val="none" w:sz="0" w:space="0" w:color="auto"/>
          </w:divBdr>
          <w:divsChild>
            <w:div w:id="552546637">
              <w:marLeft w:val="0"/>
              <w:marRight w:val="0"/>
              <w:marTop w:val="0"/>
              <w:marBottom w:val="0"/>
              <w:divBdr>
                <w:top w:val="none" w:sz="0" w:space="0" w:color="auto"/>
                <w:left w:val="none" w:sz="0" w:space="0" w:color="auto"/>
                <w:bottom w:val="none" w:sz="0" w:space="0" w:color="auto"/>
                <w:right w:val="none" w:sz="0" w:space="0" w:color="auto"/>
              </w:divBdr>
            </w:div>
          </w:divsChild>
        </w:div>
        <w:div w:id="1762145495">
          <w:marLeft w:val="0"/>
          <w:marRight w:val="0"/>
          <w:marTop w:val="0"/>
          <w:marBottom w:val="0"/>
          <w:divBdr>
            <w:top w:val="none" w:sz="0" w:space="0" w:color="auto"/>
            <w:left w:val="none" w:sz="0" w:space="0" w:color="auto"/>
            <w:bottom w:val="none" w:sz="0" w:space="0" w:color="auto"/>
            <w:right w:val="none" w:sz="0" w:space="0" w:color="auto"/>
          </w:divBdr>
          <w:divsChild>
            <w:div w:id="1474132112">
              <w:marLeft w:val="0"/>
              <w:marRight w:val="0"/>
              <w:marTop w:val="0"/>
              <w:marBottom w:val="0"/>
              <w:divBdr>
                <w:top w:val="none" w:sz="0" w:space="0" w:color="auto"/>
                <w:left w:val="none" w:sz="0" w:space="0" w:color="auto"/>
                <w:bottom w:val="none" w:sz="0" w:space="0" w:color="auto"/>
                <w:right w:val="none" w:sz="0" w:space="0" w:color="auto"/>
              </w:divBdr>
            </w:div>
          </w:divsChild>
        </w:div>
        <w:div w:id="1938513535">
          <w:marLeft w:val="0"/>
          <w:marRight w:val="0"/>
          <w:marTop w:val="0"/>
          <w:marBottom w:val="0"/>
          <w:divBdr>
            <w:top w:val="none" w:sz="0" w:space="0" w:color="auto"/>
            <w:left w:val="none" w:sz="0" w:space="0" w:color="auto"/>
            <w:bottom w:val="none" w:sz="0" w:space="0" w:color="auto"/>
            <w:right w:val="none" w:sz="0" w:space="0" w:color="auto"/>
          </w:divBdr>
          <w:divsChild>
            <w:div w:id="1553156674">
              <w:marLeft w:val="0"/>
              <w:marRight w:val="0"/>
              <w:marTop w:val="0"/>
              <w:marBottom w:val="0"/>
              <w:divBdr>
                <w:top w:val="none" w:sz="0" w:space="0" w:color="auto"/>
                <w:left w:val="none" w:sz="0" w:space="0" w:color="auto"/>
                <w:bottom w:val="none" w:sz="0" w:space="0" w:color="auto"/>
                <w:right w:val="none" w:sz="0" w:space="0" w:color="auto"/>
              </w:divBdr>
            </w:div>
          </w:divsChild>
        </w:div>
        <w:div w:id="1944797239">
          <w:marLeft w:val="0"/>
          <w:marRight w:val="0"/>
          <w:marTop w:val="0"/>
          <w:marBottom w:val="0"/>
          <w:divBdr>
            <w:top w:val="none" w:sz="0" w:space="0" w:color="auto"/>
            <w:left w:val="none" w:sz="0" w:space="0" w:color="auto"/>
            <w:bottom w:val="none" w:sz="0" w:space="0" w:color="auto"/>
            <w:right w:val="none" w:sz="0" w:space="0" w:color="auto"/>
          </w:divBdr>
          <w:divsChild>
            <w:div w:id="6379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047676">
      <w:bodyDiv w:val="1"/>
      <w:marLeft w:val="0"/>
      <w:marRight w:val="0"/>
      <w:marTop w:val="0"/>
      <w:marBottom w:val="0"/>
      <w:divBdr>
        <w:top w:val="none" w:sz="0" w:space="0" w:color="auto"/>
        <w:left w:val="none" w:sz="0" w:space="0" w:color="auto"/>
        <w:bottom w:val="none" w:sz="0" w:space="0" w:color="auto"/>
        <w:right w:val="none" w:sz="0" w:space="0" w:color="auto"/>
      </w:divBdr>
    </w:div>
    <w:div w:id="1934506860">
      <w:bodyDiv w:val="1"/>
      <w:marLeft w:val="0"/>
      <w:marRight w:val="0"/>
      <w:marTop w:val="0"/>
      <w:marBottom w:val="0"/>
      <w:divBdr>
        <w:top w:val="none" w:sz="0" w:space="0" w:color="auto"/>
        <w:left w:val="none" w:sz="0" w:space="0" w:color="auto"/>
        <w:bottom w:val="none" w:sz="0" w:space="0" w:color="auto"/>
        <w:right w:val="none" w:sz="0" w:space="0" w:color="auto"/>
      </w:divBdr>
      <w:divsChild>
        <w:div w:id="28647543">
          <w:marLeft w:val="0"/>
          <w:marRight w:val="0"/>
          <w:marTop w:val="0"/>
          <w:marBottom w:val="0"/>
          <w:divBdr>
            <w:top w:val="none" w:sz="0" w:space="0" w:color="auto"/>
            <w:left w:val="none" w:sz="0" w:space="0" w:color="auto"/>
            <w:bottom w:val="none" w:sz="0" w:space="0" w:color="auto"/>
            <w:right w:val="none" w:sz="0" w:space="0" w:color="auto"/>
          </w:divBdr>
          <w:divsChild>
            <w:div w:id="1613977369">
              <w:marLeft w:val="0"/>
              <w:marRight w:val="0"/>
              <w:marTop w:val="0"/>
              <w:marBottom w:val="0"/>
              <w:divBdr>
                <w:top w:val="none" w:sz="0" w:space="0" w:color="auto"/>
                <w:left w:val="none" w:sz="0" w:space="0" w:color="auto"/>
                <w:bottom w:val="none" w:sz="0" w:space="0" w:color="auto"/>
                <w:right w:val="none" w:sz="0" w:space="0" w:color="auto"/>
              </w:divBdr>
            </w:div>
          </w:divsChild>
        </w:div>
        <w:div w:id="33433547">
          <w:marLeft w:val="0"/>
          <w:marRight w:val="0"/>
          <w:marTop w:val="0"/>
          <w:marBottom w:val="0"/>
          <w:divBdr>
            <w:top w:val="none" w:sz="0" w:space="0" w:color="auto"/>
            <w:left w:val="none" w:sz="0" w:space="0" w:color="auto"/>
            <w:bottom w:val="none" w:sz="0" w:space="0" w:color="auto"/>
            <w:right w:val="none" w:sz="0" w:space="0" w:color="auto"/>
          </w:divBdr>
          <w:divsChild>
            <w:div w:id="706023989">
              <w:marLeft w:val="0"/>
              <w:marRight w:val="0"/>
              <w:marTop w:val="0"/>
              <w:marBottom w:val="0"/>
              <w:divBdr>
                <w:top w:val="none" w:sz="0" w:space="0" w:color="auto"/>
                <w:left w:val="none" w:sz="0" w:space="0" w:color="auto"/>
                <w:bottom w:val="none" w:sz="0" w:space="0" w:color="auto"/>
                <w:right w:val="none" w:sz="0" w:space="0" w:color="auto"/>
              </w:divBdr>
            </w:div>
          </w:divsChild>
        </w:div>
        <w:div w:id="305476035">
          <w:marLeft w:val="0"/>
          <w:marRight w:val="0"/>
          <w:marTop w:val="0"/>
          <w:marBottom w:val="0"/>
          <w:divBdr>
            <w:top w:val="none" w:sz="0" w:space="0" w:color="auto"/>
            <w:left w:val="none" w:sz="0" w:space="0" w:color="auto"/>
            <w:bottom w:val="none" w:sz="0" w:space="0" w:color="auto"/>
            <w:right w:val="none" w:sz="0" w:space="0" w:color="auto"/>
          </w:divBdr>
          <w:divsChild>
            <w:div w:id="1572690110">
              <w:marLeft w:val="0"/>
              <w:marRight w:val="0"/>
              <w:marTop w:val="0"/>
              <w:marBottom w:val="0"/>
              <w:divBdr>
                <w:top w:val="none" w:sz="0" w:space="0" w:color="auto"/>
                <w:left w:val="none" w:sz="0" w:space="0" w:color="auto"/>
                <w:bottom w:val="none" w:sz="0" w:space="0" w:color="auto"/>
                <w:right w:val="none" w:sz="0" w:space="0" w:color="auto"/>
              </w:divBdr>
            </w:div>
          </w:divsChild>
        </w:div>
        <w:div w:id="305819553">
          <w:marLeft w:val="0"/>
          <w:marRight w:val="0"/>
          <w:marTop w:val="0"/>
          <w:marBottom w:val="0"/>
          <w:divBdr>
            <w:top w:val="none" w:sz="0" w:space="0" w:color="auto"/>
            <w:left w:val="none" w:sz="0" w:space="0" w:color="auto"/>
            <w:bottom w:val="none" w:sz="0" w:space="0" w:color="auto"/>
            <w:right w:val="none" w:sz="0" w:space="0" w:color="auto"/>
          </w:divBdr>
          <w:divsChild>
            <w:div w:id="62875545">
              <w:marLeft w:val="0"/>
              <w:marRight w:val="0"/>
              <w:marTop w:val="0"/>
              <w:marBottom w:val="0"/>
              <w:divBdr>
                <w:top w:val="none" w:sz="0" w:space="0" w:color="auto"/>
                <w:left w:val="none" w:sz="0" w:space="0" w:color="auto"/>
                <w:bottom w:val="none" w:sz="0" w:space="0" w:color="auto"/>
                <w:right w:val="none" w:sz="0" w:space="0" w:color="auto"/>
              </w:divBdr>
            </w:div>
          </w:divsChild>
        </w:div>
        <w:div w:id="347371160">
          <w:marLeft w:val="0"/>
          <w:marRight w:val="0"/>
          <w:marTop w:val="0"/>
          <w:marBottom w:val="0"/>
          <w:divBdr>
            <w:top w:val="none" w:sz="0" w:space="0" w:color="auto"/>
            <w:left w:val="none" w:sz="0" w:space="0" w:color="auto"/>
            <w:bottom w:val="none" w:sz="0" w:space="0" w:color="auto"/>
            <w:right w:val="none" w:sz="0" w:space="0" w:color="auto"/>
          </w:divBdr>
          <w:divsChild>
            <w:div w:id="1818297448">
              <w:marLeft w:val="0"/>
              <w:marRight w:val="0"/>
              <w:marTop w:val="0"/>
              <w:marBottom w:val="0"/>
              <w:divBdr>
                <w:top w:val="none" w:sz="0" w:space="0" w:color="auto"/>
                <w:left w:val="none" w:sz="0" w:space="0" w:color="auto"/>
                <w:bottom w:val="none" w:sz="0" w:space="0" w:color="auto"/>
                <w:right w:val="none" w:sz="0" w:space="0" w:color="auto"/>
              </w:divBdr>
            </w:div>
          </w:divsChild>
        </w:div>
        <w:div w:id="365911523">
          <w:marLeft w:val="0"/>
          <w:marRight w:val="0"/>
          <w:marTop w:val="0"/>
          <w:marBottom w:val="0"/>
          <w:divBdr>
            <w:top w:val="none" w:sz="0" w:space="0" w:color="auto"/>
            <w:left w:val="none" w:sz="0" w:space="0" w:color="auto"/>
            <w:bottom w:val="none" w:sz="0" w:space="0" w:color="auto"/>
            <w:right w:val="none" w:sz="0" w:space="0" w:color="auto"/>
          </w:divBdr>
          <w:divsChild>
            <w:div w:id="852259205">
              <w:marLeft w:val="0"/>
              <w:marRight w:val="0"/>
              <w:marTop w:val="0"/>
              <w:marBottom w:val="0"/>
              <w:divBdr>
                <w:top w:val="none" w:sz="0" w:space="0" w:color="auto"/>
                <w:left w:val="none" w:sz="0" w:space="0" w:color="auto"/>
                <w:bottom w:val="none" w:sz="0" w:space="0" w:color="auto"/>
                <w:right w:val="none" w:sz="0" w:space="0" w:color="auto"/>
              </w:divBdr>
            </w:div>
          </w:divsChild>
        </w:div>
        <w:div w:id="375080623">
          <w:marLeft w:val="0"/>
          <w:marRight w:val="0"/>
          <w:marTop w:val="0"/>
          <w:marBottom w:val="0"/>
          <w:divBdr>
            <w:top w:val="none" w:sz="0" w:space="0" w:color="auto"/>
            <w:left w:val="none" w:sz="0" w:space="0" w:color="auto"/>
            <w:bottom w:val="none" w:sz="0" w:space="0" w:color="auto"/>
            <w:right w:val="none" w:sz="0" w:space="0" w:color="auto"/>
          </w:divBdr>
          <w:divsChild>
            <w:div w:id="1059666775">
              <w:marLeft w:val="0"/>
              <w:marRight w:val="0"/>
              <w:marTop w:val="0"/>
              <w:marBottom w:val="0"/>
              <w:divBdr>
                <w:top w:val="none" w:sz="0" w:space="0" w:color="auto"/>
                <w:left w:val="none" w:sz="0" w:space="0" w:color="auto"/>
                <w:bottom w:val="none" w:sz="0" w:space="0" w:color="auto"/>
                <w:right w:val="none" w:sz="0" w:space="0" w:color="auto"/>
              </w:divBdr>
            </w:div>
          </w:divsChild>
        </w:div>
        <w:div w:id="396822928">
          <w:marLeft w:val="0"/>
          <w:marRight w:val="0"/>
          <w:marTop w:val="0"/>
          <w:marBottom w:val="0"/>
          <w:divBdr>
            <w:top w:val="none" w:sz="0" w:space="0" w:color="auto"/>
            <w:left w:val="none" w:sz="0" w:space="0" w:color="auto"/>
            <w:bottom w:val="none" w:sz="0" w:space="0" w:color="auto"/>
            <w:right w:val="none" w:sz="0" w:space="0" w:color="auto"/>
          </w:divBdr>
          <w:divsChild>
            <w:div w:id="850487661">
              <w:marLeft w:val="0"/>
              <w:marRight w:val="0"/>
              <w:marTop w:val="0"/>
              <w:marBottom w:val="0"/>
              <w:divBdr>
                <w:top w:val="none" w:sz="0" w:space="0" w:color="auto"/>
                <w:left w:val="none" w:sz="0" w:space="0" w:color="auto"/>
                <w:bottom w:val="none" w:sz="0" w:space="0" w:color="auto"/>
                <w:right w:val="none" w:sz="0" w:space="0" w:color="auto"/>
              </w:divBdr>
            </w:div>
          </w:divsChild>
        </w:div>
        <w:div w:id="458378607">
          <w:marLeft w:val="0"/>
          <w:marRight w:val="0"/>
          <w:marTop w:val="0"/>
          <w:marBottom w:val="0"/>
          <w:divBdr>
            <w:top w:val="none" w:sz="0" w:space="0" w:color="auto"/>
            <w:left w:val="none" w:sz="0" w:space="0" w:color="auto"/>
            <w:bottom w:val="none" w:sz="0" w:space="0" w:color="auto"/>
            <w:right w:val="none" w:sz="0" w:space="0" w:color="auto"/>
          </w:divBdr>
          <w:divsChild>
            <w:div w:id="1493327662">
              <w:marLeft w:val="0"/>
              <w:marRight w:val="0"/>
              <w:marTop w:val="0"/>
              <w:marBottom w:val="0"/>
              <w:divBdr>
                <w:top w:val="none" w:sz="0" w:space="0" w:color="auto"/>
                <w:left w:val="none" w:sz="0" w:space="0" w:color="auto"/>
                <w:bottom w:val="none" w:sz="0" w:space="0" w:color="auto"/>
                <w:right w:val="none" w:sz="0" w:space="0" w:color="auto"/>
              </w:divBdr>
            </w:div>
          </w:divsChild>
        </w:div>
        <w:div w:id="491264424">
          <w:marLeft w:val="0"/>
          <w:marRight w:val="0"/>
          <w:marTop w:val="0"/>
          <w:marBottom w:val="0"/>
          <w:divBdr>
            <w:top w:val="none" w:sz="0" w:space="0" w:color="auto"/>
            <w:left w:val="none" w:sz="0" w:space="0" w:color="auto"/>
            <w:bottom w:val="none" w:sz="0" w:space="0" w:color="auto"/>
            <w:right w:val="none" w:sz="0" w:space="0" w:color="auto"/>
          </w:divBdr>
          <w:divsChild>
            <w:div w:id="1258712980">
              <w:marLeft w:val="0"/>
              <w:marRight w:val="0"/>
              <w:marTop w:val="0"/>
              <w:marBottom w:val="0"/>
              <w:divBdr>
                <w:top w:val="none" w:sz="0" w:space="0" w:color="auto"/>
                <w:left w:val="none" w:sz="0" w:space="0" w:color="auto"/>
                <w:bottom w:val="none" w:sz="0" w:space="0" w:color="auto"/>
                <w:right w:val="none" w:sz="0" w:space="0" w:color="auto"/>
              </w:divBdr>
            </w:div>
          </w:divsChild>
        </w:div>
        <w:div w:id="594939142">
          <w:marLeft w:val="0"/>
          <w:marRight w:val="0"/>
          <w:marTop w:val="0"/>
          <w:marBottom w:val="0"/>
          <w:divBdr>
            <w:top w:val="none" w:sz="0" w:space="0" w:color="auto"/>
            <w:left w:val="none" w:sz="0" w:space="0" w:color="auto"/>
            <w:bottom w:val="none" w:sz="0" w:space="0" w:color="auto"/>
            <w:right w:val="none" w:sz="0" w:space="0" w:color="auto"/>
          </w:divBdr>
          <w:divsChild>
            <w:div w:id="470247255">
              <w:marLeft w:val="0"/>
              <w:marRight w:val="0"/>
              <w:marTop w:val="0"/>
              <w:marBottom w:val="0"/>
              <w:divBdr>
                <w:top w:val="none" w:sz="0" w:space="0" w:color="auto"/>
                <w:left w:val="none" w:sz="0" w:space="0" w:color="auto"/>
                <w:bottom w:val="none" w:sz="0" w:space="0" w:color="auto"/>
                <w:right w:val="none" w:sz="0" w:space="0" w:color="auto"/>
              </w:divBdr>
            </w:div>
          </w:divsChild>
        </w:div>
        <w:div w:id="617565820">
          <w:marLeft w:val="0"/>
          <w:marRight w:val="0"/>
          <w:marTop w:val="0"/>
          <w:marBottom w:val="0"/>
          <w:divBdr>
            <w:top w:val="none" w:sz="0" w:space="0" w:color="auto"/>
            <w:left w:val="none" w:sz="0" w:space="0" w:color="auto"/>
            <w:bottom w:val="none" w:sz="0" w:space="0" w:color="auto"/>
            <w:right w:val="none" w:sz="0" w:space="0" w:color="auto"/>
          </w:divBdr>
          <w:divsChild>
            <w:div w:id="1730225923">
              <w:marLeft w:val="0"/>
              <w:marRight w:val="0"/>
              <w:marTop w:val="0"/>
              <w:marBottom w:val="0"/>
              <w:divBdr>
                <w:top w:val="none" w:sz="0" w:space="0" w:color="auto"/>
                <w:left w:val="none" w:sz="0" w:space="0" w:color="auto"/>
                <w:bottom w:val="none" w:sz="0" w:space="0" w:color="auto"/>
                <w:right w:val="none" w:sz="0" w:space="0" w:color="auto"/>
              </w:divBdr>
            </w:div>
          </w:divsChild>
        </w:div>
        <w:div w:id="635186241">
          <w:marLeft w:val="0"/>
          <w:marRight w:val="0"/>
          <w:marTop w:val="0"/>
          <w:marBottom w:val="0"/>
          <w:divBdr>
            <w:top w:val="none" w:sz="0" w:space="0" w:color="auto"/>
            <w:left w:val="none" w:sz="0" w:space="0" w:color="auto"/>
            <w:bottom w:val="none" w:sz="0" w:space="0" w:color="auto"/>
            <w:right w:val="none" w:sz="0" w:space="0" w:color="auto"/>
          </w:divBdr>
          <w:divsChild>
            <w:div w:id="1262108210">
              <w:marLeft w:val="0"/>
              <w:marRight w:val="0"/>
              <w:marTop w:val="0"/>
              <w:marBottom w:val="0"/>
              <w:divBdr>
                <w:top w:val="none" w:sz="0" w:space="0" w:color="auto"/>
                <w:left w:val="none" w:sz="0" w:space="0" w:color="auto"/>
                <w:bottom w:val="none" w:sz="0" w:space="0" w:color="auto"/>
                <w:right w:val="none" w:sz="0" w:space="0" w:color="auto"/>
              </w:divBdr>
            </w:div>
          </w:divsChild>
        </w:div>
        <w:div w:id="640499631">
          <w:marLeft w:val="0"/>
          <w:marRight w:val="0"/>
          <w:marTop w:val="0"/>
          <w:marBottom w:val="0"/>
          <w:divBdr>
            <w:top w:val="none" w:sz="0" w:space="0" w:color="auto"/>
            <w:left w:val="none" w:sz="0" w:space="0" w:color="auto"/>
            <w:bottom w:val="none" w:sz="0" w:space="0" w:color="auto"/>
            <w:right w:val="none" w:sz="0" w:space="0" w:color="auto"/>
          </w:divBdr>
          <w:divsChild>
            <w:div w:id="750391828">
              <w:marLeft w:val="0"/>
              <w:marRight w:val="0"/>
              <w:marTop w:val="0"/>
              <w:marBottom w:val="0"/>
              <w:divBdr>
                <w:top w:val="none" w:sz="0" w:space="0" w:color="auto"/>
                <w:left w:val="none" w:sz="0" w:space="0" w:color="auto"/>
                <w:bottom w:val="none" w:sz="0" w:space="0" w:color="auto"/>
                <w:right w:val="none" w:sz="0" w:space="0" w:color="auto"/>
              </w:divBdr>
            </w:div>
          </w:divsChild>
        </w:div>
        <w:div w:id="696010072">
          <w:marLeft w:val="0"/>
          <w:marRight w:val="0"/>
          <w:marTop w:val="0"/>
          <w:marBottom w:val="0"/>
          <w:divBdr>
            <w:top w:val="none" w:sz="0" w:space="0" w:color="auto"/>
            <w:left w:val="none" w:sz="0" w:space="0" w:color="auto"/>
            <w:bottom w:val="none" w:sz="0" w:space="0" w:color="auto"/>
            <w:right w:val="none" w:sz="0" w:space="0" w:color="auto"/>
          </w:divBdr>
          <w:divsChild>
            <w:div w:id="2005740938">
              <w:marLeft w:val="0"/>
              <w:marRight w:val="0"/>
              <w:marTop w:val="0"/>
              <w:marBottom w:val="0"/>
              <w:divBdr>
                <w:top w:val="none" w:sz="0" w:space="0" w:color="auto"/>
                <w:left w:val="none" w:sz="0" w:space="0" w:color="auto"/>
                <w:bottom w:val="none" w:sz="0" w:space="0" w:color="auto"/>
                <w:right w:val="none" w:sz="0" w:space="0" w:color="auto"/>
              </w:divBdr>
            </w:div>
          </w:divsChild>
        </w:div>
        <w:div w:id="706485750">
          <w:marLeft w:val="0"/>
          <w:marRight w:val="0"/>
          <w:marTop w:val="0"/>
          <w:marBottom w:val="0"/>
          <w:divBdr>
            <w:top w:val="none" w:sz="0" w:space="0" w:color="auto"/>
            <w:left w:val="none" w:sz="0" w:space="0" w:color="auto"/>
            <w:bottom w:val="none" w:sz="0" w:space="0" w:color="auto"/>
            <w:right w:val="none" w:sz="0" w:space="0" w:color="auto"/>
          </w:divBdr>
          <w:divsChild>
            <w:div w:id="1351645791">
              <w:marLeft w:val="0"/>
              <w:marRight w:val="0"/>
              <w:marTop w:val="0"/>
              <w:marBottom w:val="0"/>
              <w:divBdr>
                <w:top w:val="none" w:sz="0" w:space="0" w:color="auto"/>
                <w:left w:val="none" w:sz="0" w:space="0" w:color="auto"/>
                <w:bottom w:val="none" w:sz="0" w:space="0" w:color="auto"/>
                <w:right w:val="none" w:sz="0" w:space="0" w:color="auto"/>
              </w:divBdr>
            </w:div>
          </w:divsChild>
        </w:div>
        <w:div w:id="732968367">
          <w:marLeft w:val="0"/>
          <w:marRight w:val="0"/>
          <w:marTop w:val="0"/>
          <w:marBottom w:val="0"/>
          <w:divBdr>
            <w:top w:val="none" w:sz="0" w:space="0" w:color="auto"/>
            <w:left w:val="none" w:sz="0" w:space="0" w:color="auto"/>
            <w:bottom w:val="none" w:sz="0" w:space="0" w:color="auto"/>
            <w:right w:val="none" w:sz="0" w:space="0" w:color="auto"/>
          </w:divBdr>
          <w:divsChild>
            <w:div w:id="395397767">
              <w:marLeft w:val="0"/>
              <w:marRight w:val="0"/>
              <w:marTop w:val="0"/>
              <w:marBottom w:val="0"/>
              <w:divBdr>
                <w:top w:val="none" w:sz="0" w:space="0" w:color="auto"/>
                <w:left w:val="none" w:sz="0" w:space="0" w:color="auto"/>
                <w:bottom w:val="none" w:sz="0" w:space="0" w:color="auto"/>
                <w:right w:val="none" w:sz="0" w:space="0" w:color="auto"/>
              </w:divBdr>
            </w:div>
          </w:divsChild>
        </w:div>
        <w:div w:id="773091096">
          <w:marLeft w:val="0"/>
          <w:marRight w:val="0"/>
          <w:marTop w:val="0"/>
          <w:marBottom w:val="0"/>
          <w:divBdr>
            <w:top w:val="none" w:sz="0" w:space="0" w:color="auto"/>
            <w:left w:val="none" w:sz="0" w:space="0" w:color="auto"/>
            <w:bottom w:val="none" w:sz="0" w:space="0" w:color="auto"/>
            <w:right w:val="none" w:sz="0" w:space="0" w:color="auto"/>
          </w:divBdr>
          <w:divsChild>
            <w:div w:id="1864435266">
              <w:marLeft w:val="0"/>
              <w:marRight w:val="0"/>
              <w:marTop w:val="0"/>
              <w:marBottom w:val="0"/>
              <w:divBdr>
                <w:top w:val="none" w:sz="0" w:space="0" w:color="auto"/>
                <w:left w:val="none" w:sz="0" w:space="0" w:color="auto"/>
                <w:bottom w:val="none" w:sz="0" w:space="0" w:color="auto"/>
                <w:right w:val="none" w:sz="0" w:space="0" w:color="auto"/>
              </w:divBdr>
            </w:div>
          </w:divsChild>
        </w:div>
        <w:div w:id="785348655">
          <w:marLeft w:val="0"/>
          <w:marRight w:val="0"/>
          <w:marTop w:val="0"/>
          <w:marBottom w:val="0"/>
          <w:divBdr>
            <w:top w:val="none" w:sz="0" w:space="0" w:color="auto"/>
            <w:left w:val="none" w:sz="0" w:space="0" w:color="auto"/>
            <w:bottom w:val="none" w:sz="0" w:space="0" w:color="auto"/>
            <w:right w:val="none" w:sz="0" w:space="0" w:color="auto"/>
          </w:divBdr>
          <w:divsChild>
            <w:div w:id="1824588604">
              <w:marLeft w:val="0"/>
              <w:marRight w:val="0"/>
              <w:marTop w:val="0"/>
              <w:marBottom w:val="0"/>
              <w:divBdr>
                <w:top w:val="none" w:sz="0" w:space="0" w:color="auto"/>
                <w:left w:val="none" w:sz="0" w:space="0" w:color="auto"/>
                <w:bottom w:val="none" w:sz="0" w:space="0" w:color="auto"/>
                <w:right w:val="none" w:sz="0" w:space="0" w:color="auto"/>
              </w:divBdr>
            </w:div>
          </w:divsChild>
        </w:div>
        <w:div w:id="789472570">
          <w:marLeft w:val="0"/>
          <w:marRight w:val="0"/>
          <w:marTop w:val="0"/>
          <w:marBottom w:val="0"/>
          <w:divBdr>
            <w:top w:val="none" w:sz="0" w:space="0" w:color="auto"/>
            <w:left w:val="none" w:sz="0" w:space="0" w:color="auto"/>
            <w:bottom w:val="none" w:sz="0" w:space="0" w:color="auto"/>
            <w:right w:val="none" w:sz="0" w:space="0" w:color="auto"/>
          </w:divBdr>
          <w:divsChild>
            <w:div w:id="592664109">
              <w:marLeft w:val="0"/>
              <w:marRight w:val="0"/>
              <w:marTop w:val="0"/>
              <w:marBottom w:val="0"/>
              <w:divBdr>
                <w:top w:val="none" w:sz="0" w:space="0" w:color="auto"/>
                <w:left w:val="none" w:sz="0" w:space="0" w:color="auto"/>
                <w:bottom w:val="none" w:sz="0" w:space="0" w:color="auto"/>
                <w:right w:val="none" w:sz="0" w:space="0" w:color="auto"/>
              </w:divBdr>
            </w:div>
          </w:divsChild>
        </w:div>
        <w:div w:id="793256177">
          <w:marLeft w:val="0"/>
          <w:marRight w:val="0"/>
          <w:marTop w:val="0"/>
          <w:marBottom w:val="0"/>
          <w:divBdr>
            <w:top w:val="none" w:sz="0" w:space="0" w:color="auto"/>
            <w:left w:val="none" w:sz="0" w:space="0" w:color="auto"/>
            <w:bottom w:val="none" w:sz="0" w:space="0" w:color="auto"/>
            <w:right w:val="none" w:sz="0" w:space="0" w:color="auto"/>
          </w:divBdr>
          <w:divsChild>
            <w:div w:id="28185703">
              <w:marLeft w:val="0"/>
              <w:marRight w:val="0"/>
              <w:marTop w:val="0"/>
              <w:marBottom w:val="0"/>
              <w:divBdr>
                <w:top w:val="none" w:sz="0" w:space="0" w:color="auto"/>
                <w:left w:val="none" w:sz="0" w:space="0" w:color="auto"/>
                <w:bottom w:val="none" w:sz="0" w:space="0" w:color="auto"/>
                <w:right w:val="none" w:sz="0" w:space="0" w:color="auto"/>
              </w:divBdr>
            </w:div>
          </w:divsChild>
        </w:div>
        <w:div w:id="794644917">
          <w:marLeft w:val="0"/>
          <w:marRight w:val="0"/>
          <w:marTop w:val="0"/>
          <w:marBottom w:val="0"/>
          <w:divBdr>
            <w:top w:val="none" w:sz="0" w:space="0" w:color="auto"/>
            <w:left w:val="none" w:sz="0" w:space="0" w:color="auto"/>
            <w:bottom w:val="none" w:sz="0" w:space="0" w:color="auto"/>
            <w:right w:val="none" w:sz="0" w:space="0" w:color="auto"/>
          </w:divBdr>
          <w:divsChild>
            <w:div w:id="231043658">
              <w:marLeft w:val="0"/>
              <w:marRight w:val="0"/>
              <w:marTop w:val="0"/>
              <w:marBottom w:val="0"/>
              <w:divBdr>
                <w:top w:val="none" w:sz="0" w:space="0" w:color="auto"/>
                <w:left w:val="none" w:sz="0" w:space="0" w:color="auto"/>
                <w:bottom w:val="none" w:sz="0" w:space="0" w:color="auto"/>
                <w:right w:val="none" w:sz="0" w:space="0" w:color="auto"/>
              </w:divBdr>
            </w:div>
          </w:divsChild>
        </w:div>
        <w:div w:id="914314439">
          <w:marLeft w:val="0"/>
          <w:marRight w:val="0"/>
          <w:marTop w:val="0"/>
          <w:marBottom w:val="0"/>
          <w:divBdr>
            <w:top w:val="none" w:sz="0" w:space="0" w:color="auto"/>
            <w:left w:val="none" w:sz="0" w:space="0" w:color="auto"/>
            <w:bottom w:val="none" w:sz="0" w:space="0" w:color="auto"/>
            <w:right w:val="none" w:sz="0" w:space="0" w:color="auto"/>
          </w:divBdr>
          <w:divsChild>
            <w:div w:id="1503742702">
              <w:marLeft w:val="0"/>
              <w:marRight w:val="0"/>
              <w:marTop w:val="0"/>
              <w:marBottom w:val="0"/>
              <w:divBdr>
                <w:top w:val="none" w:sz="0" w:space="0" w:color="auto"/>
                <w:left w:val="none" w:sz="0" w:space="0" w:color="auto"/>
                <w:bottom w:val="none" w:sz="0" w:space="0" w:color="auto"/>
                <w:right w:val="none" w:sz="0" w:space="0" w:color="auto"/>
              </w:divBdr>
            </w:div>
          </w:divsChild>
        </w:div>
        <w:div w:id="1024945646">
          <w:marLeft w:val="0"/>
          <w:marRight w:val="0"/>
          <w:marTop w:val="0"/>
          <w:marBottom w:val="0"/>
          <w:divBdr>
            <w:top w:val="none" w:sz="0" w:space="0" w:color="auto"/>
            <w:left w:val="none" w:sz="0" w:space="0" w:color="auto"/>
            <w:bottom w:val="none" w:sz="0" w:space="0" w:color="auto"/>
            <w:right w:val="none" w:sz="0" w:space="0" w:color="auto"/>
          </w:divBdr>
          <w:divsChild>
            <w:div w:id="753822315">
              <w:marLeft w:val="0"/>
              <w:marRight w:val="0"/>
              <w:marTop w:val="0"/>
              <w:marBottom w:val="0"/>
              <w:divBdr>
                <w:top w:val="none" w:sz="0" w:space="0" w:color="auto"/>
                <w:left w:val="none" w:sz="0" w:space="0" w:color="auto"/>
                <w:bottom w:val="none" w:sz="0" w:space="0" w:color="auto"/>
                <w:right w:val="none" w:sz="0" w:space="0" w:color="auto"/>
              </w:divBdr>
            </w:div>
          </w:divsChild>
        </w:div>
        <w:div w:id="1040516883">
          <w:marLeft w:val="0"/>
          <w:marRight w:val="0"/>
          <w:marTop w:val="0"/>
          <w:marBottom w:val="0"/>
          <w:divBdr>
            <w:top w:val="none" w:sz="0" w:space="0" w:color="auto"/>
            <w:left w:val="none" w:sz="0" w:space="0" w:color="auto"/>
            <w:bottom w:val="none" w:sz="0" w:space="0" w:color="auto"/>
            <w:right w:val="none" w:sz="0" w:space="0" w:color="auto"/>
          </w:divBdr>
          <w:divsChild>
            <w:div w:id="1050767913">
              <w:marLeft w:val="0"/>
              <w:marRight w:val="0"/>
              <w:marTop w:val="0"/>
              <w:marBottom w:val="0"/>
              <w:divBdr>
                <w:top w:val="none" w:sz="0" w:space="0" w:color="auto"/>
                <w:left w:val="none" w:sz="0" w:space="0" w:color="auto"/>
                <w:bottom w:val="none" w:sz="0" w:space="0" w:color="auto"/>
                <w:right w:val="none" w:sz="0" w:space="0" w:color="auto"/>
              </w:divBdr>
            </w:div>
          </w:divsChild>
        </w:div>
        <w:div w:id="1046562946">
          <w:marLeft w:val="0"/>
          <w:marRight w:val="0"/>
          <w:marTop w:val="0"/>
          <w:marBottom w:val="0"/>
          <w:divBdr>
            <w:top w:val="none" w:sz="0" w:space="0" w:color="auto"/>
            <w:left w:val="none" w:sz="0" w:space="0" w:color="auto"/>
            <w:bottom w:val="none" w:sz="0" w:space="0" w:color="auto"/>
            <w:right w:val="none" w:sz="0" w:space="0" w:color="auto"/>
          </w:divBdr>
          <w:divsChild>
            <w:div w:id="1049916172">
              <w:marLeft w:val="0"/>
              <w:marRight w:val="0"/>
              <w:marTop w:val="0"/>
              <w:marBottom w:val="0"/>
              <w:divBdr>
                <w:top w:val="none" w:sz="0" w:space="0" w:color="auto"/>
                <w:left w:val="none" w:sz="0" w:space="0" w:color="auto"/>
                <w:bottom w:val="none" w:sz="0" w:space="0" w:color="auto"/>
                <w:right w:val="none" w:sz="0" w:space="0" w:color="auto"/>
              </w:divBdr>
            </w:div>
          </w:divsChild>
        </w:div>
        <w:div w:id="1140271359">
          <w:marLeft w:val="0"/>
          <w:marRight w:val="0"/>
          <w:marTop w:val="0"/>
          <w:marBottom w:val="0"/>
          <w:divBdr>
            <w:top w:val="none" w:sz="0" w:space="0" w:color="auto"/>
            <w:left w:val="none" w:sz="0" w:space="0" w:color="auto"/>
            <w:bottom w:val="none" w:sz="0" w:space="0" w:color="auto"/>
            <w:right w:val="none" w:sz="0" w:space="0" w:color="auto"/>
          </w:divBdr>
          <w:divsChild>
            <w:div w:id="1922176614">
              <w:marLeft w:val="0"/>
              <w:marRight w:val="0"/>
              <w:marTop w:val="0"/>
              <w:marBottom w:val="0"/>
              <w:divBdr>
                <w:top w:val="none" w:sz="0" w:space="0" w:color="auto"/>
                <w:left w:val="none" w:sz="0" w:space="0" w:color="auto"/>
                <w:bottom w:val="none" w:sz="0" w:space="0" w:color="auto"/>
                <w:right w:val="none" w:sz="0" w:space="0" w:color="auto"/>
              </w:divBdr>
            </w:div>
          </w:divsChild>
        </w:div>
        <w:div w:id="1140536217">
          <w:marLeft w:val="0"/>
          <w:marRight w:val="0"/>
          <w:marTop w:val="0"/>
          <w:marBottom w:val="0"/>
          <w:divBdr>
            <w:top w:val="none" w:sz="0" w:space="0" w:color="auto"/>
            <w:left w:val="none" w:sz="0" w:space="0" w:color="auto"/>
            <w:bottom w:val="none" w:sz="0" w:space="0" w:color="auto"/>
            <w:right w:val="none" w:sz="0" w:space="0" w:color="auto"/>
          </w:divBdr>
          <w:divsChild>
            <w:div w:id="1625883843">
              <w:marLeft w:val="0"/>
              <w:marRight w:val="0"/>
              <w:marTop w:val="0"/>
              <w:marBottom w:val="0"/>
              <w:divBdr>
                <w:top w:val="none" w:sz="0" w:space="0" w:color="auto"/>
                <w:left w:val="none" w:sz="0" w:space="0" w:color="auto"/>
                <w:bottom w:val="none" w:sz="0" w:space="0" w:color="auto"/>
                <w:right w:val="none" w:sz="0" w:space="0" w:color="auto"/>
              </w:divBdr>
            </w:div>
          </w:divsChild>
        </w:div>
        <w:div w:id="1278757666">
          <w:marLeft w:val="0"/>
          <w:marRight w:val="0"/>
          <w:marTop w:val="0"/>
          <w:marBottom w:val="0"/>
          <w:divBdr>
            <w:top w:val="none" w:sz="0" w:space="0" w:color="auto"/>
            <w:left w:val="none" w:sz="0" w:space="0" w:color="auto"/>
            <w:bottom w:val="none" w:sz="0" w:space="0" w:color="auto"/>
            <w:right w:val="none" w:sz="0" w:space="0" w:color="auto"/>
          </w:divBdr>
          <w:divsChild>
            <w:div w:id="2004817947">
              <w:marLeft w:val="0"/>
              <w:marRight w:val="0"/>
              <w:marTop w:val="0"/>
              <w:marBottom w:val="0"/>
              <w:divBdr>
                <w:top w:val="none" w:sz="0" w:space="0" w:color="auto"/>
                <w:left w:val="none" w:sz="0" w:space="0" w:color="auto"/>
                <w:bottom w:val="none" w:sz="0" w:space="0" w:color="auto"/>
                <w:right w:val="none" w:sz="0" w:space="0" w:color="auto"/>
              </w:divBdr>
            </w:div>
          </w:divsChild>
        </w:div>
        <w:div w:id="1284506824">
          <w:marLeft w:val="0"/>
          <w:marRight w:val="0"/>
          <w:marTop w:val="0"/>
          <w:marBottom w:val="0"/>
          <w:divBdr>
            <w:top w:val="none" w:sz="0" w:space="0" w:color="auto"/>
            <w:left w:val="none" w:sz="0" w:space="0" w:color="auto"/>
            <w:bottom w:val="none" w:sz="0" w:space="0" w:color="auto"/>
            <w:right w:val="none" w:sz="0" w:space="0" w:color="auto"/>
          </w:divBdr>
          <w:divsChild>
            <w:div w:id="1762412971">
              <w:marLeft w:val="0"/>
              <w:marRight w:val="0"/>
              <w:marTop w:val="0"/>
              <w:marBottom w:val="0"/>
              <w:divBdr>
                <w:top w:val="none" w:sz="0" w:space="0" w:color="auto"/>
                <w:left w:val="none" w:sz="0" w:space="0" w:color="auto"/>
                <w:bottom w:val="none" w:sz="0" w:space="0" w:color="auto"/>
                <w:right w:val="none" w:sz="0" w:space="0" w:color="auto"/>
              </w:divBdr>
            </w:div>
          </w:divsChild>
        </w:div>
        <w:div w:id="1288973825">
          <w:marLeft w:val="0"/>
          <w:marRight w:val="0"/>
          <w:marTop w:val="0"/>
          <w:marBottom w:val="0"/>
          <w:divBdr>
            <w:top w:val="none" w:sz="0" w:space="0" w:color="auto"/>
            <w:left w:val="none" w:sz="0" w:space="0" w:color="auto"/>
            <w:bottom w:val="none" w:sz="0" w:space="0" w:color="auto"/>
            <w:right w:val="none" w:sz="0" w:space="0" w:color="auto"/>
          </w:divBdr>
          <w:divsChild>
            <w:div w:id="191382848">
              <w:marLeft w:val="0"/>
              <w:marRight w:val="0"/>
              <w:marTop w:val="0"/>
              <w:marBottom w:val="0"/>
              <w:divBdr>
                <w:top w:val="none" w:sz="0" w:space="0" w:color="auto"/>
                <w:left w:val="none" w:sz="0" w:space="0" w:color="auto"/>
                <w:bottom w:val="none" w:sz="0" w:space="0" w:color="auto"/>
                <w:right w:val="none" w:sz="0" w:space="0" w:color="auto"/>
              </w:divBdr>
            </w:div>
          </w:divsChild>
        </w:div>
        <w:div w:id="1295017351">
          <w:marLeft w:val="0"/>
          <w:marRight w:val="0"/>
          <w:marTop w:val="0"/>
          <w:marBottom w:val="0"/>
          <w:divBdr>
            <w:top w:val="none" w:sz="0" w:space="0" w:color="auto"/>
            <w:left w:val="none" w:sz="0" w:space="0" w:color="auto"/>
            <w:bottom w:val="none" w:sz="0" w:space="0" w:color="auto"/>
            <w:right w:val="none" w:sz="0" w:space="0" w:color="auto"/>
          </w:divBdr>
          <w:divsChild>
            <w:div w:id="305011459">
              <w:marLeft w:val="0"/>
              <w:marRight w:val="0"/>
              <w:marTop w:val="0"/>
              <w:marBottom w:val="0"/>
              <w:divBdr>
                <w:top w:val="none" w:sz="0" w:space="0" w:color="auto"/>
                <w:left w:val="none" w:sz="0" w:space="0" w:color="auto"/>
                <w:bottom w:val="none" w:sz="0" w:space="0" w:color="auto"/>
                <w:right w:val="none" w:sz="0" w:space="0" w:color="auto"/>
              </w:divBdr>
            </w:div>
          </w:divsChild>
        </w:div>
        <w:div w:id="1362974825">
          <w:marLeft w:val="0"/>
          <w:marRight w:val="0"/>
          <w:marTop w:val="0"/>
          <w:marBottom w:val="0"/>
          <w:divBdr>
            <w:top w:val="none" w:sz="0" w:space="0" w:color="auto"/>
            <w:left w:val="none" w:sz="0" w:space="0" w:color="auto"/>
            <w:bottom w:val="none" w:sz="0" w:space="0" w:color="auto"/>
            <w:right w:val="none" w:sz="0" w:space="0" w:color="auto"/>
          </w:divBdr>
          <w:divsChild>
            <w:div w:id="1364013712">
              <w:marLeft w:val="0"/>
              <w:marRight w:val="0"/>
              <w:marTop w:val="0"/>
              <w:marBottom w:val="0"/>
              <w:divBdr>
                <w:top w:val="none" w:sz="0" w:space="0" w:color="auto"/>
                <w:left w:val="none" w:sz="0" w:space="0" w:color="auto"/>
                <w:bottom w:val="none" w:sz="0" w:space="0" w:color="auto"/>
                <w:right w:val="none" w:sz="0" w:space="0" w:color="auto"/>
              </w:divBdr>
            </w:div>
          </w:divsChild>
        </w:div>
        <w:div w:id="1363704021">
          <w:marLeft w:val="0"/>
          <w:marRight w:val="0"/>
          <w:marTop w:val="0"/>
          <w:marBottom w:val="0"/>
          <w:divBdr>
            <w:top w:val="none" w:sz="0" w:space="0" w:color="auto"/>
            <w:left w:val="none" w:sz="0" w:space="0" w:color="auto"/>
            <w:bottom w:val="none" w:sz="0" w:space="0" w:color="auto"/>
            <w:right w:val="none" w:sz="0" w:space="0" w:color="auto"/>
          </w:divBdr>
          <w:divsChild>
            <w:div w:id="2028142914">
              <w:marLeft w:val="0"/>
              <w:marRight w:val="0"/>
              <w:marTop w:val="0"/>
              <w:marBottom w:val="0"/>
              <w:divBdr>
                <w:top w:val="none" w:sz="0" w:space="0" w:color="auto"/>
                <w:left w:val="none" w:sz="0" w:space="0" w:color="auto"/>
                <w:bottom w:val="none" w:sz="0" w:space="0" w:color="auto"/>
                <w:right w:val="none" w:sz="0" w:space="0" w:color="auto"/>
              </w:divBdr>
            </w:div>
          </w:divsChild>
        </w:div>
        <w:div w:id="1366177016">
          <w:marLeft w:val="0"/>
          <w:marRight w:val="0"/>
          <w:marTop w:val="0"/>
          <w:marBottom w:val="0"/>
          <w:divBdr>
            <w:top w:val="none" w:sz="0" w:space="0" w:color="auto"/>
            <w:left w:val="none" w:sz="0" w:space="0" w:color="auto"/>
            <w:bottom w:val="none" w:sz="0" w:space="0" w:color="auto"/>
            <w:right w:val="none" w:sz="0" w:space="0" w:color="auto"/>
          </w:divBdr>
          <w:divsChild>
            <w:div w:id="393745151">
              <w:marLeft w:val="0"/>
              <w:marRight w:val="0"/>
              <w:marTop w:val="0"/>
              <w:marBottom w:val="0"/>
              <w:divBdr>
                <w:top w:val="none" w:sz="0" w:space="0" w:color="auto"/>
                <w:left w:val="none" w:sz="0" w:space="0" w:color="auto"/>
                <w:bottom w:val="none" w:sz="0" w:space="0" w:color="auto"/>
                <w:right w:val="none" w:sz="0" w:space="0" w:color="auto"/>
              </w:divBdr>
            </w:div>
          </w:divsChild>
        </w:div>
        <w:div w:id="1376080392">
          <w:marLeft w:val="0"/>
          <w:marRight w:val="0"/>
          <w:marTop w:val="0"/>
          <w:marBottom w:val="0"/>
          <w:divBdr>
            <w:top w:val="none" w:sz="0" w:space="0" w:color="auto"/>
            <w:left w:val="none" w:sz="0" w:space="0" w:color="auto"/>
            <w:bottom w:val="none" w:sz="0" w:space="0" w:color="auto"/>
            <w:right w:val="none" w:sz="0" w:space="0" w:color="auto"/>
          </w:divBdr>
          <w:divsChild>
            <w:div w:id="773750121">
              <w:marLeft w:val="0"/>
              <w:marRight w:val="0"/>
              <w:marTop w:val="0"/>
              <w:marBottom w:val="0"/>
              <w:divBdr>
                <w:top w:val="none" w:sz="0" w:space="0" w:color="auto"/>
                <w:left w:val="none" w:sz="0" w:space="0" w:color="auto"/>
                <w:bottom w:val="none" w:sz="0" w:space="0" w:color="auto"/>
                <w:right w:val="none" w:sz="0" w:space="0" w:color="auto"/>
              </w:divBdr>
            </w:div>
          </w:divsChild>
        </w:div>
        <w:div w:id="1416366850">
          <w:marLeft w:val="0"/>
          <w:marRight w:val="0"/>
          <w:marTop w:val="0"/>
          <w:marBottom w:val="0"/>
          <w:divBdr>
            <w:top w:val="none" w:sz="0" w:space="0" w:color="auto"/>
            <w:left w:val="none" w:sz="0" w:space="0" w:color="auto"/>
            <w:bottom w:val="none" w:sz="0" w:space="0" w:color="auto"/>
            <w:right w:val="none" w:sz="0" w:space="0" w:color="auto"/>
          </w:divBdr>
          <w:divsChild>
            <w:div w:id="1078985343">
              <w:marLeft w:val="0"/>
              <w:marRight w:val="0"/>
              <w:marTop w:val="0"/>
              <w:marBottom w:val="0"/>
              <w:divBdr>
                <w:top w:val="none" w:sz="0" w:space="0" w:color="auto"/>
                <w:left w:val="none" w:sz="0" w:space="0" w:color="auto"/>
                <w:bottom w:val="none" w:sz="0" w:space="0" w:color="auto"/>
                <w:right w:val="none" w:sz="0" w:space="0" w:color="auto"/>
              </w:divBdr>
            </w:div>
          </w:divsChild>
        </w:div>
        <w:div w:id="1429733915">
          <w:marLeft w:val="0"/>
          <w:marRight w:val="0"/>
          <w:marTop w:val="0"/>
          <w:marBottom w:val="0"/>
          <w:divBdr>
            <w:top w:val="none" w:sz="0" w:space="0" w:color="auto"/>
            <w:left w:val="none" w:sz="0" w:space="0" w:color="auto"/>
            <w:bottom w:val="none" w:sz="0" w:space="0" w:color="auto"/>
            <w:right w:val="none" w:sz="0" w:space="0" w:color="auto"/>
          </w:divBdr>
          <w:divsChild>
            <w:div w:id="558638001">
              <w:marLeft w:val="0"/>
              <w:marRight w:val="0"/>
              <w:marTop w:val="0"/>
              <w:marBottom w:val="0"/>
              <w:divBdr>
                <w:top w:val="none" w:sz="0" w:space="0" w:color="auto"/>
                <w:left w:val="none" w:sz="0" w:space="0" w:color="auto"/>
                <w:bottom w:val="none" w:sz="0" w:space="0" w:color="auto"/>
                <w:right w:val="none" w:sz="0" w:space="0" w:color="auto"/>
              </w:divBdr>
            </w:div>
          </w:divsChild>
        </w:div>
        <w:div w:id="1451558095">
          <w:marLeft w:val="0"/>
          <w:marRight w:val="0"/>
          <w:marTop w:val="0"/>
          <w:marBottom w:val="0"/>
          <w:divBdr>
            <w:top w:val="none" w:sz="0" w:space="0" w:color="auto"/>
            <w:left w:val="none" w:sz="0" w:space="0" w:color="auto"/>
            <w:bottom w:val="none" w:sz="0" w:space="0" w:color="auto"/>
            <w:right w:val="none" w:sz="0" w:space="0" w:color="auto"/>
          </w:divBdr>
          <w:divsChild>
            <w:div w:id="175119878">
              <w:marLeft w:val="0"/>
              <w:marRight w:val="0"/>
              <w:marTop w:val="0"/>
              <w:marBottom w:val="0"/>
              <w:divBdr>
                <w:top w:val="none" w:sz="0" w:space="0" w:color="auto"/>
                <w:left w:val="none" w:sz="0" w:space="0" w:color="auto"/>
                <w:bottom w:val="none" w:sz="0" w:space="0" w:color="auto"/>
                <w:right w:val="none" w:sz="0" w:space="0" w:color="auto"/>
              </w:divBdr>
            </w:div>
          </w:divsChild>
        </w:div>
        <w:div w:id="1456220273">
          <w:marLeft w:val="0"/>
          <w:marRight w:val="0"/>
          <w:marTop w:val="0"/>
          <w:marBottom w:val="0"/>
          <w:divBdr>
            <w:top w:val="none" w:sz="0" w:space="0" w:color="auto"/>
            <w:left w:val="none" w:sz="0" w:space="0" w:color="auto"/>
            <w:bottom w:val="none" w:sz="0" w:space="0" w:color="auto"/>
            <w:right w:val="none" w:sz="0" w:space="0" w:color="auto"/>
          </w:divBdr>
          <w:divsChild>
            <w:div w:id="1173691486">
              <w:marLeft w:val="0"/>
              <w:marRight w:val="0"/>
              <w:marTop w:val="0"/>
              <w:marBottom w:val="0"/>
              <w:divBdr>
                <w:top w:val="none" w:sz="0" w:space="0" w:color="auto"/>
                <w:left w:val="none" w:sz="0" w:space="0" w:color="auto"/>
                <w:bottom w:val="none" w:sz="0" w:space="0" w:color="auto"/>
                <w:right w:val="none" w:sz="0" w:space="0" w:color="auto"/>
              </w:divBdr>
            </w:div>
          </w:divsChild>
        </w:div>
        <w:div w:id="1463772962">
          <w:marLeft w:val="0"/>
          <w:marRight w:val="0"/>
          <w:marTop w:val="0"/>
          <w:marBottom w:val="0"/>
          <w:divBdr>
            <w:top w:val="none" w:sz="0" w:space="0" w:color="auto"/>
            <w:left w:val="none" w:sz="0" w:space="0" w:color="auto"/>
            <w:bottom w:val="none" w:sz="0" w:space="0" w:color="auto"/>
            <w:right w:val="none" w:sz="0" w:space="0" w:color="auto"/>
          </w:divBdr>
          <w:divsChild>
            <w:div w:id="1329791692">
              <w:marLeft w:val="0"/>
              <w:marRight w:val="0"/>
              <w:marTop w:val="0"/>
              <w:marBottom w:val="0"/>
              <w:divBdr>
                <w:top w:val="none" w:sz="0" w:space="0" w:color="auto"/>
                <w:left w:val="none" w:sz="0" w:space="0" w:color="auto"/>
                <w:bottom w:val="none" w:sz="0" w:space="0" w:color="auto"/>
                <w:right w:val="none" w:sz="0" w:space="0" w:color="auto"/>
              </w:divBdr>
            </w:div>
          </w:divsChild>
        </w:div>
        <w:div w:id="1494949586">
          <w:marLeft w:val="0"/>
          <w:marRight w:val="0"/>
          <w:marTop w:val="0"/>
          <w:marBottom w:val="0"/>
          <w:divBdr>
            <w:top w:val="none" w:sz="0" w:space="0" w:color="auto"/>
            <w:left w:val="none" w:sz="0" w:space="0" w:color="auto"/>
            <w:bottom w:val="none" w:sz="0" w:space="0" w:color="auto"/>
            <w:right w:val="none" w:sz="0" w:space="0" w:color="auto"/>
          </w:divBdr>
          <w:divsChild>
            <w:div w:id="541675614">
              <w:marLeft w:val="0"/>
              <w:marRight w:val="0"/>
              <w:marTop w:val="0"/>
              <w:marBottom w:val="0"/>
              <w:divBdr>
                <w:top w:val="none" w:sz="0" w:space="0" w:color="auto"/>
                <w:left w:val="none" w:sz="0" w:space="0" w:color="auto"/>
                <w:bottom w:val="none" w:sz="0" w:space="0" w:color="auto"/>
                <w:right w:val="none" w:sz="0" w:space="0" w:color="auto"/>
              </w:divBdr>
            </w:div>
          </w:divsChild>
        </w:div>
        <w:div w:id="1498106091">
          <w:marLeft w:val="0"/>
          <w:marRight w:val="0"/>
          <w:marTop w:val="0"/>
          <w:marBottom w:val="0"/>
          <w:divBdr>
            <w:top w:val="none" w:sz="0" w:space="0" w:color="auto"/>
            <w:left w:val="none" w:sz="0" w:space="0" w:color="auto"/>
            <w:bottom w:val="none" w:sz="0" w:space="0" w:color="auto"/>
            <w:right w:val="none" w:sz="0" w:space="0" w:color="auto"/>
          </w:divBdr>
          <w:divsChild>
            <w:div w:id="730082726">
              <w:marLeft w:val="0"/>
              <w:marRight w:val="0"/>
              <w:marTop w:val="0"/>
              <w:marBottom w:val="0"/>
              <w:divBdr>
                <w:top w:val="none" w:sz="0" w:space="0" w:color="auto"/>
                <w:left w:val="none" w:sz="0" w:space="0" w:color="auto"/>
                <w:bottom w:val="none" w:sz="0" w:space="0" w:color="auto"/>
                <w:right w:val="none" w:sz="0" w:space="0" w:color="auto"/>
              </w:divBdr>
            </w:div>
          </w:divsChild>
        </w:div>
        <w:div w:id="1548252393">
          <w:marLeft w:val="0"/>
          <w:marRight w:val="0"/>
          <w:marTop w:val="0"/>
          <w:marBottom w:val="0"/>
          <w:divBdr>
            <w:top w:val="none" w:sz="0" w:space="0" w:color="auto"/>
            <w:left w:val="none" w:sz="0" w:space="0" w:color="auto"/>
            <w:bottom w:val="none" w:sz="0" w:space="0" w:color="auto"/>
            <w:right w:val="none" w:sz="0" w:space="0" w:color="auto"/>
          </w:divBdr>
          <w:divsChild>
            <w:div w:id="588855599">
              <w:marLeft w:val="0"/>
              <w:marRight w:val="0"/>
              <w:marTop w:val="0"/>
              <w:marBottom w:val="0"/>
              <w:divBdr>
                <w:top w:val="none" w:sz="0" w:space="0" w:color="auto"/>
                <w:left w:val="none" w:sz="0" w:space="0" w:color="auto"/>
                <w:bottom w:val="none" w:sz="0" w:space="0" w:color="auto"/>
                <w:right w:val="none" w:sz="0" w:space="0" w:color="auto"/>
              </w:divBdr>
            </w:div>
          </w:divsChild>
        </w:div>
        <w:div w:id="1582177504">
          <w:marLeft w:val="0"/>
          <w:marRight w:val="0"/>
          <w:marTop w:val="0"/>
          <w:marBottom w:val="0"/>
          <w:divBdr>
            <w:top w:val="none" w:sz="0" w:space="0" w:color="auto"/>
            <w:left w:val="none" w:sz="0" w:space="0" w:color="auto"/>
            <w:bottom w:val="none" w:sz="0" w:space="0" w:color="auto"/>
            <w:right w:val="none" w:sz="0" w:space="0" w:color="auto"/>
          </w:divBdr>
          <w:divsChild>
            <w:div w:id="1868595148">
              <w:marLeft w:val="0"/>
              <w:marRight w:val="0"/>
              <w:marTop w:val="0"/>
              <w:marBottom w:val="0"/>
              <w:divBdr>
                <w:top w:val="none" w:sz="0" w:space="0" w:color="auto"/>
                <w:left w:val="none" w:sz="0" w:space="0" w:color="auto"/>
                <w:bottom w:val="none" w:sz="0" w:space="0" w:color="auto"/>
                <w:right w:val="none" w:sz="0" w:space="0" w:color="auto"/>
              </w:divBdr>
            </w:div>
          </w:divsChild>
        </w:div>
        <w:div w:id="1661032188">
          <w:marLeft w:val="0"/>
          <w:marRight w:val="0"/>
          <w:marTop w:val="0"/>
          <w:marBottom w:val="0"/>
          <w:divBdr>
            <w:top w:val="none" w:sz="0" w:space="0" w:color="auto"/>
            <w:left w:val="none" w:sz="0" w:space="0" w:color="auto"/>
            <w:bottom w:val="none" w:sz="0" w:space="0" w:color="auto"/>
            <w:right w:val="none" w:sz="0" w:space="0" w:color="auto"/>
          </w:divBdr>
          <w:divsChild>
            <w:div w:id="42949751">
              <w:marLeft w:val="0"/>
              <w:marRight w:val="0"/>
              <w:marTop w:val="0"/>
              <w:marBottom w:val="0"/>
              <w:divBdr>
                <w:top w:val="none" w:sz="0" w:space="0" w:color="auto"/>
                <w:left w:val="none" w:sz="0" w:space="0" w:color="auto"/>
                <w:bottom w:val="none" w:sz="0" w:space="0" w:color="auto"/>
                <w:right w:val="none" w:sz="0" w:space="0" w:color="auto"/>
              </w:divBdr>
            </w:div>
          </w:divsChild>
        </w:div>
        <w:div w:id="1747654418">
          <w:marLeft w:val="0"/>
          <w:marRight w:val="0"/>
          <w:marTop w:val="0"/>
          <w:marBottom w:val="0"/>
          <w:divBdr>
            <w:top w:val="none" w:sz="0" w:space="0" w:color="auto"/>
            <w:left w:val="none" w:sz="0" w:space="0" w:color="auto"/>
            <w:bottom w:val="none" w:sz="0" w:space="0" w:color="auto"/>
            <w:right w:val="none" w:sz="0" w:space="0" w:color="auto"/>
          </w:divBdr>
          <w:divsChild>
            <w:div w:id="1198349671">
              <w:marLeft w:val="0"/>
              <w:marRight w:val="0"/>
              <w:marTop w:val="0"/>
              <w:marBottom w:val="0"/>
              <w:divBdr>
                <w:top w:val="none" w:sz="0" w:space="0" w:color="auto"/>
                <w:left w:val="none" w:sz="0" w:space="0" w:color="auto"/>
                <w:bottom w:val="none" w:sz="0" w:space="0" w:color="auto"/>
                <w:right w:val="none" w:sz="0" w:space="0" w:color="auto"/>
              </w:divBdr>
            </w:div>
          </w:divsChild>
        </w:div>
        <w:div w:id="1842504318">
          <w:marLeft w:val="0"/>
          <w:marRight w:val="0"/>
          <w:marTop w:val="0"/>
          <w:marBottom w:val="0"/>
          <w:divBdr>
            <w:top w:val="none" w:sz="0" w:space="0" w:color="auto"/>
            <w:left w:val="none" w:sz="0" w:space="0" w:color="auto"/>
            <w:bottom w:val="none" w:sz="0" w:space="0" w:color="auto"/>
            <w:right w:val="none" w:sz="0" w:space="0" w:color="auto"/>
          </w:divBdr>
          <w:divsChild>
            <w:div w:id="2022782829">
              <w:marLeft w:val="0"/>
              <w:marRight w:val="0"/>
              <w:marTop w:val="0"/>
              <w:marBottom w:val="0"/>
              <w:divBdr>
                <w:top w:val="none" w:sz="0" w:space="0" w:color="auto"/>
                <w:left w:val="none" w:sz="0" w:space="0" w:color="auto"/>
                <w:bottom w:val="none" w:sz="0" w:space="0" w:color="auto"/>
                <w:right w:val="none" w:sz="0" w:space="0" w:color="auto"/>
              </w:divBdr>
            </w:div>
          </w:divsChild>
        </w:div>
        <w:div w:id="1851867067">
          <w:marLeft w:val="0"/>
          <w:marRight w:val="0"/>
          <w:marTop w:val="0"/>
          <w:marBottom w:val="0"/>
          <w:divBdr>
            <w:top w:val="none" w:sz="0" w:space="0" w:color="auto"/>
            <w:left w:val="none" w:sz="0" w:space="0" w:color="auto"/>
            <w:bottom w:val="none" w:sz="0" w:space="0" w:color="auto"/>
            <w:right w:val="none" w:sz="0" w:space="0" w:color="auto"/>
          </w:divBdr>
          <w:divsChild>
            <w:div w:id="1027829083">
              <w:marLeft w:val="0"/>
              <w:marRight w:val="0"/>
              <w:marTop w:val="0"/>
              <w:marBottom w:val="0"/>
              <w:divBdr>
                <w:top w:val="none" w:sz="0" w:space="0" w:color="auto"/>
                <w:left w:val="none" w:sz="0" w:space="0" w:color="auto"/>
                <w:bottom w:val="none" w:sz="0" w:space="0" w:color="auto"/>
                <w:right w:val="none" w:sz="0" w:space="0" w:color="auto"/>
              </w:divBdr>
            </w:div>
          </w:divsChild>
        </w:div>
        <w:div w:id="1867980977">
          <w:marLeft w:val="0"/>
          <w:marRight w:val="0"/>
          <w:marTop w:val="0"/>
          <w:marBottom w:val="0"/>
          <w:divBdr>
            <w:top w:val="none" w:sz="0" w:space="0" w:color="auto"/>
            <w:left w:val="none" w:sz="0" w:space="0" w:color="auto"/>
            <w:bottom w:val="none" w:sz="0" w:space="0" w:color="auto"/>
            <w:right w:val="none" w:sz="0" w:space="0" w:color="auto"/>
          </w:divBdr>
          <w:divsChild>
            <w:div w:id="360015422">
              <w:marLeft w:val="0"/>
              <w:marRight w:val="0"/>
              <w:marTop w:val="0"/>
              <w:marBottom w:val="0"/>
              <w:divBdr>
                <w:top w:val="none" w:sz="0" w:space="0" w:color="auto"/>
                <w:left w:val="none" w:sz="0" w:space="0" w:color="auto"/>
                <w:bottom w:val="none" w:sz="0" w:space="0" w:color="auto"/>
                <w:right w:val="none" w:sz="0" w:space="0" w:color="auto"/>
              </w:divBdr>
            </w:div>
          </w:divsChild>
        </w:div>
        <w:div w:id="1877548195">
          <w:marLeft w:val="0"/>
          <w:marRight w:val="0"/>
          <w:marTop w:val="0"/>
          <w:marBottom w:val="0"/>
          <w:divBdr>
            <w:top w:val="none" w:sz="0" w:space="0" w:color="auto"/>
            <w:left w:val="none" w:sz="0" w:space="0" w:color="auto"/>
            <w:bottom w:val="none" w:sz="0" w:space="0" w:color="auto"/>
            <w:right w:val="none" w:sz="0" w:space="0" w:color="auto"/>
          </w:divBdr>
          <w:divsChild>
            <w:div w:id="1373385724">
              <w:marLeft w:val="0"/>
              <w:marRight w:val="0"/>
              <w:marTop w:val="0"/>
              <w:marBottom w:val="0"/>
              <w:divBdr>
                <w:top w:val="none" w:sz="0" w:space="0" w:color="auto"/>
                <w:left w:val="none" w:sz="0" w:space="0" w:color="auto"/>
                <w:bottom w:val="none" w:sz="0" w:space="0" w:color="auto"/>
                <w:right w:val="none" w:sz="0" w:space="0" w:color="auto"/>
              </w:divBdr>
            </w:div>
          </w:divsChild>
        </w:div>
        <w:div w:id="1946883008">
          <w:marLeft w:val="0"/>
          <w:marRight w:val="0"/>
          <w:marTop w:val="0"/>
          <w:marBottom w:val="0"/>
          <w:divBdr>
            <w:top w:val="none" w:sz="0" w:space="0" w:color="auto"/>
            <w:left w:val="none" w:sz="0" w:space="0" w:color="auto"/>
            <w:bottom w:val="none" w:sz="0" w:space="0" w:color="auto"/>
            <w:right w:val="none" w:sz="0" w:space="0" w:color="auto"/>
          </w:divBdr>
          <w:divsChild>
            <w:div w:id="667441518">
              <w:marLeft w:val="0"/>
              <w:marRight w:val="0"/>
              <w:marTop w:val="0"/>
              <w:marBottom w:val="0"/>
              <w:divBdr>
                <w:top w:val="none" w:sz="0" w:space="0" w:color="auto"/>
                <w:left w:val="none" w:sz="0" w:space="0" w:color="auto"/>
                <w:bottom w:val="none" w:sz="0" w:space="0" w:color="auto"/>
                <w:right w:val="none" w:sz="0" w:space="0" w:color="auto"/>
              </w:divBdr>
            </w:div>
          </w:divsChild>
        </w:div>
        <w:div w:id="1995407358">
          <w:marLeft w:val="0"/>
          <w:marRight w:val="0"/>
          <w:marTop w:val="0"/>
          <w:marBottom w:val="0"/>
          <w:divBdr>
            <w:top w:val="none" w:sz="0" w:space="0" w:color="auto"/>
            <w:left w:val="none" w:sz="0" w:space="0" w:color="auto"/>
            <w:bottom w:val="none" w:sz="0" w:space="0" w:color="auto"/>
            <w:right w:val="none" w:sz="0" w:space="0" w:color="auto"/>
          </w:divBdr>
          <w:divsChild>
            <w:div w:id="328144527">
              <w:marLeft w:val="0"/>
              <w:marRight w:val="0"/>
              <w:marTop w:val="0"/>
              <w:marBottom w:val="0"/>
              <w:divBdr>
                <w:top w:val="none" w:sz="0" w:space="0" w:color="auto"/>
                <w:left w:val="none" w:sz="0" w:space="0" w:color="auto"/>
                <w:bottom w:val="none" w:sz="0" w:space="0" w:color="auto"/>
                <w:right w:val="none" w:sz="0" w:space="0" w:color="auto"/>
              </w:divBdr>
            </w:div>
          </w:divsChild>
        </w:div>
        <w:div w:id="2045979165">
          <w:marLeft w:val="0"/>
          <w:marRight w:val="0"/>
          <w:marTop w:val="0"/>
          <w:marBottom w:val="0"/>
          <w:divBdr>
            <w:top w:val="none" w:sz="0" w:space="0" w:color="auto"/>
            <w:left w:val="none" w:sz="0" w:space="0" w:color="auto"/>
            <w:bottom w:val="none" w:sz="0" w:space="0" w:color="auto"/>
            <w:right w:val="none" w:sz="0" w:space="0" w:color="auto"/>
          </w:divBdr>
          <w:divsChild>
            <w:div w:id="1505701364">
              <w:marLeft w:val="0"/>
              <w:marRight w:val="0"/>
              <w:marTop w:val="0"/>
              <w:marBottom w:val="0"/>
              <w:divBdr>
                <w:top w:val="none" w:sz="0" w:space="0" w:color="auto"/>
                <w:left w:val="none" w:sz="0" w:space="0" w:color="auto"/>
                <w:bottom w:val="none" w:sz="0" w:space="0" w:color="auto"/>
                <w:right w:val="none" w:sz="0" w:space="0" w:color="auto"/>
              </w:divBdr>
            </w:div>
          </w:divsChild>
        </w:div>
        <w:div w:id="2123529302">
          <w:marLeft w:val="0"/>
          <w:marRight w:val="0"/>
          <w:marTop w:val="0"/>
          <w:marBottom w:val="0"/>
          <w:divBdr>
            <w:top w:val="none" w:sz="0" w:space="0" w:color="auto"/>
            <w:left w:val="none" w:sz="0" w:space="0" w:color="auto"/>
            <w:bottom w:val="none" w:sz="0" w:space="0" w:color="auto"/>
            <w:right w:val="none" w:sz="0" w:space="0" w:color="auto"/>
          </w:divBdr>
          <w:divsChild>
            <w:div w:id="287129399">
              <w:marLeft w:val="0"/>
              <w:marRight w:val="0"/>
              <w:marTop w:val="0"/>
              <w:marBottom w:val="0"/>
              <w:divBdr>
                <w:top w:val="none" w:sz="0" w:space="0" w:color="auto"/>
                <w:left w:val="none" w:sz="0" w:space="0" w:color="auto"/>
                <w:bottom w:val="none" w:sz="0" w:space="0" w:color="auto"/>
                <w:right w:val="none" w:sz="0" w:space="0" w:color="auto"/>
              </w:divBdr>
            </w:div>
            <w:div w:id="963272867">
              <w:marLeft w:val="0"/>
              <w:marRight w:val="0"/>
              <w:marTop w:val="0"/>
              <w:marBottom w:val="0"/>
              <w:divBdr>
                <w:top w:val="none" w:sz="0" w:space="0" w:color="auto"/>
                <w:left w:val="none" w:sz="0" w:space="0" w:color="auto"/>
                <w:bottom w:val="none" w:sz="0" w:space="0" w:color="auto"/>
                <w:right w:val="none" w:sz="0" w:space="0" w:color="auto"/>
              </w:divBdr>
            </w:div>
          </w:divsChild>
        </w:div>
        <w:div w:id="2130279387">
          <w:marLeft w:val="0"/>
          <w:marRight w:val="0"/>
          <w:marTop w:val="0"/>
          <w:marBottom w:val="0"/>
          <w:divBdr>
            <w:top w:val="none" w:sz="0" w:space="0" w:color="auto"/>
            <w:left w:val="none" w:sz="0" w:space="0" w:color="auto"/>
            <w:bottom w:val="none" w:sz="0" w:space="0" w:color="auto"/>
            <w:right w:val="none" w:sz="0" w:space="0" w:color="auto"/>
          </w:divBdr>
          <w:divsChild>
            <w:div w:id="137299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838894">
      <w:bodyDiv w:val="1"/>
      <w:marLeft w:val="0"/>
      <w:marRight w:val="0"/>
      <w:marTop w:val="0"/>
      <w:marBottom w:val="0"/>
      <w:divBdr>
        <w:top w:val="none" w:sz="0" w:space="0" w:color="auto"/>
        <w:left w:val="none" w:sz="0" w:space="0" w:color="auto"/>
        <w:bottom w:val="none" w:sz="0" w:space="0" w:color="auto"/>
        <w:right w:val="none" w:sz="0" w:space="0" w:color="auto"/>
      </w:divBdr>
      <w:divsChild>
        <w:div w:id="14188428">
          <w:marLeft w:val="0"/>
          <w:marRight w:val="0"/>
          <w:marTop w:val="0"/>
          <w:marBottom w:val="0"/>
          <w:divBdr>
            <w:top w:val="none" w:sz="0" w:space="0" w:color="auto"/>
            <w:left w:val="none" w:sz="0" w:space="0" w:color="auto"/>
            <w:bottom w:val="none" w:sz="0" w:space="0" w:color="auto"/>
            <w:right w:val="none" w:sz="0" w:space="0" w:color="auto"/>
          </w:divBdr>
          <w:divsChild>
            <w:div w:id="1364474851">
              <w:marLeft w:val="0"/>
              <w:marRight w:val="0"/>
              <w:marTop w:val="0"/>
              <w:marBottom w:val="0"/>
              <w:divBdr>
                <w:top w:val="none" w:sz="0" w:space="0" w:color="auto"/>
                <w:left w:val="none" w:sz="0" w:space="0" w:color="auto"/>
                <w:bottom w:val="none" w:sz="0" w:space="0" w:color="auto"/>
                <w:right w:val="none" w:sz="0" w:space="0" w:color="auto"/>
              </w:divBdr>
            </w:div>
          </w:divsChild>
        </w:div>
        <w:div w:id="25837901">
          <w:marLeft w:val="0"/>
          <w:marRight w:val="0"/>
          <w:marTop w:val="0"/>
          <w:marBottom w:val="0"/>
          <w:divBdr>
            <w:top w:val="none" w:sz="0" w:space="0" w:color="auto"/>
            <w:left w:val="none" w:sz="0" w:space="0" w:color="auto"/>
            <w:bottom w:val="none" w:sz="0" w:space="0" w:color="auto"/>
            <w:right w:val="none" w:sz="0" w:space="0" w:color="auto"/>
          </w:divBdr>
          <w:divsChild>
            <w:div w:id="1460876318">
              <w:marLeft w:val="0"/>
              <w:marRight w:val="0"/>
              <w:marTop w:val="0"/>
              <w:marBottom w:val="0"/>
              <w:divBdr>
                <w:top w:val="none" w:sz="0" w:space="0" w:color="auto"/>
                <w:left w:val="none" w:sz="0" w:space="0" w:color="auto"/>
                <w:bottom w:val="none" w:sz="0" w:space="0" w:color="auto"/>
                <w:right w:val="none" w:sz="0" w:space="0" w:color="auto"/>
              </w:divBdr>
            </w:div>
          </w:divsChild>
        </w:div>
        <w:div w:id="26807197">
          <w:marLeft w:val="0"/>
          <w:marRight w:val="0"/>
          <w:marTop w:val="0"/>
          <w:marBottom w:val="0"/>
          <w:divBdr>
            <w:top w:val="none" w:sz="0" w:space="0" w:color="auto"/>
            <w:left w:val="none" w:sz="0" w:space="0" w:color="auto"/>
            <w:bottom w:val="none" w:sz="0" w:space="0" w:color="auto"/>
            <w:right w:val="none" w:sz="0" w:space="0" w:color="auto"/>
          </w:divBdr>
          <w:divsChild>
            <w:div w:id="1783724994">
              <w:marLeft w:val="0"/>
              <w:marRight w:val="0"/>
              <w:marTop w:val="0"/>
              <w:marBottom w:val="0"/>
              <w:divBdr>
                <w:top w:val="none" w:sz="0" w:space="0" w:color="auto"/>
                <w:left w:val="none" w:sz="0" w:space="0" w:color="auto"/>
                <w:bottom w:val="none" w:sz="0" w:space="0" w:color="auto"/>
                <w:right w:val="none" w:sz="0" w:space="0" w:color="auto"/>
              </w:divBdr>
            </w:div>
          </w:divsChild>
        </w:div>
        <w:div w:id="30227483">
          <w:marLeft w:val="0"/>
          <w:marRight w:val="0"/>
          <w:marTop w:val="0"/>
          <w:marBottom w:val="0"/>
          <w:divBdr>
            <w:top w:val="none" w:sz="0" w:space="0" w:color="auto"/>
            <w:left w:val="none" w:sz="0" w:space="0" w:color="auto"/>
            <w:bottom w:val="none" w:sz="0" w:space="0" w:color="auto"/>
            <w:right w:val="none" w:sz="0" w:space="0" w:color="auto"/>
          </w:divBdr>
          <w:divsChild>
            <w:div w:id="1613321645">
              <w:marLeft w:val="0"/>
              <w:marRight w:val="0"/>
              <w:marTop w:val="0"/>
              <w:marBottom w:val="0"/>
              <w:divBdr>
                <w:top w:val="none" w:sz="0" w:space="0" w:color="auto"/>
                <w:left w:val="none" w:sz="0" w:space="0" w:color="auto"/>
                <w:bottom w:val="none" w:sz="0" w:space="0" w:color="auto"/>
                <w:right w:val="none" w:sz="0" w:space="0" w:color="auto"/>
              </w:divBdr>
            </w:div>
          </w:divsChild>
        </w:div>
        <w:div w:id="115028041">
          <w:marLeft w:val="0"/>
          <w:marRight w:val="0"/>
          <w:marTop w:val="0"/>
          <w:marBottom w:val="0"/>
          <w:divBdr>
            <w:top w:val="none" w:sz="0" w:space="0" w:color="auto"/>
            <w:left w:val="none" w:sz="0" w:space="0" w:color="auto"/>
            <w:bottom w:val="none" w:sz="0" w:space="0" w:color="auto"/>
            <w:right w:val="none" w:sz="0" w:space="0" w:color="auto"/>
          </w:divBdr>
          <w:divsChild>
            <w:div w:id="916600129">
              <w:marLeft w:val="0"/>
              <w:marRight w:val="0"/>
              <w:marTop w:val="0"/>
              <w:marBottom w:val="0"/>
              <w:divBdr>
                <w:top w:val="none" w:sz="0" w:space="0" w:color="auto"/>
                <w:left w:val="none" w:sz="0" w:space="0" w:color="auto"/>
                <w:bottom w:val="none" w:sz="0" w:space="0" w:color="auto"/>
                <w:right w:val="none" w:sz="0" w:space="0" w:color="auto"/>
              </w:divBdr>
            </w:div>
          </w:divsChild>
        </w:div>
        <w:div w:id="129713754">
          <w:marLeft w:val="0"/>
          <w:marRight w:val="0"/>
          <w:marTop w:val="0"/>
          <w:marBottom w:val="0"/>
          <w:divBdr>
            <w:top w:val="none" w:sz="0" w:space="0" w:color="auto"/>
            <w:left w:val="none" w:sz="0" w:space="0" w:color="auto"/>
            <w:bottom w:val="none" w:sz="0" w:space="0" w:color="auto"/>
            <w:right w:val="none" w:sz="0" w:space="0" w:color="auto"/>
          </w:divBdr>
          <w:divsChild>
            <w:div w:id="2076319409">
              <w:marLeft w:val="0"/>
              <w:marRight w:val="0"/>
              <w:marTop w:val="0"/>
              <w:marBottom w:val="0"/>
              <w:divBdr>
                <w:top w:val="none" w:sz="0" w:space="0" w:color="auto"/>
                <w:left w:val="none" w:sz="0" w:space="0" w:color="auto"/>
                <w:bottom w:val="none" w:sz="0" w:space="0" w:color="auto"/>
                <w:right w:val="none" w:sz="0" w:space="0" w:color="auto"/>
              </w:divBdr>
            </w:div>
          </w:divsChild>
        </w:div>
        <w:div w:id="187763156">
          <w:marLeft w:val="0"/>
          <w:marRight w:val="0"/>
          <w:marTop w:val="0"/>
          <w:marBottom w:val="0"/>
          <w:divBdr>
            <w:top w:val="none" w:sz="0" w:space="0" w:color="auto"/>
            <w:left w:val="none" w:sz="0" w:space="0" w:color="auto"/>
            <w:bottom w:val="none" w:sz="0" w:space="0" w:color="auto"/>
            <w:right w:val="none" w:sz="0" w:space="0" w:color="auto"/>
          </w:divBdr>
          <w:divsChild>
            <w:div w:id="1844389571">
              <w:marLeft w:val="0"/>
              <w:marRight w:val="0"/>
              <w:marTop w:val="0"/>
              <w:marBottom w:val="0"/>
              <w:divBdr>
                <w:top w:val="none" w:sz="0" w:space="0" w:color="auto"/>
                <w:left w:val="none" w:sz="0" w:space="0" w:color="auto"/>
                <w:bottom w:val="none" w:sz="0" w:space="0" w:color="auto"/>
                <w:right w:val="none" w:sz="0" w:space="0" w:color="auto"/>
              </w:divBdr>
            </w:div>
          </w:divsChild>
        </w:div>
        <w:div w:id="197863483">
          <w:marLeft w:val="0"/>
          <w:marRight w:val="0"/>
          <w:marTop w:val="0"/>
          <w:marBottom w:val="0"/>
          <w:divBdr>
            <w:top w:val="none" w:sz="0" w:space="0" w:color="auto"/>
            <w:left w:val="none" w:sz="0" w:space="0" w:color="auto"/>
            <w:bottom w:val="none" w:sz="0" w:space="0" w:color="auto"/>
            <w:right w:val="none" w:sz="0" w:space="0" w:color="auto"/>
          </w:divBdr>
          <w:divsChild>
            <w:div w:id="851643813">
              <w:marLeft w:val="0"/>
              <w:marRight w:val="0"/>
              <w:marTop w:val="0"/>
              <w:marBottom w:val="0"/>
              <w:divBdr>
                <w:top w:val="none" w:sz="0" w:space="0" w:color="auto"/>
                <w:left w:val="none" w:sz="0" w:space="0" w:color="auto"/>
                <w:bottom w:val="none" w:sz="0" w:space="0" w:color="auto"/>
                <w:right w:val="none" w:sz="0" w:space="0" w:color="auto"/>
              </w:divBdr>
            </w:div>
          </w:divsChild>
        </w:div>
        <w:div w:id="223150821">
          <w:marLeft w:val="0"/>
          <w:marRight w:val="0"/>
          <w:marTop w:val="0"/>
          <w:marBottom w:val="0"/>
          <w:divBdr>
            <w:top w:val="none" w:sz="0" w:space="0" w:color="auto"/>
            <w:left w:val="none" w:sz="0" w:space="0" w:color="auto"/>
            <w:bottom w:val="none" w:sz="0" w:space="0" w:color="auto"/>
            <w:right w:val="none" w:sz="0" w:space="0" w:color="auto"/>
          </w:divBdr>
          <w:divsChild>
            <w:div w:id="822621668">
              <w:marLeft w:val="0"/>
              <w:marRight w:val="0"/>
              <w:marTop w:val="0"/>
              <w:marBottom w:val="0"/>
              <w:divBdr>
                <w:top w:val="none" w:sz="0" w:space="0" w:color="auto"/>
                <w:left w:val="none" w:sz="0" w:space="0" w:color="auto"/>
                <w:bottom w:val="none" w:sz="0" w:space="0" w:color="auto"/>
                <w:right w:val="none" w:sz="0" w:space="0" w:color="auto"/>
              </w:divBdr>
            </w:div>
          </w:divsChild>
        </w:div>
        <w:div w:id="226066130">
          <w:marLeft w:val="0"/>
          <w:marRight w:val="0"/>
          <w:marTop w:val="0"/>
          <w:marBottom w:val="0"/>
          <w:divBdr>
            <w:top w:val="none" w:sz="0" w:space="0" w:color="auto"/>
            <w:left w:val="none" w:sz="0" w:space="0" w:color="auto"/>
            <w:bottom w:val="none" w:sz="0" w:space="0" w:color="auto"/>
            <w:right w:val="none" w:sz="0" w:space="0" w:color="auto"/>
          </w:divBdr>
          <w:divsChild>
            <w:div w:id="692532231">
              <w:marLeft w:val="0"/>
              <w:marRight w:val="0"/>
              <w:marTop w:val="0"/>
              <w:marBottom w:val="0"/>
              <w:divBdr>
                <w:top w:val="none" w:sz="0" w:space="0" w:color="auto"/>
                <w:left w:val="none" w:sz="0" w:space="0" w:color="auto"/>
                <w:bottom w:val="none" w:sz="0" w:space="0" w:color="auto"/>
                <w:right w:val="none" w:sz="0" w:space="0" w:color="auto"/>
              </w:divBdr>
            </w:div>
          </w:divsChild>
        </w:div>
        <w:div w:id="275019365">
          <w:marLeft w:val="0"/>
          <w:marRight w:val="0"/>
          <w:marTop w:val="0"/>
          <w:marBottom w:val="0"/>
          <w:divBdr>
            <w:top w:val="none" w:sz="0" w:space="0" w:color="auto"/>
            <w:left w:val="none" w:sz="0" w:space="0" w:color="auto"/>
            <w:bottom w:val="none" w:sz="0" w:space="0" w:color="auto"/>
            <w:right w:val="none" w:sz="0" w:space="0" w:color="auto"/>
          </w:divBdr>
          <w:divsChild>
            <w:div w:id="1029335808">
              <w:marLeft w:val="0"/>
              <w:marRight w:val="0"/>
              <w:marTop w:val="0"/>
              <w:marBottom w:val="0"/>
              <w:divBdr>
                <w:top w:val="none" w:sz="0" w:space="0" w:color="auto"/>
                <w:left w:val="none" w:sz="0" w:space="0" w:color="auto"/>
                <w:bottom w:val="none" w:sz="0" w:space="0" w:color="auto"/>
                <w:right w:val="none" w:sz="0" w:space="0" w:color="auto"/>
              </w:divBdr>
            </w:div>
          </w:divsChild>
        </w:div>
        <w:div w:id="329716398">
          <w:marLeft w:val="0"/>
          <w:marRight w:val="0"/>
          <w:marTop w:val="0"/>
          <w:marBottom w:val="0"/>
          <w:divBdr>
            <w:top w:val="none" w:sz="0" w:space="0" w:color="auto"/>
            <w:left w:val="none" w:sz="0" w:space="0" w:color="auto"/>
            <w:bottom w:val="none" w:sz="0" w:space="0" w:color="auto"/>
            <w:right w:val="none" w:sz="0" w:space="0" w:color="auto"/>
          </w:divBdr>
          <w:divsChild>
            <w:div w:id="534192077">
              <w:marLeft w:val="0"/>
              <w:marRight w:val="0"/>
              <w:marTop w:val="0"/>
              <w:marBottom w:val="0"/>
              <w:divBdr>
                <w:top w:val="none" w:sz="0" w:space="0" w:color="auto"/>
                <w:left w:val="none" w:sz="0" w:space="0" w:color="auto"/>
                <w:bottom w:val="none" w:sz="0" w:space="0" w:color="auto"/>
                <w:right w:val="none" w:sz="0" w:space="0" w:color="auto"/>
              </w:divBdr>
            </w:div>
          </w:divsChild>
        </w:div>
        <w:div w:id="359010203">
          <w:marLeft w:val="0"/>
          <w:marRight w:val="0"/>
          <w:marTop w:val="0"/>
          <w:marBottom w:val="0"/>
          <w:divBdr>
            <w:top w:val="none" w:sz="0" w:space="0" w:color="auto"/>
            <w:left w:val="none" w:sz="0" w:space="0" w:color="auto"/>
            <w:bottom w:val="none" w:sz="0" w:space="0" w:color="auto"/>
            <w:right w:val="none" w:sz="0" w:space="0" w:color="auto"/>
          </w:divBdr>
          <w:divsChild>
            <w:div w:id="488598840">
              <w:marLeft w:val="0"/>
              <w:marRight w:val="0"/>
              <w:marTop w:val="0"/>
              <w:marBottom w:val="0"/>
              <w:divBdr>
                <w:top w:val="none" w:sz="0" w:space="0" w:color="auto"/>
                <w:left w:val="none" w:sz="0" w:space="0" w:color="auto"/>
                <w:bottom w:val="none" w:sz="0" w:space="0" w:color="auto"/>
                <w:right w:val="none" w:sz="0" w:space="0" w:color="auto"/>
              </w:divBdr>
            </w:div>
          </w:divsChild>
        </w:div>
        <w:div w:id="364520068">
          <w:marLeft w:val="0"/>
          <w:marRight w:val="0"/>
          <w:marTop w:val="0"/>
          <w:marBottom w:val="0"/>
          <w:divBdr>
            <w:top w:val="none" w:sz="0" w:space="0" w:color="auto"/>
            <w:left w:val="none" w:sz="0" w:space="0" w:color="auto"/>
            <w:bottom w:val="none" w:sz="0" w:space="0" w:color="auto"/>
            <w:right w:val="none" w:sz="0" w:space="0" w:color="auto"/>
          </w:divBdr>
          <w:divsChild>
            <w:div w:id="1655915422">
              <w:marLeft w:val="0"/>
              <w:marRight w:val="0"/>
              <w:marTop w:val="0"/>
              <w:marBottom w:val="0"/>
              <w:divBdr>
                <w:top w:val="none" w:sz="0" w:space="0" w:color="auto"/>
                <w:left w:val="none" w:sz="0" w:space="0" w:color="auto"/>
                <w:bottom w:val="none" w:sz="0" w:space="0" w:color="auto"/>
                <w:right w:val="none" w:sz="0" w:space="0" w:color="auto"/>
              </w:divBdr>
            </w:div>
          </w:divsChild>
        </w:div>
        <w:div w:id="364840341">
          <w:marLeft w:val="0"/>
          <w:marRight w:val="0"/>
          <w:marTop w:val="0"/>
          <w:marBottom w:val="0"/>
          <w:divBdr>
            <w:top w:val="none" w:sz="0" w:space="0" w:color="auto"/>
            <w:left w:val="none" w:sz="0" w:space="0" w:color="auto"/>
            <w:bottom w:val="none" w:sz="0" w:space="0" w:color="auto"/>
            <w:right w:val="none" w:sz="0" w:space="0" w:color="auto"/>
          </w:divBdr>
          <w:divsChild>
            <w:div w:id="269553932">
              <w:marLeft w:val="0"/>
              <w:marRight w:val="0"/>
              <w:marTop w:val="0"/>
              <w:marBottom w:val="0"/>
              <w:divBdr>
                <w:top w:val="none" w:sz="0" w:space="0" w:color="auto"/>
                <w:left w:val="none" w:sz="0" w:space="0" w:color="auto"/>
                <w:bottom w:val="none" w:sz="0" w:space="0" w:color="auto"/>
                <w:right w:val="none" w:sz="0" w:space="0" w:color="auto"/>
              </w:divBdr>
            </w:div>
          </w:divsChild>
        </w:div>
        <w:div w:id="391848320">
          <w:marLeft w:val="0"/>
          <w:marRight w:val="0"/>
          <w:marTop w:val="0"/>
          <w:marBottom w:val="0"/>
          <w:divBdr>
            <w:top w:val="none" w:sz="0" w:space="0" w:color="auto"/>
            <w:left w:val="none" w:sz="0" w:space="0" w:color="auto"/>
            <w:bottom w:val="none" w:sz="0" w:space="0" w:color="auto"/>
            <w:right w:val="none" w:sz="0" w:space="0" w:color="auto"/>
          </w:divBdr>
          <w:divsChild>
            <w:div w:id="189610749">
              <w:marLeft w:val="0"/>
              <w:marRight w:val="0"/>
              <w:marTop w:val="0"/>
              <w:marBottom w:val="0"/>
              <w:divBdr>
                <w:top w:val="none" w:sz="0" w:space="0" w:color="auto"/>
                <w:left w:val="none" w:sz="0" w:space="0" w:color="auto"/>
                <w:bottom w:val="none" w:sz="0" w:space="0" w:color="auto"/>
                <w:right w:val="none" w:sz="0" w:space="0" w:color="auto"/>
              </w:divBdr>
            </w:div>
          </w:divsChild>
        </w:div>
        <w:div w:id="428740841">
          <w:marLeft w:val="0"/>
          <w:marRight w:val="0"/>
          <w:marTop w:val="0"/>
          <w:marBottom w:val="0"/>
          <w:divBdr>
            <w:top w:val="none" w:sz="0" w:space="0" w:color="auto"/>
            <w:left w:val="none" w:sz="0" w:space="0" w:color="auto"/>
            <w:bottom w:val="none" w:sz="0" w:space="0" w:color="auto"/>
            <w:right w:val="none" w:sz="0" w:space="0" w:color="auto"/>
          </w:divBdr>
          <w:divsChild>
            <w:div w:id="1587416159">
              <w:marLeft w:val="0"/>
              <w:marRight w:val="0"/>
              <w:marTop w:val="0"/>
              <w:marBottom w:val="0"/>
              <w:divBdr>
                <w:top w:val="none" w:sz="0" w:space="0" w:color="auto"/>
                <w:left w:val="none" w:sz="0" w:space="0" w:color="auto"/>
                <w:bottom w:val="none" w:sz="0" w:space="0" w:color="auto"/>
                <w:right w:val="none" w:sz="0" w:space="0" w:color="auto"/>
              </w:divBdr>
            </w:div>
          </w:divsChild>
        </w:div>
        <w:div w:id="468058982">
          <w:marLeft w:val="0"/>
          <w:marRight w:val="0"/>
          <w:marTop w:val="0"/>
          <w:marBottom w:val="0"/>
          <w:divBdr>
            <w:top w:val="none" w:sz="0" w:space="0" w:color="auto"/>
            <w:left w:val="none" w:sz="0" w:space="0" w:color="auto"/>
            <w:bottom w:val="none" w:sz="0" w:space="0" w:color="auto"/>
            <w:right w:val="none" w:sz="0" w:space="0" w:color="auto"/>
          </w:divBdr>
          <w:divsChild>
            <w:div w:id="1717853308">
              <w:marLeft w:val="0"/>
              <w:marRight w:val="0"/>
              <w:marTop w:val="0"/>
              <w:marBottom w:val="0"/>
              <w:divBdr>
                <w:top w:val="none" w:sz="0" w:space="0" w:color="auto"/>
                <w:left w:val="none" w:sz="0" w:space="0" w:color="auto"/>
                <w:bottom w:val="none" w:sz="0" w:space="0" w:color="auto"/>
                <w:right w:val="none" w:sz="0" w:space="0" w:color="auto"/>
              </w:divBdr>
            </w:div>
          </w:divsChild>
        </w:div>
        <w:div w:id="479271184">
          <w:marLeft w:val="0"/>
          <w:marRight w:val="0"/>
          <w:marTop w:val="0"/>
          <w:marBottom w:val="0"/>
          <w:divBdr>
            <w:top w:val="none" w:sz="0" w:space="0" w:color="auto"/>
            <w:left w:val="none" w:sz="0" w:space="0" w:color="auto"/>
            <w:bottom w:val="none" w:sz="0" w:space="0" w:color="auto"/>
            <w:right w:val="none" w:sz="0" w:space="0" w:color="auto"/>
          </w:divBdr>
          <w:divsChild>
            <w:div w:id="1294562476">
              <w:marLeft w:val="0"/>
              <w:marRight w:val="0"/>
              <w:marTop w:val="0"/>
              <w:marBottom w:val="0"/>
              <w:divBdr>
                <w:top w:val="none" w:sz="0" w:space="0" w:color="auto"/>
                <w:left w:val="none" w:sz="0" w:space="0" w:color="auto"/>
                <w:bottom w:val="none" w:sz="0" w:space="0" w:color="auto"/>
                <w:right w:val="none" w:sz="0" w:space="0" w:color="auto"/>
              </w:divBdr>
            </w:div>
          </w:divsChild>
        </w:div>
        <w:div w:id="479807497">
          <w:marLeft w:val="0"/>
          <w:marRight w:val="0"/>
          <w:marTop w:val="0"/>
          <w:marBottom w:val="0"/>
          <w:divBdr>
            <w:top w:val="none" w:sz="0" w:space="0" w:color="auto"/>
            <w:left w:val="none" w:sz="0" w:space="0" w:color="auto"/>
            <w:bottom w:val="none" w:sz="0" w:space="0" w:color="auto"/>
            <w:right w:val="none" w:sz="0" w:space="0" w:color="auto"/>
          </w:divBdr>
          <w:divsChild>
            <w:div w:id="1412702227">
              <w:marLeft w:val="0"/>
              <w:marRight w:val="0"/>
              <w:marTop w:val="0"/>
              <w:marBottom w:val="0"/>
              <w:divBdr>
                <w:top w:val="none" w:sz="0" w:space="0" w:color="auto"/>
                <w:left w:val="none" w:sz="0" w:space="0" w:color="auto"/>
                <w:bottom w:val="none" w:sz="0" w:space="0" w:color="auto"/>
                <w:right w:val="none" w:sz="0" w:space="0" w:color="auto"/>
              </w:divBdr>
            </w:div>
          </w:divsChild>
        </w:div>
        <w:div w:id="502624932">
          <w:marLeft w:val="0"/>
          <w:marRight w:val="0"/>
          <w:marTop w:val="0"/>
          <w:marBottom w:val="0"/>
          <w:divBdr>
            <w:top w:val="none" w:sz="0" w:space="0" w:color="auto"/>
            <w:left w:val="none" w:sz="0" w:space="0" w:color="auto"/>
            <w:bottom w:val="none" w:sz="0" w:space="0" w:color="auto"/>
            <w:right w:val="none" w:sz="0" w:space="0" w:color="auto"/>
          </w:divBdr>
          <w:divsChild>
            <w:div w:id="1867283585">
              <w:marLeft w:val="0"/>
              <w:marRight w:val="0"/>
              <w:marTop w:val="0"/>
              <w:marBottom w:val="0"/>
              <w:divBdr>
                <w:top w:val="none" w:sz="0" w:space="0" w:color="auto"/>
                <w:left w:val="none" w:sz="0" w:space="0" w:color="auto"/>
                <w:bottom w:val="none" w:sz="0" w:space="0" w:color="auto"/>
                <w:right w:val="none" w:sz="0" w:space="0" w:color="auto"/>
              </w:divBdr>
            </w:div>
          </w:divsChild>
        </w:div>
        <w:div w:id="534387833">
          <w:marLeft w:val="0"/>
          <w:marRight w:val="0"/>
          <w:marTop w:val="0"/>
          <w:marBottom w:val="0"/>
          <w:divBdr>
            <w:top w:val="none" w:sz="0" w:space="0" w:color="auto"/>
            <w:left w:val="none" w:sz="0" w:space="0" w:color="auto"/>
            <w:bottom w:val="none" w:sz="0" w:space="0" w:color="auto"/>
            <w:right w:val="none" w:sz="0" w:space="0" w:color="auto"/>
          </w:divBdr>
          <w:divsChild>
            <w:div w:id="627249511">
              <w:marLeft w:val="0"/>
              <w:marRight w:val="0"/>
              <w:marTop w:val="0"/>
              <w:marBottom w:val="0"/>
              <w:divBdr>
                <w:top w:val="none" w:sz="0" w:space="0" w:color="auto"/>
                <w:left w:val="none" w:sz="0" w:space="0" w:color="auto"/>
                <w:bottom w:val="none" w:sz="0" w:space="0" w:color="auto"/>
                <w:right w:val="none" w:sz="0" w:space="0" w:color="auto"/>
              </w:divBdr>
            </w:div>
          </w:divsChild>
        </w:div>
        <w:div w:id="566378704">
          <w:marLeft w:val="0"/>
          <w:marRight w:val="0"/>
          <w:marTop w:val="0"/>
          <w:marBottom w:val="0"/>
          <w:divBdr>
            <w:top w:val="none" w:sz="0" w:space="0" w:color="auto"/>
            <w:left w:val="none" w:sz="0" w:space="0" w:color="auto"/>
            <w:bottom w:val="none" w:sz="0" w:space="0" w:color="auto"/>
            <w:right w:val="none" w:sz="0" w:space="0" w:color="auto"/>
          </w:divBdr>
          <w:divsChild>
            <w:div w:id="817503195">
              <w:marLeft w:val="0"/>
              <w:marRight w:val="0"/>
              <w:marTop w:val="0"/>
              <w:marBottom w:val="0"/>
              <w:divBdr>
                <w:top w:val="none" w:sz="0" w:space="0" w:color="auto"/>
                <w:left w:val="none" w:sz="0" w:space="0" w:color="auto"/>
                <w:bottom w:val="none" w:sz="0" w:space="0" w:color="auto"/>
                <w:right w:val="none" w:sz="0" w:space="0" w:color="auto"/>
              </w:divBdr>
            </w:div>
          </w:divsChild>
        </w:div>
        <w:div w:id="650331344">
          <w:marLeft w:val="0"/>
          <w:marRight w:val="0"/>
          <w:marTop w:val="0"/>
          <w:marBottom w:val="0"/>
          <w:divBdr>
            <w:top w:val="none" w:sz="0" w:space="0" w:color="auto"/>
            <w:left w:val="none" w:sz="0" w:space="0" w:color="auto"/>
            <w:bottom w:val="none" w:sz="0" w:space="0" w:color="auto"/>
            <w:right w:val="none" w:sz="0" w:space="0" w:color="auto"/>
          </w:divBdr>
          <w:divsChild>
            <w:div w:id="516845653">
              <w:marLeft w:val="0"/>
              <w:marRight w:val="0"/>
              <w:marTop w:val="0"/>
              <w:marBottom w:val="0"/>
              <w:divBdr>
                <w:top w:val="none" w:sz="0" w:space="0" w:color="auto"/>
                <w:left w:val="none" w:sz="0" w:space="0" w:color="auto"/>
                <w:bottom w:val="none" w:sz="0" w:space="0" w:color="auto"/>
                <w:right w:val="none" w:sz="0" w:space="0" w:color="auto"/>
              </w:divBdr>
            </w:div>
            <w:div w:id="2086417352">
              <w:marLeft w:val="0"/>
              <w:marRight w:val="0"/>
              <w:marTop w:val="0"/>
              <w:marBottom w:val="0"/>
              <w:divBdr>
                <w:top w:val="none" w:sz="0" w:space="0" w:color="auto"/>
                <w:left w:val="none" w:sz="0" w:space="0" w:color="auto"/>
                <w:bottom w:val="none" w:sz="0" w:space="0" w:color="auto"/>
                <w:right w:val="none" w:sz="0" w:space="0" w:color="auto"/>
              </w:divBdr>
            </w:div>
          </w:divsChild>
        </w:div>
        <w:div w:id="697391393">
          <w:marLeft w:val="0"/>
          <w:marRight w:val="0"/>
          <w:marTop w:val="0"/>
          <w:marBottom w:val="0"/>
          <w:divBdr>
            <w:top w:val="none" w:sz="0" w:space="0" w:color="auto"/>
            <w:left w:val="none" w:sz="0" w:space="0" w:color="auto"/>
            <w:bottom w:val="none" w:sz="0" w:space="0" w:color="auto"/>
            <w:right w:val="none" w:sz="0" w:space="0" w:color="auto"/>
          </w:divBdr>
          <w:divsChild>
            <w:div w:id="1217861324">
              <w:marLeft w:val="0"/>
              <w:marRight w:val="0"/>
              <w:marTop w:val="0"/>
              <w:marBottom w:val="0"/>
              <w:divBdr>
                <w:top w:val="none" w:sz="0" w:space="0" w:color="auto"/>
                <w:left w:val="none" w:sz="0" w:space="0" w:color="auto"/>
                <w:bottom w:val="none" w:sz="0" w:space="0" w:color="auto"/>
                <w:right w:val="none" w:sz="0" w:space="0" w:color="auto"/>
              </w:divBdr>
            </w:div>
          </w:divsChild>
        </w:div>
        <w:div w:id="717512371">
          <w:marLeft w:val="0"/>
          <w:marRight w:val="0"/>
          <w:marTop w:val="0"/>
          <w:marBottom w:val="0"/>
          <w:divBdr>
            <w:top w:val="none" w:sz="0" w:space="0" w:color="auto"/>
            <w:left w:val="none" w:sz="0" w:space="0" w:color="auto"/>
            <w:bottom w:val="none" w:sz="0" w:space="0" w:color="auto"/>
            <w:right w:val="none" w:sz="0" w:space="0" w:color="auto"/>
          </w:divBdr>
          <w:divsChild>
            <w:div w:id="2012366924">
              <w:marLeft w:val="0"/>
              <w:marRight w:val="0"/>
              <w:marTop w:val="0"/>
              <w:marBottom w:val="0"/>
              <w:divBdr>
                <w:top w:val="none" w:sz="0" w:space="0" w:color="auto"/>
                <w:left w:val="none" w:sz="0" w:space="0" w:color="auto"/>
                <w:bottom w:val="none" w:sz="0" w:space="0" w:color="auto"/>
                <w:right w:val="none" w:sz="0" w:space="0" w:color="auto"/>
              </w:divBdr>
            </w:div>
          </w:divsChild>
        </w:div>
        <w:div w:id="787703739">
          <w:marLeft w:val="0"/>
          <w:marRight w:val="0"/>
          <w:marTop w:val="0"/>
          <w:marBottom w:val="0"/>
          <w:divBdr>
            <w:top w:val="none" w:sz="0" w:space="0" w:color="auto"/>
            <w:left w:val="none" w:sz="0" w:space="0" w:color="auto"/>
            <w:bottom w:val="none" w:sz="0" w:space="0" w:color="auto"/>
            <w:right w:val="none" w:sz="0" w:space="0" w:color="auto"/>
          </w:divBdr>
          <w:divsChild>
            <w:div w:id="1200582101">
              <w:marLeft w:val="0"/>
              <w:marRight w:val="0"/>
              <w:marTop w:val="0"/>
              <w:marBottom w:val="0"/>
              <w:divBdr>
                <w:top w:val="none" w:sz="0" w:space="0" w:color="auto"/>
                <w:left w:val="none" w:sz="0" w:space="0" w:color="auto"/>
                <w:bottom w:val="none" w:sz="0" w:space="0" w:color="auto"/>
                <w:right w:val="none" w:sz="0" w:space="0" w:color="auto"/>
              </w:divBdr>
            </w:div>
          </w:divsChild>
        </w:div>
        <w:div w:id="858197183">
          <w:marLeft w:val="0"/>
          <w:marRight w:val="0"/>
          <w:marTop w:val="0"/>
          <w:marBottom w:val="0"/>
          <w:divBdr>
            <w:top w:val="none" w:sz="0" w:space="0" w:color="auto"/>
            <w:left w:val="none" w:sz="0" w:space="0" w:color="auto"/>
            <w:bottom w:val="none" w:sz="0" w:space="0" w:color="auto"/>
            <w:right w:val="none" w:sz="0" w:space="0" w:color="auto"/>
          </w:divBdr>
          <w:divsChild>
            <w:div w:id="686374791">
              <w:marLeft w:val="0"/>
              <w:marRight w:val="0"/>
              <w:marTop w:val="0"/>
              <w:marBottom w:val="0"/>
              <w:divBdr>
                <w:top w:val="none" w:sz="0" w:space="0" w:color="auto"/>
                <w:left w:val="none" w:sz="0" w:space="0" w:color="auto"/>
                <w:bottom w:val="none" w:sz="0" w:space="0" w:color="auto"/>
                <w:right w:val="none" w:sz="0" w:space="0" w:color="auto"/>
              </w:divBdr>
            </w:div>
          </w:divsChild>
        </w:div>
        <w:div w:id="915632212">
          <w:marLeft w:val="0"/>
          <w:marRight w:val="0"/>
          <w:marTop w:val="0"/>
          <w:marBottom w:val="0"/>
          <w:divBdr>
            <w:top w:val="none" w:sz="0" w:space="0" w:color="auto"/>
            <w:left w:val="none" w:sz="0" w:space="0" w:color="auto"/>
            <w:bottom w:val="none" w:sz="0" w:space="0" w:color="auto"/>
            <w:right w:val="none" w:sz="0" w:space="0" w:color="auto"/>
          </w:divBdr>
          <w:divsChild>
            <w:div w:id="1302924013">
              <w:marLeft w:val="0"/>
              <w:marRight w:val="0"/>
              <w:marTop w:val="0"/>
              <w:marBottom w:val="0"/>
              <w:divBdr>
                <w:top w:val="none" w:sz="0" w:space="0" w:color="auto"/>
                <w:left w:val="none" w:sz="0" w:space="0" w:color="auto"/>
                <w:bottom w:val="none" w:sz="0" w:space="0" w:color="auto"/>
                <w:right w:val="none" w:sz="0" w:space="0" w:color="auto"/>
              </w:divBdr>
            </w:div>
          </w:divsChild>
        </w:div>
        <w:div w:id="987512976">
          <w:marLeft w:val="0"/>
          <w:marRight w:val="0"/>
          <w:marTop w:val="0"/>
          <w:marBottom w:val="0"/>
          <w:divBdr>
            <w:top w:val="none" w:sz="0" w:space="0" w:color="auto"/>
            <w:left w:val="none" w:sz="0" w:space="0" w:color="auto"/>
            <w:bottom w:val="none" w:sz="0" w:space="0" w:color="auto"/>
            <w:right w:val="none" w:sz="0" w:space="0" w:color="auto"/>
          </w:divBdr>
          <w:divsChild>
            <w:div w:id="399521457">
              <w:marLeft w:val="0"/>
              <w:marRight w:val="0"/>
              <w:marTop w:val="0"/>
              <w:marBottom w:val="0"/>
              <w:divBdr>
                <w:top w:val="none" w:sz="0" w:space="0" w:color="auto"/>
                <w:left w:val="none" w:sz="0" w:space="0" w:color="auto"/>
                <w:bottom w:val="none" w:sz="0" w:space="0" w:color="auto"/>
                <w:right w:val="none" w:sz="0" w:space="0" w:color="auto"/>
              </w:divBdr>
            </w:div>
            <w:div w:id="708262760">
              <w:marLeft w:val="0"/>
              <w:marRight w:val="0"/>
              <w:marTop w:val="0"/>
              <w:marBottom w:val="0"/>
              <w:divBdr>
                <w:top w:val="none" w:sz="0" w:space="0" w:color="auto"/>
                <w:left w:val="none" w:sz="0" w:space="0" w:color="auto"/>
                <w:bottom w:val="none" w:sz="0" w:space="0" w:color="auto"/>
                <w:right w:val="none" w:sz="0" w:space="0" w:color="auto"/>
              </w:divBdr>
            </w:div>
          </w:divsChild>
        </w:div>
        <w:div w:id="1014576974">
          <w:marLeft w:val="0"/>
          <w:marRight w:val="0"/>
          <w:marTop w:val="0"/>
          <w:marBottom w:val="0"/>
          <w:divBdr>
            <w:top w:val="none" w:sz="0" w:space="0" w:color="auto"/>
            <w:left w:val="none" w:sz="0" w:space="0" w:color="auto"/>
            <w:bottom w:val="none" w:sz="0" w:space="0" w:color="auto"/>
            <w:right w:val="none" w:sz="0" w:space="0" w:color="auto"/>
          </w:divBdr>
          <w:divsChild>
            <w:div w:id="717244292">
              <w:marLeft w:val="0"/>
              <w:marRight w:val="0"/>
              <w:marTop w:val="0"/>
              <w:marBottom w:val="0"/>
              <w:divBdr>
                <w:top w:val="none" w:sz="0" w:space="0" w:color="auto"/>
                <w:left w:val="none" w:sz="0" w:space="0" w:color="auto"/>
                <w:bottom w:val="none" w:sz="0" w:space="0" w:color="auto"/>
                <w:right w:val="none" w:sz="0" w:space="0" w:color="auto"/>
              </w:divBdr>
            </w:div>
          </w:divsChild>
        </w:div>
        <w:div w:id="1024601305">
          <w:marLeft w:val="0"/>
          <w:marRight w:val="0"/>
          <w:marTop w:val="0"/>
          <w:marBottom w:val="0"/>
          <w:divBdr>
            <w:top w:val="none" w:sz="0" w:space="0" w:color="auto"/>
            <w:left w:val="none" w:sz="0" w:space="0" w:color="auto"/>
            <w:bottom w:val="none" w:sz="0" w:space="0" w:color="auto"/>
            <w:right w:val="none" w:sz="0" w:space="0" w:color="auto"/>
          </w:divBdr>
          <w:divsChild>
            <w:div w:id="2052919505">
              <w:marLeft w:val="0"/>
              <w:marRight w:val="0"/>
              <w:marTop w:val="0"/>
              <w:marBottom w:val="0"/>
              <w:divBdr>
                <w:top w:val="none" w:sz="0" w:space="0" w:color="auto"/>
                <w:left w:val="none" w:sz="0" w:space="0" w:color="auto"/>
                <w:bottom w:val="none" w:sz="0" w:space="0" w:color="auto"/>
                <w:right w:val="none" w:sz="0" w:space="0" w:color="auto"/>
              </w:divBdr>
            </w:div>
          </w:divsChild>
        </w:div>
        <w:div w:id="1097672640">
          <w:marLeft w:val="0"/>
          <w:marRight w:val="0"/>
          <w:marTop w:val="0"/>
          <w:marBottom w:val="0"/>
          <w:divBdr>
            <w:top w:val="none" w:sz="0" w:space="0" w:color="auto"/>
            <w:left w:val="none" w:sz="0" w:space="0" w:color="auto"/>
            <w:bottom w:val="none" w:sz="0" w:space="0" w:color="auto"/>
            <w:right w:val="none" w:sz="0" w:space="0" w:color="auto"/>
          </w:divBdr>
          <w:divsChild>
            <w:div w:id="446388265">
              <w:marLeft w:val="0"/>
              <w:marRight w:val="0"/>
              <w:marTop w:val="0"/>
              <w:marBottom w:val="0"/>
              <w:divBdr>
                <w:top w:val="none" w:sz="0" w:space="0" w:color="auto"/>
                <w:left w:val="none" w:sz="0" w:space="0" w:color="auto"/>
                <w:bottom w:val="none" w:sz="0" w:space="0" w:color="auto"/>
                <w:right w:val="none" w:sz="0" w:space="0" w:color="auto"/>
              </w:divBdr>
            </w:div>
          </w:divsChild>
        </w:div>
        <w:div w:id="1112826804">
          <w:marLeft w:val="0"/>
          <w:marRight w:val="0"/>
          <w:marTop w:val="0"/>
          <w:marBottom w:val="0"/>
          <w:divBdr>
            <w:top w:val="none" w:sz="0" w:space="0" w:color="auto"/>
            <w:left w:val="none" w:sz="0" w:space="0" w:color="auto"/>
            <w:bottom w:val="none" w:sz="0" w:space="0" w:color="auto"/>
            <w:right w:val="none" w:sz="0" w:space="0" w:color="auto"/>
          </w:divBdr>
          <w:divsChild>
            <w:div w:id="723409875">
              <w:marLeft w:val="0"/>
              <w:marRight w:val="0"/>
              <w:marTop w:val="0"/>
              <w:marBottom w:val="0"/>
              <w:divBdr>
                <w:top w:val="none" w:sz="0" w:space="0" w:color="auto"/>
                <w:left w:val="none" w:sz="0" w:space="0" w:color="auto"/>
                <w:bottom w:val="none" w:sz="0" w:space="0" w:color="auto"/>
                <w:right w:val="none" w:sz="0" w:space="0" w:color="auto"/>
              </w:divBdr>
            </w:div>
          </w:divsChild>
        </w:div>
        <w:div w:id="1119303686">
          <w:marLeft w:val="0"/>
          <w:marRight w:val="0"/>
          <w:marTop w:val="0"/>
          <w:marBottom w:val="0"/>
          <w:divBdr>
            <w:top w:val="none" w:sz="0" w:space="0" w:color="auto"/>
            <w:left w:val="none" w:sz="0" w:space="0" w:color="auto"/>
            <w:bottom w:val="none" w:sz="0" w:space="0" w:color="auto"/>
            <w:right w:val="none" w:sz="0" w:space="0" w:color="auto"/>
          </w:divBdr>
          <w:divsChild>
            <w:div w:id="80641091">
              <w:marLeft w:val="0"/>
              <w:marRight w:val="0"/>
              <w:marTop w:val="0"/>
              <w:marBottom w:val="0"/>
              <w:divBdr>
                <w:top w:val="none" w:sz="0" w:space="0" w:color="auto"/>
                <w:left w:val="none" w:sz="0" w:space="0" w:color="auto"/>
                <w:bottom w:val="none" w:sz="0" w:space="0" w:color="auto"/>
                <w:right w:val="none" w:sz="0" w:space="0" w:color="auto"/>
              </w:divBdr>
            </w:div>
          </w:divsChild>
        </w:div>
        <w:div w:id="1180506466">
          <w:marLeft w:val="0"/>
          <w:marRight w:val="0"/>
          <w:marTop w:val="0"/>
          <w:marBottom w:val="0"/>
          <w:divBdr>
            <w:top w:val="none" w:sz="0" w:space="0" w:color="auto"/>
            <w:left w:val="none" w:sz="0" w:space="0" w:color="auto"/>
            <w:bottom w:val="none" w:sz="0" w:space="0" w:color="auto"/>
            <w:right w:val="none" w:sz="0" w:space="0" w:color="auto"/>
          </w:divBdr>
          <w:divsChild>
            <w:div w:id="871266121">
              <w:marLeft w:val="0"/>
              <w:marRight w:val="0"/>
              <w:marTop w:val="0"/>
              <w:marBottom w:val="0"/>
              <w:divBdr>
                <w:top w:val="none" w:sz="0" w:space="0" w:color="auto"/>
                <w:left w:val="none" w:sz="0" w:space="0" w:color="auto"/>
                <w:bottom w:val="none" w:sz="0" w:space="0" w:color="auto"/>
                <w:right w:val="none" w:sz="0" w:space="0" w:color="auto"/>
              </w:divBdr>
            </w:div>
          </w:divsChild>
        </w:div>
        <w:div w:id="1237932823">
          <w:marLeft w:val="0"/>
          <w:marRight w:val="0"/>
          <w:marTop w:val="0"/>
          <w:marBottom w:val="0"/>
          <w:divBdr>
            <w:top w:val="none" w:sz="0" w:space="0" w:color="auto"/>
            <w:left w:val="none" w:sz="0" w:space="0" w:color="auto"/>
            <w:bottom w:val="none" w:sz="0" w:space="0" w:color="auto"/>
            <w:right w:val="none" w:sz="0" w:space="0" w:color="auto"/>
          </w:divBdr>
          <w:divsChild>
            <w:div w:id="1835996977">
              <w:marLeft w:val="0"/>
              <w:marRight w:val="0"/>
              <w:marTop w:val="0"/>
              <w:marBottom w:val="0"/>
              <w:divBdr>
                <w:top w:val="none" w:sz="0" w:space="0" w:color="auto"/>
                <w:left w:val="none" w:sz="0" w:space="0" w:color="auto"/>
                <w:bottom w:val="none" w:sz="0" w:space="0" w:color="auto"/>
                <w:right w:val="none" w:sz="0" w:space="0" w:color="auto"/>
              </w:divBdr>
            </w:div>
          </w:divsChild>
        </w:div>
        <w:div w:id="1384207252">
          <w:marLeft w:val="0"/>
          <w:marRight w:val="0"/>
          <w:marTop w:val="0"/>
          <w:marBottom w:val="0"/>
          <w:divBdr>
            <w:top w:val="none" w:sz="0" w:space="0" w:color="auto"/>
            <w:left w:val="none" w:sz="0" w:space="0" w:color="auto"/>
            <w:bottom w:val="none" w:sz="0" w:space="0" w:color="auto"/>
            <w:right w:val="none" w:sz="0" w:space="0" w:color="auto"/>
          </w:divBdr>
          <w:divsChild>
            <w:div w:id="588588570">
              <w:marLeft w:val="0"/>
              <w:marRight w:val="0"/>
              <w:marTop w:val="0"/>
              <w:marBottom w:val="0"/>
              <w:divBdr>
                <w:top w:val="none" w:sz="0" w:space="0" w:color="auto"/>
                <w:left w:val="none" w:sz="0" w:space="0" w:color="auto"/>
                <w:bottom w:val="none" w:sz="0" w:space="0" w:color="auto"/>
                <w:right w:val="none" w:sz="0" w:space="0" w:color="auto"/>
              </w:divBdr>
            </w:div>
          </w:divsChild>
        </w:div>
        <w:div w:id="1407461170">
          <w:marLeft w:val="0"/>
          <w:marRight w:val="0"/>
          <w:marTop w:val="0"/>
          <w:marBottom w:val="0"/>
          <w:divBdr>
            <w:top w:val="none" w:sz="0" w:space="0" w:color="auto"/>
            <w:left w:val="none" w:sz="0" w:space="0" w:color="auto"/>
            <w:bottom w:val="none" w:sz="0" w:space="0" w:color="auto"/>
            <w:right w:val="none" w:sz="0" w:space="0" w:color="auto"/>
          </w:divBdr>
          <w:divsChild>
            <w:div w:id="1065222339">
              <w:marLeft w:val="0"/>
              <w:marRight w:val="0"/>
              <w:marTop w:val="0"/>
              <w:marBottom w:val="0"/>
              <w:divBdr>
                <w:top w:val="none" w:sz="0" w:space="0" w:color="auto"/>
                <w:left w:val="none" w:sz="0" w:space="0" w:color="auto"/>
                <w:bottom w:val="none" w:sz="0" w:space="0" w:color="auto"/>
                <w:right w:val="none" w:sz="0" w:space="0" w:color="auto"/>
              </w:divBdr>
            </w:div>
          </w:divsChild>
        </w:div>
        <w:div w:id="1414160335">
          <w:marLeft w:val="0"/>
          <w:marRight w:val="0"/>
          <w:marTop w:val="0"/>
          <w:marBottom w:val="0"/>
          <w:divBdr>
            <w:top w:val="none" w:sz="0" w:space="0" w:color="auto"/>
            <w:left w:val="none" w:sz="0" w:space="0" w:color="auto"/>
            <w:bottom w:val="none" w:sz="0" w:space="0" w:color="auto"/>
            <w:right w:val="none" w:sz="0" w:space="0" w:color="auto"/>
          </w:divBdr>
          <w:divsChild>
            <w:div w:id="575866486">
              <w:marLeft w:val="0"/>
              <w:marRight w:val="0"/>
              <w:marTop w:val="0"/>
              <w:marBottom w:val="0"/>
              <w:divBdr>
                <w:top w:val="none" w:sz="0" w:space="0" w:color="auto"/>
                <w:left w:val="none" w:sz="0" w:space="0" w:color="auto"/>
                <w:bottom w:val="none" w:sz="0" w:space="0" w:color="auto"/>
                <w:right w:val="none" w:sz="0" w:space="0" w:color="auto"/>
              </w:divBdr>
            </w:div>
          </w:divsChild>
        </w:div>
        <w:div w:id="1433550256">
          <w:marLeft w:val="0"/>
          <w:marRight w:val="0"/>
          <w:marTop w:val="0"/>
          <w:marBottom w:val="0"/>
          <w:divBdr>
            <w:top w:val="none" w:sz="0" w:space="0" w:color="auto"/>
            <w:left w:val="none" w:sz="0" w:space="0" w:color="auto"/>
            <w:bottom w:val="none" w:sz="0" w:space="0" w:color="auto"/>
            <w:right w:val="none" w:sz="0" w:space="0" w:color="auto"/>
          </w:divBdr>
          <w:divsChild>
            <w:div w:id="363941719">
              <w:marLeft w:val="0"/>
              <w:marRight w:val="0"/>
              <w:marTop w:val="0"/>
              <w:marBottom w:val="0"/>
              <w:divBdr>
                <w:top w:val="none" w:sz="0" w:space="0" w:color="auto"/>
                <w:left w:val="none" w:sz="0" w:space="0" w:color="auto"/>
                <w:bottom w:val="none" w:sz="0" w:space="0" w:color="auto"/>
                <w:right w:val="none" w:sz="0" w:space="0" w:color="auto"/>
              </w:divBdr>
            </w:div>
          </w:divsChild>
        </w:div>
        <w:div w:id="1434085826">
          <w:marLeft w:val="0"/>
          <w:marRight w:val="0"/>
          <w:marTop w:val="0"/>
          <w:marBottom w:val="0"/>
          <w:divBdr>
            <w:top w:val="none" w:sz="0" w:space="0" w:color="auto"/>
            <w:left w:val="none" w:sz="0" w:space="0" w:color="auto"/>
            <w:bottom w:val="none" w:sz="0" w:space="0" w:color="auto"/>
            <w:right w:val="none" w:sz="0" w:space="0" w:color="auto"/>
          </w:divBdr>
          <w:divsChild>
            <w:div w:id="1443914137">
              <w:marLeft w:val="0"/>
              <w:marRight w:val="0"/>
              <w:marTop w:val="0"/>
              <w:marBottom w:val="0"/>
              <w:divBdr>
                <w:top w:val="none" w:sz="0" w:space="0" w:color="auto"/>
                <w:left w:val="none" w:sz="0" w:space="0" w:color="auto"/>
                <w:bottom w:val="none" w:sz="0" w:space="0" w:color="auto"/>
                <w:right w:val="none" w:sz="0" w:space="0" w:color="auto"/>
              </w:divBdr>
            </w:div>
            <w:div w:id="2064064830">
              <w:marLeft w:val="0"/>
              <w:marRight w:val="0"/>
              <w:marTop w:val="0"/>
              <w:marBottom w:val="0"/>
              <w:divBdr>
                <w:top w:val="none" w:sz="0" w:space="0" w:color="auto"/>
                <w:left w:val="none" w:sz="0" w:space="0" w:color="auto"/>
                <w:bottom w:val="none" w:sz="0" w:space="0" w:color="auto"/>
                <w:right w:val="none" w:sz="0" w:space="0" w:color="auto"/>
              </w:divBdr>
            </w:div>
          </w:divsChild>
        </w:div>
        <w:div w:id="1463504051">
          <w:marLeft w:val="0"/>
          <w:marRight w:val="0"/>
          <w:marTop w:val="0"/>
          <w:marBottom w:val="0"/>
          <w:divBdr>
            <w:top w:val="none" w:sz="0" w:space="0" w:color="auto"/>
            <w:left w:val="none" w:sz="0" w:space="0" w:color="auto"/>
            <w:bottom w:val="none" w:sz="0" w:space="0" w:color="auto"/>
            <w:right w:val="none" w:sz="0" w:space="0" w:color="auto"/>
          </w:divBdr>
          <w:divsChild>
            <w:div w:id="1083647087">
              <w:marLeft w:val="0"/>
              <w:marRight w:val="0"/>
              <w:marTop w:val="0"/>
              <w:marBottom w:val="0"/>
              <w:divBdr>
                <w:top w:val="none" w:sz="0" w:space="0" w:color="auto"/>
                <w:left w:val="none" w:sz="0" w:space="0" w:color="auto"/>
                <w:bottom w:val="none" w:sz="0" w:space="0" w:color="auto"/>
                <w:right w:val="none" w:sz="0" w:space="0" w:color="auto"/>
              </w:divBdr>
            </w:div>
          </w:divsChild>
        </w:div>
        <w:div w:id="1485195411">
          <w:marLeft w:val="0"/>
          <w:marRight w:val="0"/>
          <w:marTop w:val="0"/>
          <w:marBottom w:val="0"/>
          <w:divBdr>
            <w:top w:val="none" w:sz="0" w:space="0" w:color="auto"/>
            <w:left w:val="none" w:sz="0" w:space="0" w:color="auto"/>
            <w:bottom w:val="none" w:sz="0" w:space="0" w:color="auto"/>
            <w:right w:val="none" w:sz="0" w:space="0" w:color="auto"/>
          </w:divBdr>
          <w:divsChild>
            <w:div w:id="627319432">
              <w:marLeft w:val="0"/>
              <w:marRight w:val="0"/>
              <w:marTop w:val="0"/>
              <w:marBottom w:val="0"/>
              <w:divBdr>
                <w:top w:val="none" w:sz="0" w:space="0" w:color="auto"/>
                <w:left w:val="none" w:sz="0" w:space="0" w:color="auto"/>
                <w:bottom w:val="none" w:sz="0" w:space="0" w:color="auto"/>
                <w:right w:val="none" w:sz="0" w:space="0" w:color="auto"/>
              </w:divBdr>
            </w:div>
          </w:divsChild>
        </w:div>
        <w:div w:id="1499878694">
          <w:marLeft w:val="0"/>
          <w:marRight w:val="0"/>
          <w:marTop w:val="0"/>
          <w:marBottom w:val="0"/>
          <w:divBdr>
            <w:top w:val="none" w:sz="0" w:space="0" w:color="auto"/>
            <w:left w:val="none" w:sz="0" w:space="0" w:color="auto"/>
            <w:bottom w:val="none" w:sz="0" w:space="0" w:color="auto"/>
            <w:right w:val="none" w:sz="0" w:space="0" w:color="auto"/>
          </w:divBdr>
          <w:divsChild>
            <w:div w:id="339090279">
              <w:marLeft w:val="0"/>
              <w:marRight w:val="0"/>
              <w:marTop w:val="0"/>
              <w:marBottom w:val="0"/>
              <w:divBdr>
                <w:top w:val="none" w:sz="0" w:space="0" w:color="auto"/>
                <w:left w:val="none" w:sz="0" w:space="0" w:color="auto"/>
                <w:bottom w:val="none" w:sz="0" w:space="0" w:color="auto"/>
                <w:right w:val="none" w:sz="0" w:space="0" w:color="auto"/>
              </w:divBdr>
            </w:div>
          </w:divsChild>
        </w:div>
        <w:div w:id="1520971249">
          <w:marLeft w:val="0"/>
          <w:marRight w:val="0"/>
          <w:marTop w:val="0"/>
          <w:marBottom w:val="0"/>
          <w:divBdr>
            <w:top w:val="none" w:sz="0" w:space="0" w:color="auto"/>
            <w:left w:val="none" w:sz="0" w:space="0" w:color="auto"/>
            <w:bottom w:val="none" w:sz="0" w:space="0" w:color="auto"/>
            <w:right w:val="none" w:sz="0" w:space="0" w:color="auto"/>
          </w:divBdr>
          <w:divsChild>
            <w:div w:id="272329244">
              <w:marLeft w:val="0"/>
              <w:marRight w:val="0"/>
              <w:marTop w:val="0"/>
              <w:marBottom w:val="0"/>
              <w:divBdr>
                <w:top w:val="none" w:sz="0" w:space="0" w:color="auto"/>
                <w:left w:val="none" w:sz="0" w:space="0" w:color="auto"/>
                <w:bottom w:val="none" w:sz="0" w:space="0" w:color="auto"/>
                <w:right w:val="none" w:sz="0" w:space="0" w:color="auto"/>
              </w:divBdr>
            </w:div>
          </w:divsChild>
        </w:div>
        <w:div w:id="1571964113">
          <w:marLeft w:val="0"/>
          <w:marRight w:val="0"/>
          <w:marTop w:val="0"/>
          <w:marBottom w:val="0"/>
          <w:divBdr>
            <w:top w:val="none" w:sz="0" w:space="0" w:color="auto"/>
            <w:left w:val="none" w:sz="0" w:space="0" w:color="auto"/>
            <w:bottom w:val="none" w:sz="0" w:space="0" w:color="auto"/>
            <w:right w:val="none" w:sz="0" w:space="0" w:color="auto"/>
          </w:divBdr>
          <w:divsChild>
            <w:div w:id="421412407">
              <w:marLeft w:val="0"/>
              <w:marRight w:val="0"/>
              <w:marTop w:val="0"/>
              <w:marBottom w:val="0"/>
              <w:divBdr>
                <w:top w:val="none" w:sz="0" w:space="0" w:color="auto"/>
                <w:left w:val="none" w:sz="0" w:space="0" w:color="auto"/>
                <w:bottom w:val="none" w:sz="0" w:space="0" w:color="auto"/>
                <w:right w:val="none" w:sz="0" w:space="0" w:color="auto"/>
              </w:divBdr>
            </w:div>
          </w:divsChild>
        </w:div>
        <w:div w:id="1721007565">
          <w:marLeft w:val="0"/>
          <w:marRight w:val="0"/>
          <w:marTop w:val="0"/>
          <w:marBottom w:val="0"/>
          <w:divBdr>
            <w:top w:val="none" w:sz="0" w:space="0" w:color="auto"/>
            <w:left w:val="none" w:sz="0" w:space="0" w:color="auto"/>
            <w:bottom w:val="none" w:sz="0" w:space="0" w:color="auto"/>
            <w:right w:val="none" w:sz="0" w:space="0" w:color="auto"/>
          </w:divBdr>
          <w:divsChild>
            <w:div w:id="287055817">
              <w:marLeft w:val="0"/>
              <w:marRight w:val="0"/>
              <w:marTop w:val="0"/>
              <w:marBottom w:val="0"/>
              <w:divBdr>
                <w:top w:val="none" w:sz="0" w:space="0" w:color="auto"/>
                <w:left w:val="none" w:sz="0" w:space="0" w:color="auto"/>
                <w:bottom w:val="none" w:sz="0" w:space="0" w:color="auto"/>
                <w:right w:val="none" w:sz="0" w:space="0" w:color="auto"/>
              </w:divBdr>
            </w:div>
          </w:divsChild>
        </w:div>
        <w:div w:id="1821581501">
          <w:marLeft w:val="0"/>
          <w:marRight w:val="0"/>
          <w:marTop w:val="0"/>
          <w:marBottom w:val="0"/>
          <w:divBdr>
            <w:top w:val="none" w:sz="0" w:space="0" w:color="auto"/>
            <w:left w:val="none" w:sz="0" w:space="0" w:color="auto"/>
            <w:bottom w:val="none" w:sz="0" w:space="0" w:color="auto"/>
            <w:right w:val="none" w:sz="0" w:space="0" w:color="auto"/>
          </w:divBdr>
          <w:divsChild>
            <w:div w:id="1497917246">
              <w:marLeft w:val="0"/>
              <w:marRight w:val="0"/>
              <w:marTop w:val="0"/>
              <w:marBottom w:val="0"/>
              <w:divBdr>
                <w:top w:val="none" w:sz="0" w:space="0" w:color="auto"/>
                <w:left w:val="none" w:sz="0" w:space="0" w:color="auto"/>
                <w:bottom w:val="none" w:sz="0" w:space="0" w:color="auto"/>
                <w:right w:val="none" w:sz="0" w:space="0" w:color="auto"/>
              </w:divBdr>
            </w:div>
          </w:divsChild>
        </w:div>
        <w:div w:id="1845970978">
          <w:marLeft w:val="0"/>
          <w:marRight w:val="0"/>
          <w:marTop w:val="0"/>
          <w:marBottom w:val="0"/>
          <w:divBdr>
            <w:top w:val="none" w:sz="0" w:space="0" w:color="auto"/>
            <w:left w:val="none" w:sz="0" w:space="0" w:color="auto"/>
            <w:bottom w:val="none" w:sz="0" w:space="0" w:color="auto"/>
            <w:right w:val="none" w:sz="0" w:space="0" w:color="auto"/>
          </w:divBdr>
          <w:divsChild>
            <w:div w:id="244917213">
              <w:marLeft w:val="0"/>
              <w:marRight w:val="0"/>
              <w:marTop w:val="0"/>
              <w:marBottom w:val="0"/>
              <w:divBdr>
                <w:top w:val="none" w:sz="0" w:space="0" w:color="auto"/>
                <w:left w:val="none" w:sz="0" w:space="0" w:color="auto"/>
                <w:bottom w:val="none" w:sz="0" w:space="0" w:color="auto"/>
                <w:right w:val="none" w:sz="0" w:space="0" w:color="auto"/>
              </w:divBdr>
            </w:div>
          </w:divsChild>
        </w:div>
        <w:div w:id="1878469075">
          <w:marLeft w:val="0"/>
          <w:marRight w:val="0"/>
          <w:marTop w:val="0"/>
          <w:marBottom w:val="0"/>
          <w:divBdr>
            <w:top w:val="none" w:sz="0" w:space="0" w:color="auto"/>
            <w:left w:val="none" w:sz="0" w:space="0" w:color="auto"/>
            <w:bottom w:val="none" w:sz="0" w:space="0" w:color="auto"/>
            <w:right w:val="none" w:sz="0" w:space="0" w:color="auto"/>
          </w:divBdr>
          <w:divsChild>
            <w:div w:id="1936553745">
              <w:marLeft w:val="0"/>
              <w:marRight w:val="0"/>
              <w:marTop w:val="0"/>
              <w:marBottom w:val="0"/>
              <w:divBdr>
                <w:top w:val="none" w:sz="0" w:space="0" w:color="auto"/>
                <w:left w:val="none" w:sz="0" w:space="0" w:color="auto"/>
                <w:bottom w:val="none" w:sz="0" w:space="0" w:color="auto"/>
                <w:right w:val="none" w:sz="0" w:space="0" w:color="auto"/>
              </w:divBdr>
            </w:div>
          </w:divsChild>
        </w:div>
        <w:div w:id="1891531144">
          <w:marLeft w:val="0"/>
          <w:marRight w:val="0"/>
          <w:marTop w:val="0"/>
          <w:marBottom w:val="0"/>
          <w:divBdr>
            <w:top w:val="none" w:sz="0" w:space="0" w:color="auto"/>
            <w:left w:val="none" w:sz="0" w:space="0" w:color="auto"/>
            <w:bottom w:val="none" w:sz="0" w:space="0" w:color="auto"/>
            <w:right w:val="none" w:sz="0" w:space="0" w:color="auto"/>
          </w:divBdr>
          <w:divsChild>
            <w:div w:id="356278181">
              <w:marLeft w:val="0"/>
              <w:marRight w:val="0"/>
              <w:marTop w:val="0"/>
              <w:marBottom w:val="0"/>
              <w:divBdr>
                <w:top w:val="none" w:sz="0" w:space="0" w:color="auto"/>
                <w:left w:val="none" w:sz="0" w:space="0" w:color="auto"/>
                <w:bottom w:val="none" w:sz="0" w:space="0" w:color="auto"/>
                <w:right w:val="none" w:sz="0" w:space="0" w:color="auto"/>
              </w:divBdr>
            </w:div>
          </w:divsChild>
        </w:div>
        <w:div w:id="1897087825">
          <w:marLeft w:val="0"/>
          <w:marRight w:val="0"/>
          <w:marTop w:val="0"/>
          <w:marBottom w:val="0"/>
          <w:divBdr>
            <w:top w:val="none" w:sz="0" w:space="0" w:color="auto"/>
            <w:left w:val="none" w:sz="0" w:space="0" w:color="auto"/>
            <w:bottom w:val="none" w:sz="0" w:space="0" w:color="auto"/>
            <w:right w:val="none" w:sz="0" w:space="0" w:color="auto"/>
          </w:divBdr>
          <w:divsChild>
            <w:div w:id="2012373355">
              <w:marLeft w:val="0"/>
              <w:marRight w:val="0"/>
              <w:marTop w:val="0"/>
              <w:marBottom w:val="0"/>
              <w:divBdr>
                <w:top w:val="none" w:sz="0" w:space="0" w:color="auto"/>
                <w:left w:val="none" w:sz="0" w:space="0" w:color="auto"/>
                <w:bottom w:val="none" w:sz="0" w:space="0" w:color="auto"/>
                <w:right w:val="none" w:sz="0" w:space="0" w:color="auto"/>
              </w:divBdr>
            </w:div>
          </w:divsChild>
        </w:div>
        <w:div w:id="1922711467">
          <w:marLeft w:val="0"/>
          <w:marRight w:val="0"/>
          <w:marTop w:val="0"/>
          <w:marBottom w:val="0"/>
          <w:divBdr>
            <w:top w:val="none" w:sz="0" w:space="0" w:color="auto"/>
            <w:left w:val="none" w:sz="0" w:space="0" w:color="auto"/>
            <w:bottom w:val="none" w:sz="0" w:space="0" w:color="auto"/>
            <w:right w:val="none" w:sz="0" w:space="0" w:color="auto"/>
          </w:divBdr>
          <w:divsChild>
            <w:div w:id="555362390">
              <w:marLeft w:val="0"/>
              <w:marRight w:val="0"/>
              <w:marTop w:val="0"/>
              <w:marBottom w:val="0"/>
              <w:divBdr>
                <w:top w:val="none" w:sz="0" w:space="0" w:color="auto"/>
                <w:left w:val="none" w:sz="0" w:space="0" w:color="auto"/>
                <w:bottom w:val="none" w:sz="0" w:space="0" w:color="auto"/>
                <w:right w:val="none" w:sz="0" w:space="0" w:color="auto"/>
              </w:divBdr>
            </w:div>
          </w:divsChild>
        </w:div>
        <w:div w:id="1962833092">
          <w:marLeft w:val="0"/>
          <w:marRight w:val="0"/>
          <w:marTop w:val="0"/>
          <w:marBottom w:val="0"/>
          <w:divBdr>
            <w:top w:val="none" w:sz="0" w:space="0" w:color="auto"/>
            <w:left w:val="none" w:sz="0" w:space="0" w:color="auto"/>
            <w:bottom w:val="none" w:sz="0" w:space="0" w:color="auto"/>
            <w:right w:val="none" w:sz="0" w:space="0" w:color="auto"/>
          </w:divBdr>
          <w:divsChild>
            <w:div w:id="28724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15076">
      <w:bodyDiv w:val="1"/>
      <w:marLeft w:val="0"/>
      <w:marRight w:val="0"/>
      <w:marTop w:val="0"/>
      <w:marBottom w:val="0"/>
      <w:divBdr>
        <w:top w:val="none" w:sz="0" w:space="0" w:color="auto"/>
        <w:left w:val="none" w:sz="0" w:space="0" w:color="auto"/>
        <w:bottom w:val="none" w:sz="0" w:space="0" w:color="auto"/>
        <w:right w:val="none" w:sz="0" w:space="0" w:color="auto"/>
      </w:divBdr>
    </w:div>
    <w:div w:id="2043164849">
      <w:bodyDiv w:val="1"/>
      <w:marLeft w:val="0"/>
      <w:marRight w:val="0"/>
      <w:marTop w:val="0"/>
      <w:marBottom w:val="0"/>
      <w:divBdr>
        <w:top w:val="none" w:sz="0" w:space="0" w:color="auto"/>
        <w:left w:val="none" w:sz="0" w:space="0" w:color="auto"/>
        <w:bottom w:val="none" w:sz="0" w:space="0" w:color="auto"/>
        <w:right w:val="none" w:sz="0" w:space="0" w:color="auto"/>
      </w:divBdr>
      <w:divsChild>
        <w:div w:id="74057400">
          <w:marLeft w:val="0"/>
          <w:marRight w:val="0"/>
          <w:marTop w:val="0"/>
          <w:marBottom w:val="0"/>
          <w:divBdr>
            <w:top w:val="none" w:sz="0" w:space="0" w:color="auto"/>
            <w:left w:val="none" w:sz="0" w:space="0" w:color="auto"/>
            <w:bottom w:val="none" w:sz="0" w:space="0" w:color="auto"/>
            <w:right w:val="none" w:sz="0" w:space="0" w:color="auto"/>
          </w:divBdr>
          <w:divsChild>
            <w:div w:id="910233077">
              <w:marLeft w:val="0"/>
              <w:marRight w:val="0"/>
              <w:marTop w:val="0"/>
              <w:marBottom w:val="0"/>
              <w:divBdr>
                <w:top w:val="none" w:sz="0" w:space="0" w:color="auto"/>
                <w:left w:val="none" w:sz="0" w:space="0" w:color="auto"/>
                <w:bottom w:val="none" w:sz="0" w:space="0" w:color="auto"/>
                <w:right w:val="none" w:sz="0" w:space="0" w:color="auto"/>
              </w:divBdr>
            </w:div>
          </w:divsChild>
        </w:div>
        <w:div w:id="140656309">
          <w:marLeft w:val="0"/>
          <w:marRight w:val="0"/>
          <w:marTop w:val="0"/>
          <w:marBottom w:val="0"/>
          <w:divBdr>
            <w:top w:val="none" w:sz="0" w:space="0" w:color="auto"/>
            <w:left w:val="none" w:sz="0" w:space="0" w:color="auto"/>
            <w:bottom w:val="none" w:sz="0" w:space="0" w:color="auto"/>
            <w:right w:val="none" w:sz="0" w:space="0" w:color="auto"/>
          </w:divBdr>
          <w:divsChild>
            <w:div w:id="1579711377">
              <w:marLeft w:val="0"/>
              <w:marRight w:val="0"/>
              <w:marTop w:val="0"/>
              <w:marBottom w:val="0"/>
              <w:divBdr>
                <w:top w:val="none" w:sz="0" w:space="0" w:color="auto"/>
                <w:left w:val="none" w:sz="0" w:space="0" w:color="auto"/>
                <w:bottom w:val="none" w:sz="0" w:space="0" w:color="auto"/>
                <w:right w:val="none" w:sz="0" w:space="0" w:color="auto"/>
              </w:divBdr>
            </w:div>
          </w:divsChild>
        </w:div>
        <w:div w:id="205799901">
          <w:marLeft w:val="0"/>
          <w:marRight w:val="0"/>
          <w:marTop w:val="0"/>
          <w:marBottom w:val="0"/>
          <w:divBdr>
            <w:top w:val="none" w:sz="0" w:space="0" w:color="auto"/>
            <w:left w:val="none" w:sz="0" w:space="0" w:color="auto"/>
            <w:bottom w:val="none" w:sz="0" w:space="0" w:color="auto"/>
            <w:right w:val="none" w:sz="0" w:space="0" w:color="auto"/>
          </w:divBdr>
          <w:divsChild>
            <w:div w:id="1044865228">
              <w:marLeft w:val="0"/>
              <w:marRight w:val="0"/>
              <w:marTop w:val="0"/>
              <w:marBottom w:val="0"/>
              <w:divBdr>
                <w:top w:val="none" w:sz="0" w:space="0" w:color="auto"/>
                <w:left w:val="none" w:sz="0" w:space="0" w:color="auto"/>
                <w:bottom w:val="none" w:sz="0" w:space="0" w:color="auto"/>
                <w:right w:val="none" w:sz="0" w:space="0" w:color="auto"/>
              </w:divBdr>
            </w:div>
          </w:divsChild>
        </w:div>
        <w:div w:id="287783622">
          <w:marLeft w:val="0"/>
          <w:marRight w:val="0"/>
          <w:marTop w:val="0"/>
          <w:marBottom w:val="0"/>
          <w:divBdr>
            <w:top w:val="none" w:sz="0" w:space="0" w:color="auto"/>
            <w:left w:val="none" w:sz="0" w:space="0" w:color="auto"/>
            <w:bottom w:val="none" w:sz="0" w:space="0" w:color="auto"/>
            <w:right w:val="none" w:sz="0" w:space="0" w:color="auto"/>
          </w:divBdr>
          <w:divsChild>
            <w:div w:id="237251334">
              <w:marLeft w:val="0"/>
              <w:marRight w:val="0"/>
              <w:marTop w:val="0"/>
              <w:marBottom w:val="0"/>
              <w:divBdr>
                <w:top w:val="none" w:sz="0" w:space="0" w:color="auto"/>
                <w:left w:val="none" w:sz="0" w:space="0" w:color="auto"/>
                <w:bottom w:val="none" w:sz="0" w:space="0" w:color="auto"/>
                <w:right w:val="none" w:sz="0" w:space="0" w:color="auto"/>
              </w:divBdr>
            </w:div>
          </w:divsChild>
        </w:div>
        <w:div w:id="541792064">
          <w:marLeft w:val="0"/>
          <w:marRight w:val="0"/>
          <w:marTop w:val="0"/>
          <w:marBottom w:val="0"/>
          <w:divBdr>
            <w:top w:val="none" w:sz="0" w:space="0" w:color="auto"/>
            <w:left w:val="none" w:sz="0" w:space="0" w:color="auto"/>
            <w:bottom w:val="none" w:sz="0" w:space="0" w:color="auto"/>
            <w:right w:val="none" w:sz="0" w:space="0" w:color="auto"/>
          </w:divBdr>
          <w:divsChild>
            <w:div w:id="473527905">
              <w:marLeft w:val="0"/>
              <w:marRight w:val="0"/>
              <w:marTop w:val="0"/>
              <w:marBottom w:val="0"/>
              <w:divBdr>
                <w:top w:val="none" w:sz="0" w:space="0" w:color="auto"/>
                <w:left w:val="none" w:sz="0" w:space="0" w:color="auto"/>
                <w:bottom w:val="none" w:sz="0" w:space="0" w:color="auto"/>
                <w:right w:val="none" w:sz="0" w:space="0" w:color="auto"/>
              </w:divBdr>
            </w:div>
          </w:divsChild>
        </w:div>
        <w:div w:id="799108371">
          <w:marLeft w:val="0"/>
          <w:marRight w:val="0"/>
          <w:marTop w:val="0"/>
          <w:marBottom w:val="0"/>
          <w:divBdr>
            <w:top w:val="none" w:sz="0" w:space="0" w:color="auto"/>
            <w:left w:val="none" w:sz="0" w:space="0" w:color="auto"/>
            <w:bottom w:val="none" w:sz="0" w:space="0" w:color="auto"/>
            <w:right w:val="none" w:sz="0" w:space="0" w:color="auto"/>
          </w:divBdr>
          <w:divsChild>
            <w:div w:id="1289122542">
              <w:marLeft w:val="0"/>
              <w:marRight w:val="0"/>
              <w:marTop w:val="0"/>
              <w:marBottom w:val="0"/>
              <w:divBdr>
                <w:top w:val="none" w:sz="0" w:space="0" w:color="auto"/>
                <w:left w:val="none" w:sz="0" w:space="0" w:color="auto"/>
                <w:bottom w:val="none" w:sz="0" w:space="0" w:color="auto"/>
                <w:right w:val="none" w:sz="0" w:space="0" w:color="auto"/>
              </w:divBdr>
            </w:div>
          </w:divsChild>
        </w:div>
        <w:div w:id="801580395">
          <w:marLeft w:val="0"/>
          <w:marRight w:val="0"/>
          <w:marTop w:val="0"/>
          <w:marBottom w:val="0"/>
          <w:divBdr>
            <w:top w:val="none" w:sz="0" w:space="0" w:color="auto"/>
            <w:left w:val="none" w:sz="0" w:space="0" w:color="auto"/>
            <w:bottom w:val="none" w:sz="0" w:space="0" w:color="auto"/>
            <w:right w:val="none" w:sz="0" w:space="0" w:color="auto"/>
          </w:divBdr>
          <w:divsChild>
            <w:div w:id="1871993757">
              <w:marLeft w:val="0"/>
              <w:marRight w:val="0"/>
              <w:marTop w:val="0"/>
              <w:marBottom w:val="0"/>
              <w:divBdr>
                <w:top w:val="none" w:sz="0" w:space="0" w:color="auto"/>
                <w:left w:val="none" w:sz="0" w:space="0" w:color="auto"/>
                <w:bottom w:val="none" w:sz="0" w:space="0" w:color="auto"/>
                <w:right w:val="none" w:sz="0" w:space="0" w:color="auto"/>
              </w:divBdr>
            </w:div>
          </w:divsChild>
        </w:div>
        <w:div w:id="1043407898">
          <w:marLeft w:val="0"/>
          <w:marRight w:val="0"/>
          <w:marTop w:val="0"/>
          <w:marBottom w:val="0"/>
          <w:divBdr>
            <w:top w:val="none" w:sz="0" w:space="0" w:color="auto"/>
            <w:left w:val="none" w:sz="0" w:space="0" w:color="auto"/>
            <w:bottom w:val="none" w:sz="0" w:space="0" w:color="auto"/>
            <w:right w:val="none" w:sz="0" w:space="0" w:color="auto"/>
          </w:divBdr>
          <w:divsChild>
            <w:div w:id="1353535632">
              <w:marLeft w:val="0"/>
              <w:marRight w:val="0"/>
              <w:marTop w:val="0"/>
              <w:marBottom w:val="0"/>
              <w:divBdr>
                <w:top w:val="none" w:sz="0" w:space="0" w:color="auto"/>
                <w:left w:val="none" w:sz="0" w:space="0" w:color="auto"/>
                <w:bottom w:val="none" w:sz="0" w:space="0" w:color="auto"/>
                <w:right w:val="none" w:sz="0" w:space="0" w:color="auto"/>
              </w:divBdr>
            </w:div>
          </w:divsChild>
        </w:div>
        <w:div w:id="1131679410">
          <w:marLeft w:val="0"/>
          <w:marRight w:val="0"/>
          <w:marTop w:val="0"/>
          <w:marBottom w:val="0"/>
          <w:divBdr>
            <w:top w:val="none" w:sz="0" w:space="0" w:color="auto"/>
            <w:left w:val="none" w:sz="0" w:space="0" w:color="auto"/>
            <w:bottom w:val="none" w:sz="0" w:space="0" w:color="auto"/>
            <w:right w:val="none" w:sz="0" w:space="0" w:color="auto"/>
          </w:divBdr>
          <w:divsChild>
            <w:div w:id="1169248610">
              <w:marLeft w:val="0"/>
              <w:marRight w:val="0"/>
              <w:marTop w:val="0"/>
              <w:marBottom w:val="0"/>
              <w:divBdr>
                <w:top w:val="none" w:sz="0" w:space="0" w:color="auto"/>
                <w:left w:val="none" w:sz="0" w:space="0" w:color="auto"/>
                <w:bottom w:val="none" w:sz="0" w:space="0" w:color="auto"/>
                <w:right w:val="none" w:sz="0" w:space="0" w:color="auto"/>
              </w:divBdr>
            </w:div>
          </w:divsChild>
        </w:div>
        <w:div w:id="1252003716">
          <w:marLeft w:val="0"/>
          <w:marRight w:val="0"/>
          <w:marTop w:val="0"/>
          <w:marBottom w:val="0"/>
          <w:divBdr>
            <w:top w:val="none" w:sz="0" w:space="0" w:color="auto"/>
            <w:left w:val="none" w:sz="0" w:space="0" w:color="auto"/>
            <w:bottom w:val="none" w:sz="0" w:space="0" w:color="auto"/>
            <w:right w:val="none" w:sz="0" w:space="0" w:color="auto"/>
          </w:divBdr>
          <w:divsChild>
            <w:div w:id="288783307">
              <w:marLeft w:val="0"/>
              <w:marRight w:val="0"/>
              <w:marTop w:val="0"/>
              <w:marBottom w:val="0"/>
              <w:divBdr>
                <w:top w:val="none" w:sz="0" w:space="0" w:color="auto"/>
                <w:left w:val="none" w:sz="0" w:space="0" w:color="auto"/>
                <w:bottom w:val="none" w:sz="0" w:space="0" w:color="auto"/>
                <w:right w:val="none" w:sz="0" w:space="0" w:color="auto"/>
              </w:divBdr>
            </w:div>
          </w:divsChild>
        </w:div>
        <w:div w:id="1503474676">
          <w:marLeft w:val="0"/>
          <w:marRight w:val="0"/>
          <w:marTop w:val="0"/>
          <w:marBottom w:val="0"/>
          <w:divBdr>
            <w:top w:val="none" w:sz="0" w:space="0" w:color="auto"/>
            <w:left w:val="none" w:sz="0" w:space="0" w:color="auto"/>
            <w:bottom w:val="none" w:sz="0" w:space="0" w:color="auto"/>
            <w:right w:val="none" w:sz="0" w:space="0" w:color="auto"/>
          </w:divBdr>
          <w:divsChild>
            <w:div w:id="593630405">
              <w:marLeft w:val="0"/>
              <w:marRight w:val="0"/>
              <w:marTop w:val="0"/>
              <w:marBottom w:val="0"/>
              <w:divBdr>
                <w:top w:val="none" w:sz="0" w:space="0" w:color="auto"/>
                <w:left w:val="none" w:sz="0" w:space="0" w:color="auto"/>
                <w:bottom w:val="none" w:sz="0" w:space="0" w:color="auto"/>
                <w:right w:val="none" w:sz="0" w:space="0" w:color="auto"/>
              </w:divBdr>
            </w:div>
          </w:divsChild>
        </w:div>
        <w:div w:id="1628972223">
          <w:marLeft w:val="0"/>
          <w:marRight w:val="0"/>
          <w:marTop w:val="0"/>
          <w:marBottom w:val="0"/>
          <w:divBdr>
            <w:top w:val="none" w:sz="0" w:space="0" w:color="auto"/>
            <w:left w:val="none" w:sz="0" w:space="0" w:color="auto"/>
            <w:bottom w:val="none" w:sz="0" w:space="0" w:color="auto"/>
            <w:right w:val="none" w:sz="0" w:space="0" w:color="auto"/>
          </w:divBdr>
          <w:divsChild>
            <w:div w:id="603879855">
              <w:marLeft w:val="0"/>
              <w:marRight w:val="0"/>
              <w:marTop w:val="0"/>
              <w:marBottom w:val="0"/>
              <w:divBdr>
                <w:top w:val="none" w:sz="0" w:space="0" w:color="auto"/>
                <w:left w:val="none" w:sz="0" w:space="0" w:color="auto"/>
                <w:bottom w:val="none" w:sz="0" w:space="0" w:color="auto"/>
                <w:right w:val="none" w:sz="0" w:space="0" w:color="auto"/>
              </w:divBdr>
            </w:div>
          </w:divsChild>
        </w:div>
        <w:div w:id="1665820176">
          <w:marLeft w:val="0"/>
          <w:marRight w:val="0"/>
          <w:marTop w:val="0"/>
          <w:marBottom w:val="0"/>
          <w:divBdr>
            <w:top w:val="none" w:sz="0" w:space="0" w:color="auto"/>
            <w:left w:val="none" w:sz="0" w:space="0" w:color="auto"/>
            <w:bottom w:val="none" w:sz="0" w:space="0" w:color="auto"/>
            <w:right w:val="none" w:sz="0" w:space="0" w:color="auto"/>
          </w:divBdr>
          <w:divsChild>
            <w:div w:id="429738839">
              <w:marLeft w:val="0"/>
              <w:marRight w:val="0"/>
              <w:marTop w:val="0"/>
              <w:marBottom w:val="0"/>
              <w:divBdr>
                <w:top w:val="none" w:sz="0" w:space="0" w:color="auto"/>
                <w:left w:val="none" w:sz="0" w:space="0" w:color="auto"/>
                <w:bottom w:val="none" w:sz="0" w:space="0" w:color="auto"/>
                <w:right w:val="none" w:sz="0" w:space="0" w:color="auto"/>
              </w:divBdr>
            </w:div>
          </w:divsChild>
        </w:div>
        <w:div w:id="1764379327">
          <w:marLeft w:val="0"/>
          <w:marRight w:val="0"/>
          <w:marTop w:val="0"/>
          <w:marBottom w:val="0"/>
          <w:divBdr>
            <w:top w:val="none" w:sz="0" w:space="0" w:color="auto"/>
            <w:left w:val="none" w:sz="0" w:space="0" w:color="auto"/>
            <w:bottom w:val="none" w:sz="0" w:space="0" w:color="auto"/>
            <w:right w:val="none" w:sz="0" w:space="0" w:color="auto"/>
          </w:divBdr>
          <w:divsChild>
            <w:div w:id="932937146">
              <w:marLeft w:val="0"/>
              <w:marRight w:val="0"/>
              <w:marTop w:val="0"/>
              <w:marBottom w:val="0"/>
              <w:divBdr>
                <w:top w:val="none" w:sz="0" w:space="0" w:color="auto"/>
                <w:left w:val="none" w:sz="0" w:space="0" w:color="auto"/>
                <w:bottom w:val="none" w:sz="0" w:space="0" w:color="auto"/>
                <w:right w:val="none" w:sz="0" w:space="0" w:color="auto"/>
              </w:divBdr>
            </w:div>
          </w:divsChild>
        </w:div>
        <w:div w:id="1782527637">
          <w:marLeft w:val="0"/>
          <w:marRight w:val="0"/>
          <w:marTop w:val="0"/>
          <w:marBottom w:val="0"/>
          <w:divBdr>
            <w:top w:val="none" w:sz="0" w:space="0" w:color="auto"/>
            <w:left w:val="none" w:sz="0" w:space="0" w:color="auto"/>
            <w:bottom w:val="none" w:sz="0" w:space="0" w:color="auto"/>
            <w:right w:val="none" w:sz="0" w:space="0" w:color="auto"/>
          </w:divBdr>
          <w:divsChild>
            <w:div w:id="241329942">
              <w:marLeft w:val="0"/>
              <w:marRight w:val="0"/>
              <w:marTop w:val="0"/>
              <w:marBottom w:val="0"/>
              <w:divBdr>
                <w:top w:val="none" w:sz="0" w:space="0" w:color="auto"/>
                <w:left w:val="none" w:sz="0" w:space="0" w:color="auto"/>
                <w:bottom w:val="none" w:sz="0" w:space="0" w:color="auto"/>
                <w:right w:val="none" w:sz="0" w:space="0" w:color="auto"/>
              </w:divBdr>
            </w:div>
          </w:divsChild>
        </w:div>
        <w:div w:id="2128772199">
          <w:marLeft w:val="0"/>
          <w:marRight w:val="0"/>
          <w:marTop w:val="0"/>
          <w:marBottom w:val="0"/>
          <w:divBdr>
            <w:top w:val="none" w:sz="0" w:space="0" w:color="auto"/>
            <w:left w:val="none" w:sz="0" w:space="0" w:color="auto"/>
            <w:bottom w:val="none" w:sz="0" w:space="0" w:color="auto"/>
            <w:right w:val="none" w:sz="0" w:space="0" w:color="auto"/>
          </w:divBdr>
          <w:divsChild>
            <w:div w:id="100841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6397">
      <w:bodyDiv w:val="1"/>
      <w:marLeft w:val="0"/>
      <w:marRight w:val="0"/>
      <w:marTop w:val="0"/>
      <w:marBottom w:val="0"/>
      <w:divBdr>
        <w:top w:val="none" w:sz="0" w:space="0" w:color="auto"/>
        <w:left w:val="none" w:sz="0" w:space="0" w:color="auto"/>
        <w:bottom w:val="none" w:sz="0" w:space="0" w:color="auto"/>
        <w:right w:val="none" w:sz="0" w:space="0" w:color="auto"/>
      </w:divBdr>
    </w:div>
    <w:div w:id="2054576078">
      <w:bodyDiv w:val="1"/>
      <w:marLeft w:val="0"/>
      <w:marRight w:val="0"/>
      <w:marTop w:val="0"/>
      <w:marBottom w:val="0"/>
      <w:divBdr>
        <w:top w:val="none" w:sz="0" w:space="0" w:color="auto"/>
        <w:left w:val="none" w:sz="0" w:space="0" w:color="auto"/>
        <w:bottom w:val="none" w:sz="0" w:space="0" w:color="auto"/>
        <w:right w:val="none" w:sz="0" w:space="0" w:color="auto"/>
      </w:divBdr>
    </w:div>
    <w:div w:id="2082676265">
      <w:bodyDiv w:val="1"/>
      <w:marLeft w:val="0"/>
      <w:marRight w:val="0"/>
      <w:marTop w:val="0"/>
      <w:marBottom w:val="0"/>
      <w:divBdr>
        <w:top w:val="none" w:sz="0" w:space="0" w:color="auto"/>
        <w:left w:val="none" w:sz="0" w:space="0" w:color="auto"/>
        <w:bottom w:val="none" w:sz="0" w:space="0" w:color="auto"/>
        <w:right w:val="none" w:sz="0" w:space="0" w:color="auto"/>
      </w:divBdr>
    </w:div>
    <w:div w:id="2090887424">
      <w:bodyDiv w:val="1"/>
      <w:marLeft w:val="0"/>
      <w:marRight w:val="0"/>
      <w:marTop w:val="0"/>
      <w:marBottom w:val="0"/>
      <w:divBdr>
        <w:top w:val="none" w:sz="0" w:space="0" w:color="auto"/>
        <w:left w:val="none" w:sz="0" w:space="0" w:color="auto"/>
        <w:bottom w:val="none" w:sz="0" w:space="0" w:color="auto"/>
        <w:right w:val="none" w:sz="0" w:space="0" w:color="auto"/>
      </w:divBdr>
    </w:div>
    <w:div w:id="2106150785">
      <w:bodyDiv w:val="1"/>
      <w:marLeft w:val="0"/>
      <w:marRight w:val="0"/>
      <w:marTop w:val="0"/>
      <w:marBottom w:val="0"/>
      <w:divBdr>
        <w:top w:val="none" w:sz="0" w:space="0" w:color="auto"/>
        <w:left w:val="none" w:sz="0" w:space="0" w:color="auto"/>
        <w:bottom w:val="none" w:sz="0" w:space="0" w:color="auto"/>
        <w:right w:val="none" w:sz="0" w:space="0" w:color="auto"/>
      </w:divBdr>
      <w:divsChild>
        <w:div w:id="37627212">
          <w:marLeft w:val="0"/>
          <w:marRight w:val="0"/>
          <w:marTop w:val="0"/>
          <w:marBottom w:val="0"/>
          <w:divBdr>
            <w:top w:val="none" w:sz="0" w:space="0" w:color="auto"/>
            <w:left w:val="none" w:sz="0" w:space="0" w:color="auto"/>
            <w:bottom w:val="none" w:sz="0" w:space="0" w:color="auto"/>
            <w:right w:val="none" w:sz="0" w:space="0" w:color="auto"/>
          </w:divBdr>
          <w:divsChild>
            <w:div w:id="998921762">
              <w:marLeft w:val="0"/>
              <w:marRight w:val="0"/>
              <w:marTop w:val="0"/>
              <w:marBottom w:val="0"/>
              <w:divBdr>
                <w:top w:val="none" w:sz="0" w:space="0" w:color="auto"/>
                <w:left w:val="none" w:sz="0" w:space="0" w:color="auto"/>
                <w:bottom w:val="none" w:sz="0" w:space="0" w:color="auto"/>
                <w:right w:val="none" w:sz="0" w:space="0" w:color="auto"/>
              </w:divBdr>
            </w:div>
          </w:divsChild>
        </w:div>
        <w:div w:id="87776501">
          <w:marLeft w:val="0"/>
          <w:marRight w:val="0"/>
          <w:marTop w:val="0"/>
          <w:marBottom w:val="0"/>
          <w:divBdr>
            <w:top w:val="none" w:sz="0" w:space="0" w:color="auto"/>
            <w:left w:val="none" w:sz="0" w:space="0" w:color="auto"/>
            <w:bottom w:val="none" w:sz="0" w:space="0" w:color="auto"/>
            <w:right w:val="none" w:sz="0" w:space="0" w:color="auto"/>
          </w:divBdr>
          <w:divsChild>
            <w:div w:id="1018197994">
              <w:marLeft w:val="0"/>
              <w:marRight w:val="0"/>
              <w:marTop w:val="0"/>
              <w:marBottom w:val="0"/>
              <w:divBdr>
                <w:top w:val="none" w:sz="0" w:space="0" w:color="auto"/>
                <w:left w:val="none" w:sz="0" w:space="0" w:color="auto"/>
                <w:bottom w:val="none" w:sz="0" w:space="0" w:color="auto"/>
                <w:right w:val="none" w:sz="0" w:space="0" w:color="auto"/>
              </w:divBdr>
            </w:div>
          </w:divsChild>
        </w:div>
        <w:div w:id="104007386">
          <w:marLeft w:val="0"/>
          <w:marRight w:val="0"/>
          <w:marTop w:val="0"/>
          <w:marBottom w:val="0"/>
          <w:divBdr>
            <w:top w:val="none" w:sz="0" w:space="0" w:color="auto"/>
            <w:left w:val="none" w:sz="0" w:space="0" w:color="auto"/>
            <w:bottom w:val="none" w:sz="0" w:space="0" w:color="auto"/>
            <w:right w:val="none" w:sz="0" w:space="0" w:color="auto"/>
          </w:divBdr>
          <w:divsChild>
            <w:div w:id="71242510">
              <w:marLeft w:val="0"/>
              <w:marRight w:val="0"/>
              <w:marTop w:val="0"/>
              <w:marBottom w:val="0"/>
              <w:divBdr>
                <w:top w:val="none" w:sz="0" w:space="0" w:color="auto"/>
                <w:left w:val="none" w:sz="0" w:space="0" w:color="auto"/>
                <w:bottom w:val="none" w:sz="0" w:space="0" w:color="auto"/>
                <w:right w:val="none" w:sz="0" w:space="0" w:color="auto"/>
              </w:divBdr>
            </w:div>
          </w:divsChild>
        </w:div>
        <w:div w:id="157115414">
          <w:marLeft w:val="0"/>
          <w:marRight w:val="0"/>
          <w:marTop w:val="0"/>
          <w:marBottom w:val="0"/>
          <w:divBdr>
            <w:top w:val="none" w:sz="0" w:space="0" w:color="auto"/>
            <w:left w:val="none" w:sz="0" w:space="0" w:color="auto"/>
            <w:bottom w:val="none" w:sz="0" w:space="0" w:color="auto"/>
            <w:right w:val="none" w:sz="0" w:space="0" w:color="auto"/>
          </w:divBdr>
          <w:divsChild>
            <w:div w:id="1458336219">
              <w:marLeft w:val="0"/>
              <w:marRight w:val="0"/>
              <w:marTop w:val="0"/>
              <w:marBottom w:val="0"/>
              <w:divBdr>
                <w:top w:val="none" w:sz="0" w:space="0" w:color="auto"/>
                <w:left w:val="none" w:sz="0" w:space="0" w:color="auto"/>
                <w:bottom w:val="none" w:sz="0" w:space="0" w:color="auto"/>
                <w:right w:val="none" w:sz="0" w:space="0" w:color="auto"/>
              </w:divBdr>
            </w:div>
          </w:divsChild>
        </w:div>
        <w:div w:id="170487243">
          <w:marLeft w:val="0"/>
          <w:marRight w:val="0"/>
          <w:marTop w:val="0"/>
          <w:marBottom w:val="0"/>
          <w:divBdr>
            <w:top w:val="none" w:sz="0" w:space="0" w:color="auto"/>
            <w:left w:val="none" w:sz="0" w:space="0" w:color="auto"/>
            <w:bottom w:val="none" w:sz="0" w:space="0" w:color="auto"/>
            <w:right w:val="none" w:sz="0" w:space="0" w:color="auto"/>
          </w:divBdr>
          <w:divsChild>
            <w:div w:id="743722113">
              <w:marLeft w:val="0"/>
              <w:marRight w:val="0"/>
              <w:marTop w:val="0"/>
              <w:marBottom w:val="0"/>
              <w:divBdr>
                <w:top w:val="none" w:sz="0" w:space="0" w:color="auto"/>
                <w:left w:val="none" w:sz="0" w:space="0" w:color="auto"/>
                <w:bottom w:val="none" w:sz="0" w:space="0" w:color="auto"/>
                <w:right w:val="none" w:sz="0" w:space="0" w:color="auto"/>
              </w:divBdr>
            </w:div>
          </w:divsChild>
        </w:div>
        <w:div w:id="201984085">
          <w:marLeft w:val="0"/>
          <w:marRight w:val="0"/>
          <w:marTop w:val="0"/>
          <w:marBottom w:val="0"/>
          <w:divBdr>
            <w:top w:val="none" w:sz="0" w:space="0" w:color="auto"/>
            <w:left w:val="none" w:sz="0" w:space="0" w:color="auto"/>
            <w:bottom w:val="none" w:sz="0" w:space="0" w:color="auto"/>
            <w:right w:val="none" w:sz="0" w:space="0" w:color="auto"/>
          </w:divBdr>
          <w:divsChild>
            <w:div w:id="503400163">
              <w:marLeft w:val="0"/>
              <w:marRight w:val="0"/>
              <w:marTop w:val="0"/>
              <w:marBottom w:val="0"/>
              <w:divBdr>
                <w:top w:val="none" w:sz="0" w:space="0" w:color="auto"/>
                <w:left w:val="none" w:sz="0" w:space="0" w:color="auto"/>
                <w:bottom w:val="none" w:sz="0" w:space="0" w:color="auto"/>
                <w:right w:val="none" w:sz="0" w:space="0" w:color="auto"/>
              </w:divBdr>
            </w:div>
          </w:divsChild>
        </w:div>
        <w:div w:id="213393408">
          <w:marLeft w:val="0"/>
          <w:marRight w:val="0"/>
          <w:marTop w:val="0"/>
          <w:marBottom w:val="0"/>
          <w:divBdr>
            <w:top w:val="none" w:sz="0" w:space="0" w:color="auto"/>
            <w:left w:val="none" w:sz="0" w:space="0" w:color="auto"/>
            <w:bottom w:val="none" w:sz="0" w:space="0" w:color="auto"/>
            <w:right w:val="none" w:sz="0" w:space="0" w:color="auto"/>
          </w:divBdr>
          <w:divsChild>
            <w:div w:id="601189304">
              <w:marLeft w:val="0"/>
              <w:marRight w:val="0"/>
              <w:marTop w:val="0"/>
              <w:marBottom w:val="0"/>
              <w:divBdr>
                <w:top w:val="none" w:sz="0" w:space="0" w:color="auto"/>
                <w:left w:val="none" w:sz="0" w:space="0" w:color="auto"/>
                <w:bottom w:val="none" w:sz="0" w:space="0" w:color="auto"/>
                <w:right w:val="none" w:sz="0" w:space="0" w:color="auto"/>
              </w:divBdr>
            </w:div>
          </w:divsChild>
        </w:div>
        <w:div w:id="467554432">
          <w:marLeft w:val="0"/>
          <w:marRight w:val="0"/>
          <w:marTop w:val="0"/>
          <w:marBottom w:val="0"/>
          <w:divBdr>
            <w:top w:val="none" w:sz="0" w:space="0" w:color="auto"/>
            <w:left w:val="none" w:sz="0" w:space="0" w:color="auto"/>
            <w:bottom w:val="none" w:sz="0" w:space="0" w:color="auto"/>
            <w:right w:val="none" w:sz="0" w:space="0" w:color="auto"/>
          </w:divBdr>
          <w:divsChild>
            <w:div w:id="978728924">
              <w:marLeft w:val="0"/>
              <w:marRight w:val="0"/>
              <w:marTop w:val="0"/>
              <w:marBottom w:val="0"/>
              <w:divBdr>
                <w:top w:val="none" w:sz="0" w:space="0" w:color="auto"/>
                <w:left w:val="none" w:sz="0" w:space="0" w:color="auto"/>
                <w:bottom w:val="none" w:sz="0" w:space="0" w:color="auto"/>
                <w:right w:val="none" w:sz="0" w:space="0" w:color="auto"/>
              </w:divBdr>
            </w:div>
          </w:divsChild>
        </w:div>
        <w:div w:id="624652580">
          <w:marLeft w:val="0"/>
          <w:marRight w:val="0"/>
          <w:marTop w:val="0"/>
          <w:marBottom w:val="0"/>
          <w:divBdr>
            <w:top w:val="none" w:sz="0" w:space="0" w:color="auto"/>
            <w:left w:val="none" w:sz="0" w:space="0" w:color="auto"/>
            <w:bottom w:val="none" w:sz="0" w:space="0" w:color="auto"/>
            <w:right w:val="none" w:sz="0" w:space="0" w:color="auto"/>
          </w:divBdr>
          <w:divsChild>
            <w:div w:id="1345784907">
              <w:marLeft w:val="0"/>
              <w:marRight w:val="0"/>
              <w:marTop w:val="0"/>
              <w:marBottom w:val="0"/>
              <w:divBdr>
                <w:top w:val="none" w:sz="0" w:space="0" w:color="auto"/>
                <w:left w:val="none" w:sz="0" w:space="0" w:color="auto"/>
                <w:bottom w:val="none" w:sz="0" w:space="0" w:color="auto"/>
                <w:right w:val="none" w:sz="0" w:space="0" w:color="auto"/>
              </w:divBdr>
            </w:div>
          </w:divsChild>
        </w:div>
        <w:div w:id="651762198">
          <w:marLeft w:val="0"/>
          <w:marRight w:val="0"/>
          <w:marTop w:val="0"/>
          <w:marBottom w:val="0"/>
          <w:divBdr>
            <w:top w:val="none" w:sz="0" w:space="0" w:color="auto"/>
            <w:left w:val="none" w:sz="0" w:space="0" w:color="auto"/>
            <w:bottom w:val="none" w:sz="0" w:space="0" w:color="auto"/>
            <w:right w:val="none" w:sz="0" w:space="0" w:color="auto"/>
          </w:divBdr>
          <w:divsChild>
            <w:div w:id="296296962">
              <w:marLeft w:val="0"/>
              <w:marRight w:val="0"/>
              <w:marTop w:val="0"/>
              <w:marBottom w:val="0"/>
              <w:divBdr>
                <w:top w:val="none" w:sz="0" w:space="0" w:color="auto"/>
                <w:left w:val="none" w:sz="0" w:space="0" w:color="auto"/>
                <w:bottom w:val="none" w:sz="0" w:space="0" w:color="auto"/>
                <w:right w:val="none" w:sz="0" w:space="0" w:color="auto"/>
              </w:divBdr>
            </w:div>
          </w:divsChild>
        </w:div>
        <w:div w:id="1193421266">
          <w:marLeft w:val="0"/>
          <w:marRight w:val="0"/>
          <w:marTop w:val="0"/>
          <w:marBottom w:val="0"/>
          <w:divBdr>
            <w:top w:val="none" w:sz="0" w:space="0" w:color="auto"/>
            <w:left w:val="none" w:sz="0" w:space="0" w:color="auto"/>
            <w:bottom w:val="none" w:sz="0" w:space="0" w:color="auto"/>
            <w:right w:val="none" w:sz="0" w:space="0" w:color="auto"/>
          </w:divBdr>
          <w:divsChild>
            <w:div w:id="156461045">
              <w:marLeft w:val="0"/>
              <w:marRight w:val="0"/>
              <w:marTop w:val="0"/>
              <w:marBottom w:val="0"/>
              <w:divBdr>
                <w:top w:val="none" w:sz="0" w:space="0" w:color="auto"/>
                <w:left w:val="none" w:sz="0" w:space="0" w:color="auto"/>
                <w:bottom w:val="none" w:sz="0" w:space="0" w:color="auto"/>
                <w:right w:val="none" w:sz="0" w:space="0" w:color="auto"/>
              </w:divBdr>
            </w:div>
          </w:divsChild>
        </w:div>
        <w:div w:id="1223718337">
          <w:marLeft w:val="0"/>
          <w:marRight w:val="0"/>
          <w:marTop w:val="0"/>
          <w:marBottom w:val="0"/>
          <w:divBdr>
            <w:top w:val="none" w:sz="0" w:space="0" w:color="auto"/>
            <w:left w:val="none" w:sz="0" w:space="0" w:color="auto"/>
            <w:bottom w:val="none" w:sz="0" w:space="0" w:color="auto"/>
            <w:right w:val="none" w:sz="0" w:space="0" w:color="auto"/>
          </w:divBdr>
          <w:divsChild>
            <w:div w:id="1733429073">
              <w:marLeft w:val="0"/>
              <w:marRight w:val="0"/>
              <w:marTop w:val="0"/>
              <w:marBottom w:val="0"/>
              <w:divBdr>
                <w:top w:val="none" w:sz="0" w:space="0" w:color="auto"/>
                <w:left w:val="none" w:sz="0" w:space="0" w:color="auto"/>
                <w:bottom w:val="none" w:sz="0" w:space="0" w:color="auto"/>
                <w:right w:val="none" w:sz="0" w:space="0" w:color="auto"/>
              </w:divBdr>
            </w:div>
          </w:divsChild>
        </w:div>
        <w:div w:id="1490513596">
          <w:marLeft w:val="0"/>
          <w:marRight w:val="0"/>
          <w:marTop w:val="0"/>
          <w:marBottom w:val="0"/>
          <w:divBdr>
            <w:top w:val="none" w:sz="0" w:space="0" w:color="auto"/>
            <w:left w:val="none" w:sz="0" w:space="0" w:color="auto"/>
            <w:bottom w:val="none" w:sz="0" w:space="0" w:color="auto"/>
            <w:right w:val="none" w:sz="0" w:space="0" w:color="auto"/>
          </w:divBdr>
          <w:divsChild>
            <w:div w:id="1689604811">
              <w:marLeft w:val="0"/>
              <w:marRight w:val="0"/>
              <w:marTop w:val="0"/>
              <w:marBottom w:val="0"/>
              <w:divBdr>
                <w:top w:val="none" w:sz="0" w:space="0" w:color="auto"/>
                <w:left w:val="none" w:sz="0" w:space="0" w:color="auto"/>
                <w:bottom w:val="none" w:sz="0" w:space="0" w:color="auto"/>
                <w:right w:val="none" w:sz="0" w:space="0" w:color="auto"/>
              </w:divBdr>
            </w:div>
          </w:divsChild>
        </w:div>
        <w:div w:id="1534154817">
          <w:marLeft w:val="0"/>
          <w:marRight w:val="0"/>
          <w:marTop w:val="0"/>
          <w:marBottom w:val="0"/>
          <w:divBdr>
            <w:top w:val="none" w:sz="0" w:space="0" w:color="auto"/>
            <w:left w:val="none" w:sz="0" w:space="0" w:color="auto"/>
            <w:bottom w:val="none" w:sz="0" w:space="0" w:color="auto"/>
            <w:right w:val="none" w:sz="0" w:space="0" w:color="auto"/>
          </w:divBdr>
          <w:divsChild>
            <w:div w:id="747583321">
              <w:marLeft w:val="0"/>
              <w:marRight w:val="0"/>
              <w:marTop w:val="0"/>
              <w:marBottom w:val="0"/>
              <w:divBdr>
                <w:top w:val="none" w:sz="0" w:space="0" w:color="auto"/>
                <w:left w:val="none" w:sz="0" w:space="0" w:color="auto"/>
                <w:bottom w:val="none" w:sz="0" w:space="0" w:color="auto"/>
                <w:right w:val="none" w:sz="0" w:space="0" w:color="auto"/>
              </w:divBdr>
            </w:div>
          </w:divsChild>
        </w:div>
        <w:div w:id="1548646071">
          <w:marLeft w:val="0"/>
          <w:marRight w:val="0"/>
          <w:marTop w:val="0"/>
          <w:marBottom w:val="0"/>
          <w:divBdr>
            <w:top w:val="none" w:sz="0" w:space="0" w:color="auto"/>
            <w:left w:val="none" w:sz="0" w:space="0" w:color="auto"/>
            <w:bottom w:val="none" w:sz="0" w:space="0" w:color="auto"/>
            <w:right w:val="none" w:sz="0" w:space="0" w:color="auto"/>
          </w:divBdr>
          <w:divsChild>
            <w:div w:id="989210219">
              <w:marLeft w:val="0"/>
              <w:marRight w:val="0"/>
              <w:marTop w:val="0"/>
              <w:marBottom w:val="0"/>
              <w:divBdr>
                <w:top w:val="none" w:sz="0" w:space="0" w:color="auto"/>
                <w:left w:val="none" w:sz="0" w:space="0" w:color="auto"/>
                <w:bottom w:val="none" w:sz="0" w:space="0" w:color="auto"/>
                <w:right w:val="none" w:sz="0" w:space="0" w:color="auto"/>
              </w:divBdr>
            </w:div>
          </w:divsChild>
        </w:div>
        <w:div w:id="1583489281">
          <w:marLeft w:val="0"/>
          <w:marRight w:val="0"/>
          <w:marTop w:val="0"/>
          <w:marBottom w:val="0"/>
          <w:divBdr>
            <w:top w:val="none" w:sz="0" w:space="0" w:color="auto"/>
            <w:left w:val="none" w:sz="0" w:space="0" w:color="auto"/>
            <w:bottom w:val="none" w:sz="0" w:space="0" w:color="auto"/>
            <w:right w:val="none" w:sz="0" w:space="0" w:color="auto"/>
          </w:divBdr>
          <w:divsChild>
            <w:div w:id="1188829695">
              <w:marLeft w:val="0"/>
              <w:marRight w:val="0"/>
              <w:marTop w:val="0"/>
              <w:marBottom w:val="0"/>
              <w:divBdr>
                <w:top w:val="none" w:sz="0" w:space="0" w:color="auto"/>
                <w:left w:val="none" w:sz="0" w:space="0" w:color="auto"/>
                <w:bottom w:val="none" w:sz="0" w:space="0" w:color="auto"/>
                <w:right w:val="none" w:sz="0" w:space="0" w:color="auto"/>
              </w:divBdr>
            </w:div>
          </w:divsChild>
        </w:div>
        <w:div w:id="1603492692">
          <w:marLeft w:val="0"/>
          <w:marRight w:val="0"/>
          <w:marTop w:val="0"/>
          <w:marBottom w:val="0"/>
          <w:divBdr>
            <w:top w:val="none" w:sz="0" w:space="0" w:color="auto"/>
            <w:left w:val="none" w:sz="0" w:space="0" w:color="auto"/>
            <w:bottom w:val="none" w:sz="0" w:space="0" w:color="auto"/>
            <w:right w:val="none" w:sz="0" w:space="0" w:color="auto"/>
          </w:divBdr>
          <w:divsChild>
            <w:div w:id="366297559">
              <w:marLeft w:val="0"/>
              <w:marRight w:val="0"/>
              <w:marTop w:val="0"/>
              <w:marBottom w:val="0"/>
              <w:divBdr>
                <w:top w:val="none" w:sz="0" w:space="0" w:color="auto"/>
                <w:left w:val="none" w:sz="0" w:space="0" w:color="auto"/>
                <w:bottom w:val="none" w:sz="0" w:space="0" w:color="auto"/>
                <w:right w:val="none" w:sz="0" w:space="0" w:color="auto"/>
              </w:divBdr>
            </w:div>
          </w:divsChild>
        </w:div>
        <w:div w:id="1699551282">
          <w:marLeft w:val="0"/>
          <w:marRight w:val="0"/>
          <w:marTop w:val="0"/>
          <w:marBottom w:val="0"/>
          <w:divBdr>
            <w:top w:val="none" w:sz="0" w:space="0" w:color="auto"/>
            <w:left w:val="none" w:sz="0" w:space="0" w:color="auto"/>
            <w:bottom w:val="none" w:sz="0" w:space="0" w:color="auto"/>
            <w:right w:val="none" w:sz="0" w:space="0" w:color="auto"/>
          </w:divBdr>
          <w:divsChild>
            <w:div w:id="163866597">
              <w:marLeft w:val="0"/>
              <w:marRight w:val="0"/>
              <w:marTop w:val="0"/>
              <w:marBottom w:val="0"/>
              <w:divBdr>
                <w:top w:val="none" w:sz="0" w:space="0" w:color="auto"/>
                <w:left w:val="none" w:sz="0" w:space="0" w:color="auto"/>
                <w:bottom w:val="none" w:sz="0" w:space="0" w:color="auto"/>
                <w:right w:val="none" w:sz="0" w:space="0" w:color="auto"/>
              </w:divBdr>
            </w:div>
          </w:divsChild>
        </w:div>
        <w:div w:id="1870101079">
          <w:marLeft w:val="0"/>
          <w:marRight w:val="0"/>
          <w:marTop w:val="0"/>
          <w:marBottom w:val="0"/>
          <w:divBdr>
            <w:top w:val="none" w:sz="0" w:space="0" w:color="auto"/>
            <w:left w:val="none" w:sz="0" w:space="0" w:color="auto"/>
            <w:bottom w:val="none" w:sz="0" w:space="0" w:color="auto"/>
            <w:right w:val="none" w:sz="0" w:space="0" w:color="auto"/>
          </w:divBdr>
          <w:divsChild>
            <w:div w:id="647170051">
              <w:marLeft w:val="0"/>
              <w:marRight w:val="0"/>
              <w:marTop w:val="0"/>
              <w:marBottom w:val="0"/>
              <w:divBdr>
                <w:top w:val="none" w:sz="0" w:space="0" w:color="auto"/>
                <w:left w:val="none" w:sz="0" w:space="0" w:color="auto"/>
                <w:bottom w:val="none" w:sz="0" w:space="0" w:color="auto"/>
                <w:right w:val="none" w:sz="0" w:space="0" w:color="auto"/>
              </w:divBdr>
            </w:div>
          </w:divsChild>
        </w:div>
        <w:div w:id="1896970219">
          <w:marLeft w:val="0"/>
          <w:marRight w:val="0"/>
          <w:marTop w:val="0"/>
          <w:marBottom w:val="0"/>
          <w:divBdr>
            <w:top w:val="none" w:sz="0" w:space="0" w:color="auto"/>
            <w:left w:val="none" w:sz="0" w:space="0" w:color="auto"/>
            <w:bottom w:val="none" w:sz="0" w:space="0" w:color="auto"/>
            <w:right w:val="none" w:sz="0" w:space="0" w:color="auto"/>
          </w:divBdr>
          <w:divsChild>
            <w:div w:id="1997343551">
              <w:marLeft w:val="0"/>
              <w:marRight w:val="0"/>
              <w:marTop w:val="0"/>
              <w:marBottom w:val="0"/>
              <w:divBdr>
                <w:top w:val="none" w:sz="0" w:space="0" w:color="auto"/>
                <w:left w:val="none" w:sz="0" w:space="0" w:color="auto"/>
                <w:bottom w:val="none" w:sz="0" w:space="0" w:color="auto"/>
                <w:right w:val="none" w:sz="0" w:space="0" w:color="auto"/>
              </w:divBdr>
            </w:div>
          </w:divsChild>
        </w:div>
        <w:div w:id="1904943083">
          <w:marLeft w:val="0"/>
          <w:marRight w:val="0"/>
          <w:marTop w:val="0"/>
          <w:marBottom w:val="0"/>
          <w:divBdr>
            <w:top w:val="none" w:sz="0" w:space="0" w:color="auto"/>
            <w:left w:val="none" w:sz="0" w:space="0" w:color="auto"/>
            <w:bottom w:val="none" w:sz="0" w:space="0" w:color="auto"/>
            <w:right w:val="none" w:sz="0" w:space="0" w:color="auto"/>
          </w:divBdr>
          <w:divsChild>
            <w:div w:id="935135612">
              <w:marLeft w:val="0"/>
              <w:marRight w:val="0"/>
              <w:marTop w:val="0"/>
              <w:marBottom w:val="0"/>
              <w:divBdr>
                <w:top w:val="none" w:sz="0" w:space="0" w:color="auto"/>
                <w:left w:val="none" w:sz="0" w:space="0" w:color="auto"/>
                <w:bottom w:val="none" w:sz="0" w:space="0" w:color="auto"/>
                <w:right w:val="none" w:sz="0" w:space="0" w:color="auto"/>
              </w:divBdr>
            </w:div>
          </w:divsChild>
        </w:div>
        <w:div w:id="2007397411">
          <w:marLeft w:val="0"/>
          <w:marRight w:val="0"/>
          <w:marTop w:val="0"/>
          <w:marBottom w:val="0"/>
          <w:divBdr>
            <w:top w:val="none" w:sz="0" w:space="0" w:color="auto"/>
            <w:left w:val="none" w:sz="0" w:space="0" w:color="auto"/>
            <w:bottom w:val="none" w:sz="0" w:space="0" w:color="auto"/>
            <w:right w:val="none" w:sz="0" w:space="0" w:color="auto"/>
          </w:divBdr>
          <w:divsChild>
            <w:div w:id="104399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724184">
      <w:bodyDiv w:val="1"/>
      <w:marLeft w:val="0"/>
      <w:marRight w:val="0"/>
      <w:marTop w:val="0"/>
      <w:marBottom w:val="0"/>
      <w:divBdr>
        <w:top w:val="none" w:sz="0" w:space="0" w:color="auto"/>
        <w:left w:val="none" w:sz="0" w:space="0" w:color="auto"/>
        <w:bottom w:val="none" w:sz="0" w:space="0" w:color="auto"/>
        <w:right w:val="none" w:sz="0" w:space="0" w:color="auto"/>
      </w:divBdr>
    </w:div>
    <w:div w:id="2108648943">
      <w:bodyDiv w:val="1"/>
      <w:marLeft w:val="0"/>
      <w:marRight w:val="0"/>
      <w:marTop w:val="0"/>
      <w:marBottom w:val="0"/>
      <w:divBdr>
        <w:top w:val="none" w:sz="0" w:space="0" w:color="auto"/>
        <w:left w:val="none" w:sz="0" w:space="0" w:color="auto"/>
        <w:bottom w:val="none" w:sz="0" w:space="0" w:color="auto"/>
        <w:right w:val="none" w:sz="0" w:space="0" w:color="auto"/>
      </w:divBdr>
      <w:divsChild>
        <w:div w:id="973174719">
          <w:marLeft w:val="0"/>
          <w:marRight w:val="0"/>
          <w:marTop w:val="0"/>
          <w:marBottom w:val="0"/>
          <w:divBdr>
            <w:top w:val="none" w:sz="0" w:space="0" w:color="auto"/>
            <w:left w:val="none" w:sz="0" w:space="0" w:color="auto"/>
            <w:bottom w:val="none" w:sz="0" w:space="0" w:color="auto"/>
            <w:right w:val="none" w:sz="0" w:space="0" w:color="auto"/>
          </w:divBdr>
          <w:divsChild>
            <w:div w:id="219220484">
              <w:marLeft w:val="0"/>
              <w:marRight w:val="0"/>
              <w:marTop w:val="0"/>
              <w:marBottom w:val="0"/>
              <w:divBdr>
                <w:top w:val="none" w:sz="0" w:space="0" w:color="auto"/>
                <w:left w:val="single" w:sz="36" w:space="0" w:color="FFFFFF"/>
                <w:bottom w:val="none" w:sz="0" w:space="0" w:color="auto"/>
                <w:right w:val="single" w:sz="36" w:space="0" w:color="FFFFFF"/>
              </w:divBdr>
              <w:divsChild>
                <w:div w:id="312489381">
                  <w:marLeft w:val="0"/>
                  <w:marRight w:val="0"/>
                  <w:marTop w:val="0"/>
                  <w:marBottom w:val="0"/>
                  <w:divBdr>
                    <w:top w:val="none" w:sz="0" w:space="0" w:color="auto"/>
                    <w:left w:val="none" w:sz="0" w:space="0" w:color="auto"/>
                    <w:bottom w:val="none" w:sz="0" w:space="0" w:color="auto"/>
                    <w:right w:val="none" w:sz="0" w:space="0" w:color="auto"/>
                  </w:divBdr>
                  <w:divsChild>
                    <w:div w:id="138501117">
                      <w:marLeft w:val="0"/>
                      <w:marRight w:val="0"/>
                      <w:marTop w:val="0"/>
                      <w:marBottom w:val="0"/>
                      <w:divBdr>
                        <w:top w:val="none" w:sz="0" w:space="0" w:color="auto"/>
                        <w:left w:val="none" w:sz="0" w:space="0" w:color="auto"/>
                        <w:bottom w:val="none" w:sz="0" w:space="0" w:color="auto"/>
                        <w:right w:val="none" w:sz="0" w:space="0" w:color="auto"/>
                      </w:divBdr>
                      <w:divsChild>
                        <w:div w:id="1300526769">
                          <w:marLeft w:val="0"/>
                          <w:marRight w:val="0"/>
                          <w:marTop w:val="0"/>
                          <w:marBottom w:val="0"/>
                          <w:divBdr>
                            <w:top w:val="none" w:sz="0" w:space="0" w:color="auto"/>
                            <w:left w:val="none" w:sz="0" w:space="0" w:color="auto"/>
                            <w:bottom w:val="none" w:sz="0" w:space="0" w:color="auto"/>
                            <w:right w:val="none" w:sz="0" w:space="0" w:color="auto"/>
                          </w:divBdr>
                          <w:divsChild>
                            <w:div w:id="1220441822">
                              <w:marLeft w:val="0"/>
                              <w:marRight w:val="0"/>
                              <w:marTop w:val="0"/>
                              <w:marBottom w:val="0"/>
                              <w:divBdr>
                                <w:top w:val="single" w:sz="6" w:space="2" w:color="1060AC"/>
                                <w:left w:val="single" w:sz="6" w:space="2" w:color="1060AC"/>
                                <w:bottom w:val="single" w:sz="6" w:space="2" w:color="1060AC"/>
                                <w:right w:val="single" w:sz="6" w:space="2" w:color="1060AC"/>
                              </w:divBdr>
                              <w:divsChild>
                                <w:div w:id="210963422">
                                  <w:marLeft w:val="72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4128212">
      <w:bodyDiv w:val="1"/>
      <w:marLeft w:val="0"/>
      <w:marRight w:val="0"/>
      <w:marTop w:val="0"/>
      <w:marBottom w:val="0"/>
      <w:divBdr>
        <w:top w:val="none" w:sz="0" w:space="0" w:color="auto"/>
        <w:left w:val="none" w:sz="0" w:space="0" w:color="auto"/>
        <w:bottom w:val="none" w:sz="0" w:space="0" w:color="auto"/>
        <w:right w:val="none" w:sz="0" w:space="0" w:color="auto"/>
      </w:divBdr>
    </w:div>
    <w:div w:id="2115588165">
      <w:bodyDiv w:val="1"/>
      <w:marLeft w:val="0"/>
      <w:marRight w:val="0"/>
      <w:marTop w:val="0"/>
      <w:marBottom w:val="0"/>
      <w:divBdr>
        <w:top w:val="none" w:sz="0" w:space="0" w:color="auto"/>
        <w:left w:val="none" w:sz="0" w:space="0" w:color="auto"/>
        <w:bottom w:val="none" w:sz="0" w:space="0" w:color="auto"/>
        <w:right w:val="none" w:sz="0" w:space="0" w:color="auto"/>
      </w:divBdr>
      <w:divsChild>
        <w:div w:id="15232575">
          <w:marLeft w:val="0"/>
          <w:marRight w:val="0"/>
          <w:marTop w:val="0"/>
          <w:marBottom w:val="0"/>
          <w:divBdr>
            <w:top w:val="none" w:sz="0" w:space="0" w:color="auto"/>
            <w:left w:val="none" w:sz="0" w:space="0" w:color="auto"/>
            <w:bottom w:val="none" w:sz="0" w:space="0" w:color="auto"/>
            <w:right w:val="none" w:sz="0" w:space="0" w:color="auto"/>
          </w:divBdr>
          <w:divsChild>
            <w:div w:id="1366756873">
              <w:marLeft w:val="0"/>
              <w:marRight w:val="0"/>
              <w:marTop w:val="0"/>
              <w:marBottom w:val="0"/>
              <w:divBdr>
                <w:top w:val="none" w:sz="0" w:space="0" w:color="auto"/>
                <w:left w:val="none" w:sz="0" w:space="0" w:color="auto"/>
                <w:bottom w:val="none" w:sz="0" w:space="0" w:color="auto"/>
                <w:right w:val="none" w:sz="0" w:space="0" w:color="auto"/>
              </w:divBdr>
            </w:div>
          </w:divsChild>
        </w:div>
        <w:div w:id="232399677">
          <w:marLeft w:val="0"/>
          <w:marRight w:val="0"/>
          <w:marTop w:val="0"/>
          <w:marBottom w:val="0"/>
          <w:divBdr>
            <w:top w:val="none" w:sz="0" w:space="0" w:color="auto"/>
            <w:left w:val="none" w:sz="0" w:space="0" w:color="auto"/>
            <w:bottom w:val="none" w:sz="0" w:space="0" w:color="auto"/>
            <w:right w:val="none" w:sz="0" w:space="0" w:color="auto"/>
          </w:divBdr>
          <w:divsChild>
            <w:div w:id="905722640">
              <w:marLeft w:val="0"/>
              <w:marRight w:val="0"/>
              <w:marTop w:val="0"/>
              <w:marBottom w:val="0"/>
              <w:divBdr>
                <w:top w:val="none" w:sz="0" w:space="0" w:color="auto"/>
                <w:left w:val="none" w:sz="0" w:space="0" w:color="auto"/>
                <w:bottom w:val="none" w:sz="0" w:space="0" w:color="auto"/>
                <w:right w:val="none" w:sz="0" w:space="0" w:color="auto"/>
              </w:divBdr>
            </w:div>
            <w:div w:id="1220090098">
              <w:marLeft w:val="0"/>
              <w:marRight w:val="0"/>
              <w:marTop w:val="0"/>
              <w:marBottom w:val="0"/>
              <w:divBdr>
                <w:top w:val="none" w:sz="0" w:space="0" w:color="auto"/>
                <w:left w:val="none" w:sz="0" w:space="0" w:color="auto"/>
                <w:bottom w:val="none" w:sz="0" w:space="0" w:color="auto"/>
                <w:right w:val="none" w:sz="0" w:space="0" w:color="auto"/>
              </w:divBdr>
            </w:div>
            <w:div w:id="2089109507">
              <w:marLeft w:val="0"/>
              <w:marRight w:val="0"/>
              <w:marTop w:val="0"/>
              <w:marBottom w:val="0"/>
              <w:divBdr>
                <w:top w:val="none" w:sz="0" w:space="0" w:color="auto"/>
                <w:left w:val="none" w:sz="0" w:space="0" w:color="auto"/>
                <w:bottom w:val="none" w:sz="0" w:space="0" w:color="auto"/>
                <w:right w:val="none" w:sz="0" w:space="0" w:color="auto"/>
              </w:divBdr>
            </w:div>
          </w:divsChild>
        </w:div>
        <w:div w:id="532810120">
          <w:marLeft w:val="0"/>
          <w:marRight w:val="0"/>
          <w:marTop w:val="0"/>
          <w:marBottom w:val="0"/>
          <w:divBdr>
            <w:top w:val="none" w:sz="0" w:space="0" w:color="auto"/>
            <w:left w:val="none" w:sz="0" w:space="0" w:color="auto"/>
            <w:bottom w:val="none" w:sz="0" w:space="0" w:color="auto"/>
            <w:right w:val="none" w:sz="0" w:space="0" w:color="auto"/>
          </w:divBdr>
          <w:divsChild>
            <w:div w:id="360015183">
              <w:marLeft w:val="0"/>
              <w:marRight w:val="0"/>
              <w:marTop w:val="0"/>
              <w:marBottom w:val="0"/>
              <w:divBdr>
                <w:top w:val="none" w:sz="0" w:space="0" w:color="auto"/>
                <w:left w:val="none" w:sz="0" w:space="0" w:color="auto"/>
                <w:bottom w:val="none" w:sz="0" w:space="0" w:color="auto"/>
                <w:right w:val="none" w:sz="0" w:space="0" w:color="auto"/>
              </w:divBdr>
            </w:div>
          </w:divsChild>
        </w:div>
        <w:div w:id="532964223">
          <w:marLeft w:val="0"/>
          <w:marRight w:val="0"/>
          <w:marTop w:val="0"/>
          <w:marBottom w:val="0"/>
          <w:divBdr>
            <w:top w:val="none" w:sz="0" w:space="0" w:color="auto"/>
            <w:left w:val="none" w:sz="0" w:space="0" w:color="auto"/>
            <w:bottom w:val="none" w:sz="0" w:space="0" w:color="auto"/>
            <w:right w:val="none" w:sz="0" w:space="0" w:color="auto"/>
          </w:divBdr>
          <w:divsChild>
            <w:div w:id="1575360598">
              <w:marLeft w:val="0"/>
              <w:marRight w:val="0"/>
              <w:marTop w:val="0"/>
              <w:marBottom w:val="0"/>
              <w:divBdr>
                <w:top w:val="none" w:sz="0" w:space="0" w:color="auto"/>
                <w:left w:val="none" w:sz="0" w:space="0" w:color="auto"/>
                <w:bottom w:val="none" w:sz="0" w:space="0" w:color="auto"/>
                <w:right w:val="none" w:sz="0" w:space="0" w:color="auto"/>
              </w:divBdr>
            </w:div>
          </w:divsChild>
        </w:div>
        <w:div w:id="585843712">
          <w:marLeft w:val="0"/>
          <w:marRight w:val="0"/>
          <w:marTop w:val="0"/>
          <w:marBottom w:val="0"/>
          <w:divBdr>
            <w:top w:val="none" w:sz="0" w:space="0" w:color="auto"/>
            <w:left w:val="none" w:sz="0" w:space="0" w:color="auto"/>
            <w:bottom w:val="none" w:sz="0" w:space="0" w:color="auto"/>
            <w:right w:val="none" w:sz="0" w:space="0" w:color="auto"/>
          </w:divBdr>
          <w:divsChild>
            <w:div w:id="519205577">
              <w:marLeft w:val="0"/>
              <w:marRight w:val="0"/>
              <w:marTop w:val="0"/>
              <w:marBottom w:val="0"/>
              <w:divBdr>
                <w:top w:val="none" w:sz="0" w:space="0" w:color="auto"/>
                <w:left w:val="none" w:sz="0" w:space="0" w:color="auto"/>
                <w:bottom w:val="none" w:sz="0" w:space="0" w:color="auto"/>
                <w:right w:val="none" w:sz="0" w:space="0" w:color="auto"/>
              </w:divBdr>
            </w:div>
          </w:divsChild>
        </w:div>
        <w:div w:id="689261271">
          <w:marLeft w:val="0"/>
          <w:marRight w:val="0"/>
          <w:marTop w:val="0"/>
          <w:marBottom w:val="0"/>
          <w:divBdr>
            <w:top w:val="none" w:sz="0" w:space="0" w:color="auto"/>
            <w:left w:val="none" w:sz="0" w:space="0" w:color="auto"/>
            <w:bottom w:val="none" w:sz="0" w:space="0" w:color="auto"/>
            <w:right w:val="none" w:sz="0" w:space="0" w:color="auto"/>
          </w:divBdr>
          <w:divsChild>
            <w:div w:id="165365582">
              <w:marLeft w:val="0"/>
              <w:marRight w:val="0"/>
              <w:marTop w:val="0"/>
              <w:marBottom w:val="0"/>
              <w:divBdr>
                <w:top w:val="none" w:sz="0" w:space="0" w:color="auto"/>
                <w:left w:val="none" w:sz="0" w:space="0" w:color="auto"/>
                <w:bottom w:val="none" w:sz="0" w:space="0" w:color="auto"/>
                <w:right w:val="none" w:sz="0" w:space="0" w:color="auto"/>
              </w:divBdr>
            </w:div>
          </w:divsChild>
        </w:div>
        <w:div w:id="839739866">
          <w:marLeft w:val="0"/>
          <w:marRight w:val="0"/>
          <w:marTop w:val="0"/>
          <w:marBottom w:val="0"/>
          <w:divBdr>
            <w:top w:val="none" w:sz="0" w:space="0" w:color="auto"/>
            <w:left w:val="none" w:sz="0" w:space="0" w:color="auto"/>
            <w:bottom w:val="none" w:sz="0" w:space="0" w:color="auto"/>
            <w:right w:val="none" w:sz="0" w:space="0" w:color="auto"/>
          </w:divBdr>
          <w:divsChild>
            <w:div w:id="15733477">
              <w:marLeft w:val="0"/>
              <w:marRight w:val="0"/>
              <w:marTop w:val="0"/>
              <w:marBottom w:val="0"/>
              <w:divBdr>
                <w:top w:val="none" w:sz="0" w:space="0" w:color="auto"/>
                <w:left w:val="none" w:sz="0" w:space="0" w:color="auto"/>
                <w:bottom w:val="none" w:sz="0" w:space="0" w:color="auto"/>
                <w:right w:val="none" w:sz="0" w:space="0" w:color="auto"/>
              </w:divBdr>
            </w:div>
            <w:div w:id="1705247198">
              <w:marLeft w:val="0"/>
              <w:marRight w:val="0"/>
              <w:marTop w:val="0"/>
              <w:marBottom w:val="0"/>
              <w:divBdr>
                <w:top w:val="none" w:sz="0" w:space="0" w:color="auto"/>
                <w:left w:val="none" w:sz="0" w:space="0" w:color="auto"/>
                <w:bottom w:val="none" w:sz="0" w:space="0" w:color="auto"/>
                <w:right w:val="none" w:sz="0" w:space="0" w:color="auto"/>
              </w:divBdr>
            </w:div>
          </w:divsChild>
        </w:div>
        <w:div w:id="902713575">
          <w:marLeft w:val="0"/>
          <w:marRight w:val="0"/>
          <w:marTop w:val="0"/>
          <w:marBottom w:val="0"/>
          <w:divBdr>
            <w:top w:val="none" w:sz="0" w:space="0" w:color="auto"/>
            <w:left w:val="none" w:sz="0" w:space="0" w:color="auto"/>
            <w:bottom w:val="none" w:sz="0" w:space="0" w:color="auto"/>
            <w:right w:val="none" w:sz="0" w:space="0" w:color="auto"/>
          </w:divBdr>
          <w:divsChild>
            <w:div w:id="927542781">
              <w:marLeft w:val="0"/>
              <w:marRight w:val="0"/>
              <w:marTop w:val="0"/>
              <w:marBottom w:val="0"/>
              <w:divBdr>
                <w:top w:val="none" w:sz="0" w:space="0" w:color="auto"/>
                <w:left w:val="none" w:sz="0" w:space="0" w:color="auto"/>
                <w:bottom w:val="none" w:sz="0" w:space="0" w:color="auto"/>
                <w:right w:val="none" w:sz="0" w:space="0" w:color="auto"/>
              </w:divBdr>
            </w:div>
            <w:div w:id="1381635625">
              <w:marLeft w:val="0"/>
              <w:marRight w:val="0"/>
              <w:marTop w:val="0"/>
              <w:marBottom w:val="0"/>
              <w:divBdr>
                <w:top w:val="none" w:sz="0" w:space="0" w:color="auto"/>
                <w:left w:val="none" w:sz="0" w:space="0" w:color="auto"/>
                <w:bottom w:val="none" w:sz="0" w:space="0" w:color="auto"/>
                <w:right w:val="none" w:sz="0" w:space="0" w:color="auto"/>
              </w:divBdr>
            </w:div>
          </w:divsChild>
        </w:div>
        <w:div w:id="1018238755">
          <w:marLeft w:val="0"/>
          <w:marRight w:val="0"/>
          <w:marTop w:val="0"/>
          <w:marBottom w:val="0"/>
          <w:divBdr>
            <w:top w:val="none" w:sz="0" w:space="0" w:color="auto"/>
            <w:left w:val="none" w:sz="0" w:space="0" w:color="auto"/>
            <w:bottom w:val="none" w:sz="0" w:space="0" w:color="auto"/>
            <w:right w:val="none" w:sz="0" w:space="0" w:color="auto"/>
          </w:divBdr>
          <w:divsChild>
            <w:div w:id="780759413">
              <w:marLeft w:val="0"/>
              <w:marRight w:val="0"/>
              <w:marTop w:val="0"/>
              <w:marBottom w:val="0"/>
              <w:divBdr>
                <w:top w:val="none" w:sz="0" w:space="0" w:color="auto"/>
                <w:left w:val="none" w:sz="0" w:space="0" w:color="auto"/>
                <w:bottom w:val="none" w:sz="0" w:space="0" w:color="auto"/>
                <w:right w:val="none" w:sz="0" w:space="0" w:color="auto"/>
              </w:divBdr>
            </w:div>
          </w:divsChild>
        </w:div>
        <w:div w:id="1089472393">
          <w:marLeft w:val="0"/>
          <w:marRight w:val="0"/>
          <w:marTop w:val="0"/>
          <w:marBottom w:val="0"/>
          <w:divBdr>
            <w:top w:val="none" w:sz="0" w:space="0" w:color="auto"/>
            <w:left w:val="none" w:sz="0" w:space="0" w:color="auto"/>
            <w:bottom w:val="none" w:sz="0" w:space="0" w:color="auto"/>
            <w:right w:val="none" w:sz="0" w:space="0" w:color="auto"/>
          </w:divBdr>
          <w:divsChild>
            <w:div w:id="1252087162">
              <w:marLeft w:val="0"/>
              <w:marRight w:val="0"/>
              <w:marTop w:val="0"/>
              <w:marBottom w:val="0"/>
              <w:divBdr>
                <w:top w:val="none" w:sz="0" w:space="0" w:color="auto"/>
                <w:left w:val="none" w:sz="0" w:space="0" w:color="auto"/>
                <w:bottom w:val="none" w:sz="0" w:space="0" w:color="auto"/>
                <w:right w:val="none" w:sz="0" w:space="0" w:color="auto"/>
              </w:divBdr>
            </w:div>
          </w:divsChild>
        </w:div>
        <w:div w:id="1092747510">
          <w:marLeft w:val="0"/>
          <w:marRight w:val="0"/>
          <w:marTop w:val="0"/>
          <w:marBottom w:val="0"/>
          <w:divBdr>
            <w:top w:val="none" w:sz="0" w:space="0" w:color="auto"/>
            <w:left w:val="none" w:sz="0" w:space="0" w:color="auto"/>
            <w:bottom w:val="none" w:sz="0" w:space="0" w:color="auto"/>
            <w:right w:val="none" w:sz="0" w:space="0" w:color="auto"/>
          </w:divBdr>
          <w:divsChild>
            <w:div w:id="990987298">
              <w:marLeft w:val="0"/>
              <w:marRight w:val="0"/>
              <w:marTop w:val="0"/>
              <w:marBottom w:val="0"/>
              <w:divBdr>
                <w:top w:val="none" w:sz="0" w:space="0" w:color="auto"/>
                <w:left w:val="none" w:sz="0" w:space="0" w:color="auto"/>
                <w:bottom w:val="none" w:sz="0" w:space="0" w:color="auto"/>
                <w:right w:val="none" w:sz="0" w:space="0" w:color="auto"/>
              </w:divBdr>
            </w:div>
            <w:div w:id="1874607975">
              <w:marLeft w:val="0"/>
              <w:marRight w:val="0"/>
              <w:marTop w:val="0"/>
              <w:marBottom w:val="0"/>
              <w:divBdr>
                <w:top w:val="none" w:sz="0" w:space="0" w:color="auto"/>
                <w:left w:val="none" w:sz="0" w:space="0" w:color="auto"/>
                <w:bottom w:val="none" w:sz="0" w:space="0" w:color="auto"/>
                <w:right w:val="none" w:sz="0" w:space="0" w:color="auto"/>
              </w:divBdr>
            </w:div>
            <w:div w:id="1931615876">
              <w:marLeft w:val="0"/>
              <w:marRight w:val="0"/>
              <w:marTop w:val="0"/>
              <w:marBottom w:val="0"/>
              <w:divBdr>
                <w:top w:val="none" w:sz="0" w:space="0" w:color="auto"/>
                <w:left w:val="none" w:sz="0" w:space="0" w:color="auto"/>
                <w:bottom w:val="none" w:sz="0" w:space="0" w:color="auto"/>
                <w:right w:val="none" w:sz="0" w:space="0" w:color="auto"/>
              </w:divBdr>
            </w:div>
          </w:divsChild>
        </w:div>
        <w:div w:id="1693997340">
          <w:marLeft w:val="0"/>
          <w:marRight w:val="0"/>
          <w:marTop w:val="0"/>
          <w:marBottom w:val="0"/>
          <w:divBdr>
            <w:top w:val="none" w:sz="0" w:space="0" w:color="auto"/>
            <w:left w:val="none" w:sz="0" w:space="0" w:color="auto"/>
            <w:bottom w:val="none" w:sz="0" w:space="0" w:color="auto"/>
            <w:right w:val="none" w:sz="0" w:space="0" w:color="auto"/>
          </w:divBdr>
          <w:divsChild>
            <w:div w:id="163977170">
              <w:marLeft w:val="0"/>
              <w:marRight w:val="0"/>
              <w:marTop w:val="0"/>
              <w:marBottom w:val="0"/>
              <w:divBdr>
                <w:top w:val="none" w:sz="0" w:space="0" w:color="auto"/>
                <w:left w:val="none" w:sz="0" w:space="0" w:color="auto"/>
                <w:bottom w:val="none" w:sz="0" w:space="0" w:color="auto"/>
                <w:right w:val="none" w:sz="0" w:space="0" w:color="auto"/>
              </w:divBdr>
            </w:div>
          </w:divsChild>
        </w:div>
        <w:div w:id="1699769665">
          <w:marLeft w:val="0"/>
          <w:marRight w:val="0"/>
          <w:marTop w:val="0"/>
          <w:marBottom w:val="0"/>
          <w:divBdr>
            <w:top w:val="none" w:sz="0" w:space="0" w:color="auto"/>
            <w:left w:val="none" w:sz="0" w:space="0" w:color="auto"/>
            <w:bottom w:val="none" w:sz="0" w:space="0" w:color="auto"/>
            <w:right w:val="none" w:sz="0" w:space="0" w:color="auto"/>
          </w:divBdr>
          <w:divsChild>
            <w:div w:id="492332622">
              <w:marLeft w:val="0"/>
              <w:marRight w:val="0"/>
              <w:marTop w:val="0"/>
              <w:marBottom w:val="0"/>
              <w:divBdr>
                <w:top w:val="none" w:sz="0" w:space="0" w:color="auto"/>
                <w:left w:val="none" w:sz="0" w:space="0" w:color="auto"/>
                <w:bottom w:val="none" w:sz="0" w:space="0" w:color="auto"/>
                <w:right w:val="none" w:sz="0" w:space="0" w:color="auto"/>
              </w:divBdr>
            </w:div>
          </w:divsChild>
        </w:div>
        <w:div w:id="1787963616">
          <w:marLeft w:val="0"/>
          <w:marRight w:val="0"/>
          <w:marTop w:val="0"/>
          <w:marBottom w:val="0"/>
          <w:divBdr>
            <w:top w:val="none" w:sz="0" w:space="0" w:color="auto"/>
            <w:left w:val="none" w:sz="0" w:space="0" w:color="auto"/>
            <w:bottom w:val="none" w:sz="0" w:space="0" w:color="auto"/>
            <w:right w:val="none" w:sz="0" w:space="0" w:color="auto"/>
          </w:divBdr>
          <w:divsChild>
            <w:div w:id="1146632205">
              <w:marLeft w:val="0"/>
              <w:marRight w:val="0"/>
              <w:marTop w:val="0"/>
              <w:marBottom w:val="0"/>
              <w:divBdr>
                <w:top w:val="none" w:sz="0" w:space="0" w:color="auto"/>
                <w:left w:val="none" w:sz="0" w:space="0" w:color="auto"/>
                <w:bottom w:val="none" w:sz="0" w:space="0" w:color="auto"/>
                <w:right w:val="none" w:sz="0" w:space="0" w:color="auto"/>
              </w:divBdr>
            </w:div>
          </w:divsChild>
        </w:div>
        <w:div w:id="2060279474">
          <w:marLeft w:val="0"/>
          <w:marRight w:val="0"/>
          <w:marTop w:val="0"/>
          <w:marBottom w:val="0"/>
          <w:divBdr>
            <w:top w:val="none" w:sz="0" w:space="0" w:color="auto"/>
            <w:left w:val="none" w:sz="0" w:space="0" w:color="auto"/>
            <w:bottom w:val="none" w:sz="0" w:space="0" w:color="auto"/>
            <w:right w:val="none" w:sz="0" w:space="0" w:color="auto"/>
          </w:divBdr>
          <w:divsChild>
            <w:div w:id="1655378044">
              <w:marLeft w:val="0"/>
              <w:marRight w:val="0"/>
              <w:marTop w:val="0"/>
              <w:marBottom w:val="0"/>
              <w:divBdr>
                <w:top w:val="none" w:sz="0" w:space="0" w:color="auto"/>
                <w:left w:val="none" w:sz="0" w:space="0" w:color="auto"/>
                <w:bottom w:val="none" w:sz="0" w:space="0" w:color="auto"/>
                <w:right w:val="none" w:sz="0" w:space="0" w:color="auto"/>
              </w:divBdr>
            </w:div>
            <w:div w:id="189098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109587">
      <w:bodyDiv w:val="1"/>
      <w:marLeft w:val="0"/>
      <w:marRight w:val="0"/>
      <w:marTop w:val="0"/>
      <w:marBottom w:val="0"/>
      <w:divBdr>
        <w:top w:val="none" w:sz="0" w:space="0" w:color="auto"/>
        <w:left w:val="none" w:sz="0" w:space="0" w:color="auto"/>
        <w:bottom w:val="none" w:sz="0" w:space="0" w:color="auto"/>
        <w:right w:val="none" w:sz="0" w:space="0" w:color="auto"/>
      </w:divBdr>
      <w:divsChild>
        <w:div w:id="13965596">
          <w:marLeft w:val="0"/>
          <w:marRight w:val="0"/>
          <w:marTop w:val="0"/>
          <w:marBottom w:val="0"/>
          <w:divBdr>
            <w:top w:val="none" w:sz="0" w:space="0" w:color="auto"/>
            <w:left w:val="none" w:sz="0" w:space="0" w:color="auto"/>
            <w:bottom w:val="none" w:sz="0" w:space="0" w:color="auto"/>
            <w:right w:val="none" w:sz="0" w:space="0" w:color="auto"/>
          </w:divBdr>
          <w:divsChild>
            <w:div w:id="295647844">
              <w:marLeft w:val="0"/>
              <w:marRight w:val="0"/>
              <w:marTop w:val="0"/>
              <w:marBottom w:val="0"/>
              <w:divBdr>
                <w:top w:val="none" w:sz="0" w:space="0" w:color="auto"/>
                <w:left w:val="none" w:sz="0" w:space="0" w:color="auto"/>
                <w:bottom w:val="none" w:sz="0" w:space="0" w:color="auto"/>
                <w:right w:val="none" w:sz="0" w:space="0" w:color="auto"/>
              </w:divBdr>
            </w:div>
            <w:div w:id="628315195">
              <w:marLeft w:val="0"/>
              <w:marRight w:val="0"/>
              <w:marTop w:val="0"/>
              <w:marBottom w:val="0"/>
              <w:divBdr>
                <w:top w:val="none" w:sz="0" w:space="0" w:color="auto"/>
                <w:left w:val="none" w:sz="0" w:space="0" w:color="auto"/>
                <w:bottom w:val="none" w:sz="0" w:space="0" w:color="auto"/>
                <w:right w:val="none" w:sz="0" w:space="0" w:color="auto"/>
              </w:divBdr>
            </w:div>
            <w:div w:id="943003608">
              <w:marLeft w:val="0"/>
              <w:marRight w:val="0"/>
              <w:marTop w:val="0"/>
              <w:marBottom w:val="0"/>
              <w:divBdr>
                <w:top w:val="none" w:sz="0" w:space="0" w:color="auto"/>
                <w:left w:val="none" w:sz="0" w:space="0" w:color="auto"/>
                <w:bottom w:val="none" w:sz="0" w:space="0" w:color="auto"/>
                <w:right w:val="none" w:sz="0" w:space="0" w:color="auto"/>
              </w:divBdr>
            </w:div>
            <w:div w:id="1193884945">
              <w:marLeft w:val="0"/>
              <w:marRight w:val="0"/>
              <w:marTop w:val="0"/>
              <w:marBottom w:val="0"/>
              <w:divBdr>
                <w:top w:val="none" w:sz="0" w:space="0" w:color="auto"/>
                <w:left w:val="none" w:sz="0" w:space="0" w:color="auto"/>
                <w:bottom w:val="none" w:sz="0" w:space="0" w:color="auto"/>
                <w:right w:val="none" w:sz="0" w:space="0" w:color="auto"/>
              </w:divBdr>
            </w:div>
            <w:div w:id="1412316763">
              <w:marLeft w:val="0"/>
              <w:marRight w:val="0"/>
              <w:marTop w:val="0"/>
              <w:marBottom w:val="0"/>
              <w:divBdr>
                <w:top w:val="none" w:sz="0" w:space="0" w:color="auto"/>
                <w:left w:val="none" w:sz="0" w:space="0" w:color="auto"/>
                <w:bottom w:val="none" w:sz="0" w:space="0" w:color="auto"/>
                <w:right w:val="none" w:sz="0" w:space="0" w:color="auto"/>
              </w:divBdr>
            </w:div>
            <w:div w:id="1514420438">
              <w:marLeft w:val="0"/>
              <w:marRight w:val="0"/>
              <w:marTop w:val="0"/>
              <w:marBottom w:val="0"/>
              <w:divBdr>
                <w:top w:val="none" w:sz="0" w:space="0" w:color="auto"/>
                <w:left w:val="none" w:sz="0" w:space="0" w:color="auto"/>
                <w:bottom w:val="none" w:sz="0" w:space="0" w:color="auto"/>
                <w:right w:val="none" w:sz="0" w:space="0" w:color="auto"/>
              </w:divBdr>
            </w:div>
            <w:div w:id="1975211360">
              <w:marLeft w:val="0"/>
              <w:marRight w:val="0"/>
              <w:marTop w:val="0"/>
              <w:marBottom w:val="0"/>
              <w:divBdr>
                <w:top w:val="none" w:sz="0" w:space="0" w:color="auto"/>
                <w:left w:val="none" w:sz="0" w:space="0" w:color="auto"/>
                <w:bottom w:val="none" w:sz="0" w:space="0" w:color="auto"/>
                <w:right w:val="none" w:sz="0" w:space="0" w:color="auto"/>
              </w:divBdr>
            </w:div>
            <w:div w:id="2088264504">
              <w:marLeft w:val="0"/>
              <w:marRight w:val="0"/>
              <w:marTop w:val="0"/>
              <w:marBottom w:val="0"/>
              <w:divBdr>
                <w:top w:val="none" w:sz="0" w:space="0" w:color="auto"/>
                <w:left w:val="none" w:sz="0" w:space="0" w:color="auto"/>
                <w:bottom w:val="none" w:sz="0" w:space="0" w:color="auto"/>
                <w:right w:val="none" w:sz="0" w:space="0" w:color="auto"/>
              </w:divBdr>
            </w:div>
          </w:divsChild>
        </w:div>
        <w:div w:id="24792825">
          <w:marLeft w:val="0"/>
          <w:marRight w:val="0"/>
          <w:marTop w:val="0"/>
          <w:marBottom w:val="0"/>
          <w:divBdr>
            <w:top w:val="none" w:sz="0" w:space="0" w:color="auto"/>
            <w:left w:val="none" w:sz="0" w:space="0" w:color="auto"/>
            <w:bottom w:val="none" w:sz="0" w:space="0" w:color="auto"/>
            <w:right w:val="none" w:sz="0" w:space="0" w:color="auto"/>
          </w:divBdr>
          <w:divsChild>
            <w:div w:id="278727354">
              <w:marLeft w:val="0"/>
              <w:marRight w:val="0"/>
              <w:marTop w:val="0"/>
              <w:marBottom w:val="0"/>
              <w:divBdr>
                <w:top w:val="none" w:sz="0" w:space="0" w:color="auto"/>
                <w:left w:val="none" w:sz="0" w:space="0" w:color="auto"/>
                <w:bottom w:val="none" w:sz="0" w:space="0" w:color="auto"/>
                <w:right w:val="none" w:sz="0" w:space="0" w:color="auto"/>
              </w:divBdr>
            </w:div>
          </w:divsChild>
        </w:div>
        <w:div w:id="88241817">
          <w:marLeft w:val="0"/>
          <w:marRight w:val="0"/>
          <w:marTop w:val="0"/>
          <w:marBottom w:val="0"/>
          <w:divBdr>
            <w:top w:val="none" w:sz="0" w:space="0" w:color="auto"/>
            <w:left w:val="none" w:sz="0" w:space="0" w:color="auto"/>
            <w:bottom w:val="none" w:sz="0" w:space="0" w:color="auto"/>
            <w:right w:val="none" w:sz="0" w:space="0" w:color="auto"/>
          </w:divBdr>
          <w:divsChild>
            <w:div w:id="1282149630">
              <w:marLeft w:val="0"/>
              <w:marRight w:val="0"/>
              <w:marTop w:val="0"/>
              <w:marBottom w:val="0"/>
              <w:divBdr>
                <w:top w:val="none" w:sz="0" w:space="0" w:color="auto"/>
                <w:left w:val="none" w:sz="0" w:space="0" w:color="auto"/>
                <w:bottom w:val="none" w:sz="0" w:space="0" w:color="auto"/>
                <w:right w:val="none" w:sz="0" w:space="0" w:color="auto"/>
              </w:divBdr>
            </w:div>
          </w:divsChild>
        </w:div>
        <w:div w:id="422381816">
          <w:marLeft w:val="0"/>
          <w:marRight w:val="0"/>
          <w:marTop w:val="0"/>
          <w:marBottom w:val="0"/>
          <w:divBdr>
            <w:top w:val="none" w:sz="0" w:space="0" w:color="auto"/>
            <w:left w:val="none" w:sz="0" w:space="0" w:color="auto"/>
            <w:bottom w:val="none" w:sz="0" w:space="0" w:color="auto"/>
            <w:right w:val="none" w:sz="0" w:space="0" w:color="auto"/>
          </w:divBdr>
          <w:divsChild>
            <w:div w:id="1265839842">
              <w:marLeft w:val="0"/>
              <w:marRight w:val="0"/>
              <w:marTop w:val="0"/>
              <w:marBottom w:val="0"/>
              <w:divBdr>
                <w:top w:val="none" w:sz="0" w:space="0" w:color="auto"/>
                <w:left w:val="none" w:sz="0" w:space="0" w:color="auto"/>
                <w:bottom w:val="none" w:sz="0" w:space="0" w:color="auto"/>
                <w:right w:val="none" w:sz="0" w:space="0" w:color="auto"/>
              </w:divBdr>
            </w:div>
          </w:divsChild>
        </w:div>
        <w:div w:id="614869132">
          <w:marLeft w:val="0"/>
          <w:marRight w:val="0"/>
          <w:marTop w:val="0"/>
          <w:marBottom w:val="0"/>
          <w:divBdr>
            <w:top w:val="none" w:sz="0" w:space="0" w:color="auto"/>
            <w:left w:val="none" w:sz="0" w:space="0" w:color="auto"/>
            <w:bottom w:val="none" w:sz="0" w:space="0" w:color="auto"/>
            <w:right w:val="none" w:sz="0" w:space="0" w:color="auto"/>
          </w:divBdr>
          <w:divsChild>
            <w:div w:id="1652902668">
              <w:marLeft w:val="0"/>
              <w:marRight w:val="0"/>
              <w:marTop w:val="0"/>
              <w:marBottom w:val="0"/>
              <w:divBdr>
                <w:top w:val="none" w:sz="0" w:space="0" w:color="auto"/>
                <w:left w:val="none" w:sz="0" w:space="0" w:color="auto"/>
                <w:bottom w:val="none" w:sz="0" w:space="0" w:color="auto"/>
                <w:right w:val="none" w:sz="0" w:space="0" w:color="auto"/>
              </w:divBdr>
            </w:div>
          </w:divsChild>
        </w:div>
        <w:div w:id="623148674">
          <w:marLeft w:val="0"/>
          <w:marRight w:val="0"/>
          <w:marTop w:val="0"/>
          <w:marBottom w:val="0"/>
          <w:divBdr>
            <w:top w:val="none" w:sz="0" w:space="0" w:color="auto"/>
            <w:left w:val="none" w:sz="0" w:space="0" w:color="auto"/>
            <w:bottom w:val="none" w:sz="0" w:space="0" w:color="auto"/>
            <w:right w:val="none" w:sz="0" w:space="0" w:color="auto"/>
          </w:divBdr>
          <w:divsChild>
            <w:div w:id="300304977">
              <w:marLeft w:val="0"/>
              <w:marRight w:val="0"/>
              <w:marTop w:val="0"/>
              <w:marBottom w:val="0"/>
              <w:divBdr>
                <w:top w:val="none" w:sz="0" w:space="0" w:color="auto"/>
                <w:left w:val="none" w:sz="0" w:space="0" w:color="auto"/>
                <w:bottom w:val="none" w:sz="0" w:space="0" w:color="auto"/>
                <w:right w:val="none" w:sz="0" w:space="0" w:color="auto"/>
              </w:divBdr>
            </w:div>
          </w:divsChild>
        </w:div>
        <w:div w:id="846871124">
          <w:marLeft w:val="0"/>
          <w:marRight w:val="0"/>
          <w:marTop w:val="0"/>
          <w:marBottom w:val="0"/>
          <w:divBdr>
            <w:top w:val="none" w:sz="0" w:space="0" w:color="auto"/>
            <w:left w:val="none" w:sz="0" w:space="0" w:color="auto"/>
            <w:bottom w:val="none" w:sz="0" w:space="0" w:color="auto"/>
            <w:right w:val="none" w:sz="0" w:space="0" w:color="auto"/>
          </w:divBdr>
          <w:divsChild>
            <w:div w:id="921068966">
              <w:marLeft w:val="0"/>
              <w:marRight w:val="0"/>
              <w:marTop w:val="0"/>
              <w:marBottom w:val="0"/>
              <w:divBdr>
                <w:top w:val="none" w:sz="0" w:space="0" w:color="auto"/>
                <w:left w:val="none" w:sz="0" w:space="0" w:color="auto"/>
                <w:bottom w:val="none" w:sz="0" w:space="0" w:color="auto"/>
                <w:right w:val="none" w:sz="0" w:space="0" w:color="auto"/>
              </w:divBdr>
            </w:div>
            <w:div w:id="1193811126">
              <w:marLeft w:val="0"/>
              <w:marRight w:val="0"/>
              <w:marTop w:val="0"/>
              <w:marBottom w:val="0"/>
              <w:divBdr>
                <w:top w:val="none" w:sz="0" w:space="0" w:color="auto"/>
                <w:left w:val="none" w:sz="0" w:space="0" w:color="auto"/>
                <w:bottom w:val="none" w:sz="0" w:space="0" w:color="auto"/>
                <w:right w:val="none" w:sz="0" w:space="0" w:color="auto"/>
              </w:divBdr>
            </w:div>
            <w:div w:id="1771192824">
              <w:marLeft w:val="0"/>
              <w:marRight w:val="0"/>
              <w:marTop w:val="0"/>
              <w:marBottom w:val="0"/>
              <w:divBdr>
                <w:top w:val="none" w:sz="0" w:space="0" w:color="auto"/>
                <w:left w:val="none" w:sz="0" w:space="0" w:color="auto"/>
                <w:bottom w:val="none" w:sz="0" w:space="0" w:color="auto"/>
                <w:right w:val="none" w:sz="0" w:space="0" w:color="auto"/>
              </w:divBdr>
            </w:div>
            <w:div w:id="1939366608">
              <w:marLeft w:val="0"/>
              <w:marRight w:val="0"/>
              <w:marTop w:val="0"/>
              <w:marBottom w:val="0"/>
              <w:divBdr>
                <w:top w:val="none" w:sz="0" w:space="0" w:color="auto"/>
                <w:left w:val="none" w:sz="0" w:space="0" w:color="auto"/>
                <w:bottom w:val="none" w:sz="0" w:space="0" w:color="auto"/>
                <w:right w:val="none" w:sz="0" w:space="0" w:color="auto"/>
              </w:divBdr>
            </w:div>
            <w:div w:id="1944455407">
              <w:marLeft w:val="0"/>
              <w:marRight w:val="0"/>
              <w:marTop w:val="0"/>
              <w:marBottom w:val="0"/>
              <w:divBdr>
                <w:top w:val="none" w:sz="0" w:space="0" w:color="auto"/>
                <w:left w:val="none" w:sz="0" w:space="0" w:color="auto"/>
                <w:bottom w:val="none" w:sz="0" w:space="0" w:color="auto"/>
                <w:right w:val="none" w:sz="0" w:space="0" w:color="auto"/>
              </w:divBdr>
            </w:div>
            <w:div w:id="1945649820">
              <w:marLeft w:val="0"/>
              <w:marRight w:val="0"/>
              <w:marTop w:val="0"/>
              <w:marBottom w:val="0"/>
              <w:divBdr>
                <w:top w:val="none" w:sz="0" w:space="0" w:color="auto"/>
                <w:left w:val="none" w:sz="0" w:space="0" w:color="auto"/>
                <w:bottom w:val="none" w:sz="0" w:space="0" w:color="auto"/>
                <w:right w:val="none" w:sz="0" w:space="0" w:color="auto"/>
              </w:divBdr>
            </w:div>
          </w:divsChild>
        </w:div>
        <w:div w:id="1137068413">
          <w:marLeft w:val="0"/>
          <w:marRight w:val="0"/>
          <w:marTop w:val="0"/>
          <w:marBottom w:val="0"/>
          <w:divBdr>
            <w:top w:val="none" w:sz="0" w:space="0" w:color="auto"/>
            <w:left w:val="none" w:sz="0" w:space="0" w:color="auto"/>
            <w:bottom w:val="none" w:sz="0" w:space="0" w:color="auto"/>
            <w:right w:val="none" w:sz="0" w:space="0" w:color="auto"/>
          </w:divBdr>
          <w:divsChild>
            <w:div w:id="90247581">
              <w:marLeft w:val="0"/>
              <w:marRight w:val="0"/>
              <w:marTop w:val="0"/>
              <w:marBottom w:val="0"/>
              <w:divBdr>
                <w:top w:val="none" w:sz="0" w:space="0" w:color="auto"/>
                <w:left w:val="none" w:sz="0" w:space="0" w:color="auto"/>
                <w:bottom w:val="none" w:sz="0" w:space="0" w:color="auto"/>
                <w:right w:val="none" w:sz="0" w:space="0" w:color="auto"/>
              </w:divBdr>
            </w:div>
            <w:div w:id="836313369">
              <w:marLeft w:val="0"/>
              <w:marRight w:val="0"/>
              <w:marTop w:val="0"/>
              <w:marBottom w:val="0"/>
              <w:divBdr>
                <w:top w:val="none" w:sz="0" w:space="0" w:color="auto"/>
                <w:left w:val="none" w:sz="0" w:space="0" w:color="auto"/>
                <w:bottom w:val="none" w:sz="0" w:space="0" w:color="auto"/>
                <w:right w:val="none" w:sz="0" w:space="0" w:color="auto"/>
              </w:divBdr>
            </w:div>
            <w:div w:id="1518813167">
              <w:marLeft w:val="0"/>
              <w:marRight w:val="0"/>
              <w:marTop w:val="0"/>
              <w:marBottom w:val="0"/>
              <w:divBdr>
                <w:top w:val="none" w:sz="0" w:space="0" w:color="auto"/>
                <w:left w:val="none" w:sz="0" w:space="0" w:color="auto"/>
                <w:bottom w:val="none" w:sz="0" w:space="0" w:color="auto"/>
                <w:right w:val="none" w:sz="0" w:space="0" w:color="auto"/>
              </w:divBdr>
            </w:div>
          </w:divsChild>
        </w:div>
        <w:div w:id="1153637628">
          <w:marLeft w:val="0"/>
          <w:marRight w:val="0"/>
          <w:marTop w:val="0"/>
          <w:marBottom w:val="0"/>
          <w:divBdr>
            <w:top w:val="none" w:sz="0" w:space="0" w:color="auto"/>
            <w:left w:val="none" w:sz="0" w:space="0" w:color="auto"/>
            <w:bottom w:val="none" w:sz="0" w:space="0" w:color="auto"/>
            <w:right w:val="none" w:sz="0" w:space="0" w:color="auto"/>
          </w:divBdr>
          <w:divsChild>
            <w:div w:id="510990846">
              <w:marLeft w:val="0"/>
              <w:marRight w:val="0"/>
              <w:marTop w:val="0"/>
              <w:marBottom w:val="0"/>
              <w:divBdr>
                <w:top w:val="none" w:sz="0" w:space="0" w:color="auto"/>
                <w:left w:val="none" w:sz="0" w:space="0" w:color="auto"/>
                <w:bottom w:val="none" w:sz="0" w:space="0" w:color="auto"/>
                <w:right w:val="none" w:sz="0" w:space="0" w:color="auto"/>
              </w:divBdr>
            </w:div>
          </w:divsChild>
        </w:div>
        <w:div w:id="1187794529">
          <w:marLeft w:val="0"/>
          <w:marRight w:val="0"/>
          <w:marTop w:val="0"/>
          <w:marBottom w:val="0"/>
          <w:divBdr>
            <w:top w:val="none" w:sz="0" w:space="0" w:color="auto"/>
            <w:left w:val="none" w:sz="0" w:space="0" w:color="auto"/>
            <w:bottom w:val="none" w:sz="0" w:space="0" w:color="auto"/>
            <w:right w:val="none" w:sz="0" w:space="0" w:color="auto"/>
          </w:divBdr>
          <w:divsChild>
            <w:div w:id="669255942">
              <w:marLeft w:val="0"/>
              <w:marRight w:val="0"/>
              <w:marTop w:val="0"/>
              <w:marBottom w:val="0"/>
              <w:divBdr>
                <w:top w:val="none" w:sz="0" w:space="0" w:color="auto"/>
                <w:left w:val="none" w:sz="0" w:space="0" w:color="auto"/>
                <w:bottom w:val="none" w:sz="0" w:space="0" w:color="auto"/>
                <w:right w:val="none" w:sz="0" w:space="0" w:color="auto"/>
              </w:divBdr>
            </w:div>
          </w:divsChild>
        </w:div>
        <w:div w:id="1438789139">
          <w:marLeft w:val="0"/>
          <w:marRight w:val="0"/>
          <w:marTop w:val="0"/>
          <w:marBottom w:val="0"/>
          <w:divBdr>
            <w:top w:val="none" w:sz="0" w:space="0" w:color="auto"/>
            <w:left w:val="none" w:sz="0" w:space="0" w:color="auto"/>
            <w:bottom w:val="none" w:sz="0" w:space="0" w:color="auto"/>
            <w:right w:val="none" w:sz="0" w:space="0" w:color="auto"/>
          </w:divBdr>
          <w:divsChild>
            <w:div w:id="2141729411">
              <w:marLeft w:val="0"/>
              <w:marRight w:val="0"/>
              <w:marTop w:val="0"/>
              <w:marBottom w:val="0"/>
              <w:divBdr>
                <w:top w:val="none" w:sz="0" w:space="0" w:color="auto"/>
                <w:left w:val="none" w:sz="0" w:space="0" w:color="auto"/>
                <w:bottom w:val="none" w:sz="0" w:space="0" w:color="auto"/>
                <w:right w:val="none" w:sz="0" w:space="0" w:color="auto"/>
              </w:divBdr>
            </w:div>
          </w:divsChild>
        </w:div>
        <w:div w:id="1906912911">
          <w:marLeft w:val="0"/>
          <w:marRight w:val="0"/>
          <w:marTop w:val="0"/>
          <w:marBottom w:val="0"/>
          <w:divBdr>
            <w:top w:val="none" w:sz="0" w:space="0" w:color="auto"/>
            <w:left w:val="none" w:sz="0" w:space="0" w:color="auto"/>
            <w:bottom w:val="none" w:sz="0" w:space="0" w:color="auto"/>
            <w:right w:val="none" w:sz="0" w:space="0" w:color="auto"/>
          </w:divBdr>
          <w:divsChild>
            <w:div w:id="34690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s.usgs.gov/bul/1898/report.pdf" TargetMode="External"/><Relationship Id="rId21" Type="http://schemas.openxmlformats.org/officeDocument/2006/relationships/header" Target="header4.xml"/><Relationship Id="rId42" Type="http://schemas.openxmlformats.org/officeDocument/2006/relationships/image" Target="media/image15.png"/><Relationship Id="rId47" Type="http://schemas.openxmlformats.org/officeDocument/2006/relationships/image" Target="media/image19.png"/><Relationship Id="rId63" Type="http://schemas.openxmlformats.org/officeDocument/2006/relationships/diagramLayout" Target="diagrams/layout1.xml"/><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2.png"/><Relationship Id="rId112" Type="http://schemas.openxmlformats.org/officeDocument/2006/relationships/hyperlink" Target="https://www.sanmanuel-nsn.gov/Portals/1/SanManuelTeir/San%20Manuel_Final%20TEIR_WEB.pdf" TargetMode="External"/><Relationship Id="rId16" Type="http://schemas.openxmlformats.org/officeDocument/2006/relationships/image" Target="media/image5.png"/><Relationship Id="rId107" Type="http://schemas.openxmlformats.org/officeDocument/2006/relationships/image" Target="media/image65.png"/><Relationship Id="rId11" Type="http://schemas.openxmlformats.org/officeDocument/2006/relationships/endnotes" Target="endnotes.xml"/><Relationship Id="rId32" Type="http://schemas.openxmlformats.org/officeDocument/2006/relationships/header" Target="header6.xml"/><Relationship Id="rId37" Type="http://schemas.openxmlformats.org/officeDocument/2006/relationships/footer" Target="footer7.xml"/><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image" Target="media/image39.png"/><Relationship Id="rId79" Type="http://schemas.openxmlformats.org/officeDocument/2006/relationships/image" Target="media/image44.png"/><Relationship Id="rId102" Type="http://schemas.openxmlformats.org/officeDocument/2006/relationships/image" Target="media/image61.png"/><Relationship Id="rId123" Type="http://schemas.openxmlformats.org/officeDocument/2006/relationships/header" Target="header13.xml"/><Relationship Id="rId128" Type="http://schemas.openxmlformats.org/officeDocument/2006/relationships/footer" Target="footer9.xml"/><Relationship Id="rId5" Type="http://schemas.openxmlformats.org/officeDocument/2006/relationships/customXml" Target="../customXml/item5.xml"/><Relationship Id="rId90" Type="http://schemas.openxmlformats.org/officeDocument/2006/relationships/image" Target="media/image53.png"/><Relationship Id="rId95" Type="http://schemas.openxmlformats.org/officeDocument/2006/relationships/hyperlink" Target="https://ww3.arb.ca.gov/cc/shortlived/meetings/03142017/final_slcp_report.pdf" TargetMode="External"/><Relationship Id="rId22" Type="http://schemas.openxmlformats.org/officeDocument/2006/relationships/footer" Target="footer4.xml"/><Relationship Id="rId27" Type="http://schemas.openxmlformats.org/officeDocument/2006/relationships/header" Target="header5.xml"/><Relationship Id="rId43" Type="http://schemas.openxmlformats.org/officeDocument/2006/relationships/chart" Target="charts/chart4.xml"/><Relationship Id="rId48" Type="http://schemas.openxmlformats.org/officeDocument/2006/relationships/image" Target="media/image20.png"/><Relationship Id="rId64" Type="http://schemas.openxmlformats.org/officeDocument/2006/relationships/diagramQuickStyle" Target="diagrams/quickStyle1.xml"/><Relationship Id="rId69" Type="http://schemas.openxmlformats.org/officeDocument/2006/relationships/image" Target="media/image34.png"/><Relationship Id="rId113" Type="http://schemas.openxmlformats.org/officeDocument/2006/relationships/hyperlink" Target="https://sawpa.org/inland-empire-brine-line/" TargetMode="External"/><Relationship Id="rId118" Type="http://schemas.openxmlformats.org/officeDocument/2006/relationships/hyperlink" Target="http://www.uppersarhcp.com/" TargetMode="External"/><Relationship Id="rId80" Type="http://schemas.openxmlformats.org/officeDocument/2006/relationships/image" Target="media/image45.png"/><Relationship Id="rId85" Type="http://schemas.openxmlformats.org/officeDocument/2006/relationships/hyperlink" Target="http://wdl.water.ca.gov/waterdatalibrary/" TargetMode="External"/><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11.png"/><Relationship Id="rId38" Type="http://schemas.openxmlformats.org/officeDocument/2006/relationships/image" Target="media/image12.png"/><Relationship Id="rId59" Type="http://schemas.openxmlformats.org/officeDocument/2006/relationships/image" Target="media/image29.png"/><Relationship Id="rId103" Type="http://schemas.openxmlformats.org/officeDocument/2006/relationships/header" Target="header9.xml"/><Relationship Id="rId108" Type="http://schemas.openxmlformats.org/officeDocument/2006/relationships/image" Target="media/image66.png"/><Relationship Id="rId124" Type="http://schemas.openxmlformats.org/officeDocument/2006/relationships/header" Target="header14.xml"/><Relationship Id="rId129" Type="http://schemas.openxmlformats.org/officeDocument/2006/relationships/header" Target="header18.xml"/><Relationship Id="rId54" Type="http://schemas.openxmlformats.org/officeDocument/2006/relationships/chart" Target="charts/chart6.xml"/><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4.png"/><Relationship Id="rId96" Type="http://schemas.openxmlformats.org/officeDocument/2006/relationships/hyperlink" Target="https://www2.calrecycle.ca.gov/PublicNotices/Details/2462"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6.png"/><Relationship Id="rId28" Type="http://schemas.openxmlformats.org/officeDocument/2006/relationships/footer" Target="footer5.xml"/><Relationship Id="rId49" Type="http://schemas.openxmlformats.org/officeDocument/2006/relationships/image" Target="media/image21.png"/><Relationship Id="rId114" Type="http://schemas.openxmlformats.org/officeDocument/2006/relationships/hyperlink" Target="https://sawpa.org/task-forces/tin-tds-task-force/" TargetMode="External"/><Relationship Id="rId119" Type="http://schemas.openxmlformats.org/officeDocument/2006/relationships/hyperlink" Target="https://www.sawpa.org/wp-content/uploads/2018/01/WLAM-Scenario-8-wAppendix_Final.pdf" TargetMode="External"/><Relationship Id="rId44" Type="http://schemas.openxmlformats.org/officeDocument/2006/relationships/image" Target="media/image16.png"/><Relationship Id="rId60" Type="http://schemas.openxmlformats.org/officeDocument/2006/relationships/image" Target="media/image30.png"/><Relationship Id="rId65" Type="http://schemas.openxmlformats.org/officeDocument/2006/relationships/diagramColors" Target="diagrams/colors1.xml"/><Relationship Id="rId81" Type="http://schemas.openxmlformats.org/officeDocument/2006/relationships/image" Target="media/image46.png"/><Relationship Id="rId86" Type="http://schemas.openxmlformats.org/officeDocument/2006/relationships/hyperlink" Target="http://www.seismicmaps.org" TargetMode="External"/><Relationship Id="rId130"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image" Target="media/image13.png"/><Relationship Id="rId109" Type="http://schemas.openxmlformats.org/officeDocument/2006/relationships/header" Target="header10.xml"/><Relationship Id="rId34" Type="http://schemas.openxmlformats.org/officeDocument/2006/relationships/header" Target="header7.xml"/><Relationship Id="rId50" Type="http://schemas.openxmlformats.org/officeDocument/2006/relationships/chart" Target="charts/chart5.xml"/><Relationship Id="rId55" Type="http://schemas.openxmlformats.org/officeDocument/2006/relationships/image" Target="media/image25.png"/><Relationship Id="rId76" Type="http://schemas.openxmlformats.org/officeDocument/2006/relationships/image" Target="media/image41.png"/><Relationship Id="rId97" Type="http://schemas.openxmlformats.org/officeDocument/2006/relationships/image" Target="media/image56.png"/><Relationship Id="rId104" Type="http://schemas.openxmlformats.org/officeDocument/2006/relationships/image" Target="media/image62.jpg"/><Relationship Id="rId120" Type="http://schemas.openxmlformats.org/officeDocument/2006/relationships/header" Target="header11.xml"/><Relationship Id="rId125" Type="http://schemas.openxmlformats.org/officeDocument/2006/relationships/header" Target="header15.xml"/><Relationship Id="rId7" Type="http://schemas.openxmlformats.org/officeDocument/2006/relationships/styles" Target="styles.xml"/><Relationship Id="rId71" Type="http://schemas.openxmlformats.org/officeDocument/2006/relationships/image" Target="media/image36.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chart" Target="charts/chart1.xml"/><Relationship Id="rId40" Type="http://schemas.openxmlformats.org/officeDocument/2006/relationships/chart" Target="charts/chart3.xml"/><Relationship Id="rId45" Type="http://schemas.openxmlformats.org/officeDocument/2006/relationships/image" Target="media/image17.png"/><Relationship Id="rId66" Type="http://schemas.microsoft.com/office/2007/relationships/diagramDrawing" Target="diagrams/drawing1.xml"/><Relationship Id="rId87" Type="http://schemas.openxmlformats.org/officeDocument/2006/relationships/image" Target="media/image50.png"/><Relationship Id="rId110" Type="http://schemas.openxmlformats.org/officeDocument/2006/relationships/hyperlink" Target="https://leginfo.legislature.ca.gov/faces/billTextClient.xhtml?bill_id=201720180AB967" TargetMode="External"/><Relationship Id="rId115" Type="http://schemas.openxmlformats.org/officeDocument/2006/relationships/hyperlink" Target="http://www.aqmd.gov/docs/default-source/rule-book/Proposed-Rules/1110.2/par1110-2_wgm6_final.pdf?sfvrsn=6" TargetMode="External"/><Relationship Id="rId131" Type="http://schemas.openxmlformats.org/officeDocument/2006/relationships/theme" Target="theme/theme1.xml"/><Relationship Id="rId61" Type="http://schemas.openxmlformats.org/officeDocument/2006/relationships/image" Target="media/image31.png"/><Relationship Id="rId82" Type="http://schemas.openxmlformats.org/officeDocument/2006/relationships/image" Target="media/image47.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9.png"/><Relationship Id="rId35" Type="http://schemas.openxmlformats.org/officeDocument/2006/relationships/footer" Target="footer6.xml"/><Relationship Id="rId56" Type="http://schemas.openxmlformats.org/officeDocument/2006/relationships/image" Target="media/image26.png"/><Relationship Id="rId77" Type="http://schemas.openxmlformats.org/officeDocument/2006/relationships/image" Target="media/image42.pn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header" Target="header16.xml"/><Relationship Id="rId8" Type="http://schemas.openxmlformats.org/officeDocument/2006/relationships/settings" Target="settings.xml"/><Relationship Id="rId51" Type="http://schemas.openxmlformats.org/officeDocument/2006/relationships/image" Target="media/image22.png"/><Relationship Id="rId72" Type="http://schemas.openxmlformats.org/officeDocument/2006/relationships/image" Target="media/image37.emf"/><Relationship Id="rId93" Type="http://schemas.openxmlformats.org/officeDocument/2006/relationships/hyperlink" Target="https://sawpa.org/inland-empire-brine-line/" TargetMode="External"/><Relationship Id="rId98" Type="http://schemas.openxmlformats.org/officeDocument/2006/relationships/image" Target="media/image57.png"/><Relationship Id="rId121" Type="http://schemas.openxmlformats.org/officeDocument/2006/relationships/header" Target="header12.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18.png"/><Relationship Id="rId67" Type="http://schemas.openxmlformats.org/officeDocument/2006/relationships/image" Target="media/image32.png"/><Relationship Id="rId116" Type="http://schemas.openxmlformats.org/officeDocument/2006/relationships/hyperlink" Target="https://www.usbr.gov/lc/socal/basinstudies/OWOWReferences/FinalReport/Tribal%20DAC%20Report.pdf" TargetMode="External"/><Relationship Id="rId20" Type="http://schemas.openxmlformats.org/officeDocument/2006/relationships/footer" Target="footer3.xml"/><Relationship Id="rId41" Type="http://schemas.openxmlformats.org/officeDocument/2006/relationships/image" Target="media/image14.png"/><Relationship Id="rId62" Type="http://schemas.openxmlformats.org/officeDocument/2006/relationships/diagramData" Target="diagrams/data1.xml"/><Relationship Id="rId83" Type="http://schemas.openxmlformats.org/officeDocument/2006/relationships/image" Target="media/image48.png"/><Relationship Id="rId88" Type="http://schemas.openxmlformats.org/officeDocument/2006/relationships/image" Target="media/image51.png"/><Relationship Id="rId111" Type="http://schemas.openxmlformats.org/officeDocument/2006/relationships/hyperlink" Target="https://sbcountystormwater.org/government/about-the-permittees/" TargetMode="External"/><Relationship Id="rId15" Type="http://schemas.openxmlformats.org/officeDocument/2006/relationships/image" Target="media/image4.png"/><Relationship Id="rId36" Type="http://schemas.openxmlformats.org/officeDocument/2006/relationships/header" Target="header8.xml"/><Relationship Id="rId57" Type="http://schemas.openxmlformats.org/officeDocument/2006/relationships/image" Target="media/image27.png"/><Relationship Id="rId106" Type="http://schemas.openxmlformats.org/officeDocument/2006/relationships/image" Target="media/image64.png"/><Relationship Id="rId127" Type="http://schemas.openxmlformats.org/officeDocument/2006/relationships/header" Target="header17.xml"/><Relationship Id="rId10" Type="http://schemas.openxmlformats.org/officeDocument/2006/relationships/footnotes" Target="footnotes.xml"/><Relationship Id="rId31" Type="http://schemas.openxmlformats.org/officeDocument/2006/relationships/image" Target="media/image10.png"/><Relationship Id="rId52" Type="http://schemas.openxmlformats.org/officeDocument/2006/relationships/image" Target="media/image23.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hyperlink" Target="https://www.calrecycle.ca.gov/climate/slcp" TargetMode="External"/><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chart" Target="charts/chart2.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2" Type="http://schemas.openxmlformats.org/officeDocument/2006/relationships/image" Target="media/image1.jpg"/><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2" Type="http://schemas.openxmlformats.org/officeDocument/2006/relationships/image" Target="media/image1.jpg"/><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2" Type="http://schemas.openxmlformats.org/officeDocument/2006/relationships/image" Target="media/image1.jpg"/><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hazenandsawyer.sharepoint.com/teams/20137-001/Engineering/Part%201.1%20Preliminary%20Asset%20Inventory/Hierarchy/SBMWD_WRP_PreliminaryAssetInventory_042919.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hazenandsawyer-my.sharepoint.com/personal/krasoulkhani_hazenandsawyer_com/Documents/SBMWD/Copy%20of%20SBMWD_WRP_PreliminaryAssetInventory_05281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'OCW 2 and count v process graph'!$H$36</c:f>
              <c:strCache>
                <c:ptCount val="1"/>
                <c:pt idx="0">
                  <c:v>Asset Count</c:v>
                </c:pt>
              </c:strCache>
            </c:strRef>
          </c:tx>
          <c:spPr>
            <a:solidFill>
              <a:srgbClr val="3A5273"/>
            </a:solidFill>
            <a:ln>
              <a:solidFill>
                <a:srgbClr val="3A5273"/>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'OCW 2 and count v process graph'!$G$37:$G$50</c:f>
              <c:strCache>
                <c:ptCount val="14"/>
                <c:pt idx="0">
                  <c:v>Electrical</c:v>
                </c:pt>
                <c:pt idx="1">
                  <c:v>Gas Handling</c:v>
                </c:pt>
                <c:pt idx="2">
                  <c:v>Lift Stations</c:v>
                </c:pt>
                <c:pt idx="3">
                  <c:v>Non-Process</c:v>
                </c:pt>
                <c:pt idx="4">
                  <c:v>Outfall</c:v>
                </c:pt>
                <c:pt idx="5">
                  <c:v>Preliminary Treatment</c:v>
                </c:pt>
                <c:pt idx="6">
                  <c:v>Primary Treatment</c:v>
                </c:pt>
                <c:pt idx="7">
                  <c:v>Recycled Water</c:v>
                </c:pt>
                <c:pt idx="8">
                  <c:v>Secondary Treatment</c:v>
                </c:pt>
                <c:pt idx="9">
                  <c:v>Solids Handling</c:v>
                </c:pt>
                <c:pt idx="10">
                  <c:v>Solids Treatment</c:v>
                </c:pt>
                <c:pt idx="11">
                  <c:v>Odor Scrubber Chemical</c:v>
                </c:pt>
                <c:pt idx="12">
                  <c:v>Headworks Chemical</c:v>
                </c:pt>
                <c:pt idx="13">
                  <c:v>Solids Chemical</c:v>
                </c:pt>
              </c:strCache>
            </c:strRef>
          </c:cat>
          <c:val>
            <c:numRef>
              <c:f>'OCW 2 and count v process graph'!$H$37:$H$50</c:f>
              <c:numCache>
                <c:formatCode>#,##0</c:formatCode>
                <c:ptCount val="14"/>
                <c:pt idx="0">
                  <c:v>69</c:v>
                </c:pt>
                <c:pt idx="1">
                  <c:v>69</c:v>
                </c:pt>
                <c:pt idx="2">
                  <c:v>126</c:v>
                </c:pt>
                <c:pt idx="3">
                  <c:v>91</c:v>
                </c:pt>
                <c:pt idx="4">
                  <c:v>39</c:v>
                </c:pt>
                <c:pt idx="5">
                  <c:v>538</c:v>
                </c:pt>
                <c:pt idx="6">
                  <c:v>390</c:v>
                </c:pt>
                <c:pt idx="7">
                  <c:v>51</c:v>
                </c:pt>
                <c:pt idx="8">
                  <c:v>944</c:v>
                </c:pt>
                <c:pt idx="9">
                  <c:v>542</c:v>
                </c:pt>
                <c:pt idx="10">
                  <c:v>211</c:v>
                </c:pt>
                <c:pt idx="11">
                  <c:v>84</c:v>
                </c:pt>
                <c:pt idx="12">
                  <c:v>8</c:v>
                </c:pt>
                <c:pt idx="13">
                  <c:v>15</c:v>
                </c:pt>
              </c:numCache>
            </c:numRef>
          </c:val>
          <c:extLst>
            <c:ext xmlns:c16="http://schemas.microsoft.com/office/drawing/2014/chart" uri="{C3380CC4-5D6E-409C-BE32-E72D297353CC}">
              <c16:uniqueId val="{00000000-B574-4B26-8091-FFE15D28D3C4}"/>
            </c:ext>
          </c:extLst>
        </c:ser>
        <c:dLbls>
          <c:showLegendKey val="0"/>
          <c:showVal val="0"/>
          <c:showCatName val="0"/>
          <c:showSerName val="0"/>
          <c:showPercent val="0"/>
          <c:showBubbleSize val="0"/>
        </c:dLbls>
        <c:gapWidth val="219"/>
        <c:overlap val="-27"/>
        <c:axId val="294326191"/>
        <c:axId val="334461663"/>
      </c:barChart>
      <c:catAx>
        <c:axId val="29432619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Process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34461663"/>
        <c:crosses val="autoZero"/>
        <c:auto val="1"/>
        <c:lblAlgn val="ctr"/>
        <c:lblOffset val="100"/>
        <c:noMultiLvlLbl val="0"/>
      </c:catAx>
      <c:valAx>
        <c:axId val="334461663"/>
        <c:scaling>
          <c:orientation val="minMax"/>
        </c:scaling>
        <c:delete val="0"/>
        <c:axPos val="l"/>
        <c:majorGridlines>
          <c:spPr>
            <a:ln w="9525" cap="flat" cmpd="sng" algn="ctr">
              <a:solidFill>
                <a:srgbClr val="848889"/>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Asset Count</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432619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[SBMWD_Yard Piping Asset Register_v4.xlsx]Dashboard!PivotTable1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0"/>
        <c:spPr>
          <a:solidFill>
            <a:srgbClr val="3A5273"/>
          </a:solidFill>
          <a:ln>
            <a:solidFill>
              <a:srgbClr val="3A5273"/>
            </a:solidFill>
          </a:ln>
          <a:effectLst/>
        </c:spPr>
        <c:marker>
          <c:symbol val="none"/>
        </c:marker>
        <c:dLbl>
          <c:idx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61"/>
        <c:spPr>
          <a:solidFill>
            <a:srgbClr val="3A5273"/>
          </a:solidFill>
          <a:ln>
            <a:solidFill>
              <a:srgbClr val="3A5273"/>
            </a:solidFill>
          </a:ln>
          <a:effectLst/>
        </c:spPr>
        <c:marker>
          <c:symbol val="none"/>
        </c:marker>
        <c:dLbl>
          <c:idx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62"/>
        <c:spPr>
          <a:solidFill>
            <a:srgbClr val="3A5273"/>
          </a:solidFill>
          <a:ln>
            <a:solidFill>
              <a:srgbClr val="3A5273"/>
            </a:solidFill>
          </a:ln>
          <a:effectLst/>
        </c:spPr>
        <c:marker>
          <c:symbol val="none"/>
        </c:marker>
        <c:dLbl>
          <c:idx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3237116200896801"/>
          <c:y val="4.663981344074624E-2"/>
          <c:w val="0.84267704032742763"/>
          <c:h val="0.79666443538950249"/>
        </c:manualLayout>
      </c:layout>
      <c:barChart>
        <c:barDir val="col"/>
        <c:grouping val="clustered"/>
        <c:varyColors val="0"/>
        <c:ser>
          <c:idx val="0"/>
          <c:order val="0"/>
          <c:tx>
            <c:strRef>
              <c:f>Dashboard!$B$2</c:f>
              <c:strCache>
                <c:ptCount val="1"/>
                <c:pt idx="0">
                  <c:v>Total</c:v>
                </c:pt>
              </c:strCache>
            </c:strRef>
          </c:tx>
          <c:spPr>
            <a:solidFill>
              <a:srgbClr val="3A5273"/>
            </a:solidFill>
            <a:ln>
              <a:solidFill>
                <a:srgbClr val="3A5273"/>
              </a:solidFill>
            </a:ln>
            <a:effectLst/>
          </c:spPr>
          <c:invertIfNegative val="0"/>
          <c:dLbls>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Dashboard!$A$3:$A$14</c:f>
              <c:strCache>
                <c:ptCount val="11"/>
                <c:pt idx="0">
                  <c:v>Air</c:v>
                </c:pt>
                <c:pt idx="1">
                  <c:v>Chlorine</c:v>
                </c:pt>
                <c:pt idx="2">
                  <c:v>Drain</c:v>
                </c:pt>
                <c:pt idx="3">
                  <c:v>Duct Banks</c:v>
                </c:pt>
                <c:pt idx="4">
                  <c:v>Foul Air</c:v>
                </c:pt>
                <c:pt idx="5">
                  <c:v>Fuel</c:v>
                </c:pt>
                <c:pt idx="6">
                  <c:v>IDS</c:v>
                </c:pt>
                <c:pt idx="7">
                  <c:v>Irrigation</c:v>
                </c:pt>
                <c:pt idx="8">
                  <c:v>Process</c:v>
                </c:pt>
                <c:pt idx="9">
                  <c:v>Sludge</c:v>
                </c:pt>
                <c:pt idx="10">
                  <c:v>Water</c:v>
                </c:pt>
              </c:strCache>
            </c:strRef>
          </c:cat>
          <c:val>
            <c:numRef>
              <c:f>Dashboard!$B$3:$B$14</c:f>
              <c:numCache>
                <c:formatCode>#,##0</c:formatCode>
                <c:ptCount val="11"/>
                <c:pt idx="0">
                  <c:v>5956.5887248575691</c:v>
                </c:pt>
                <c:pt idx="1">
                  <c:v>11408.202696315067</c:v>
                </c:pt>
                <c:pt idx="2">
                  <c:v>23158.637245763097</c:v>
                </c:pt>
                <c:pt idx="3">
                  <c:v>14201.87947489748</c:v>
                </c:pt>
                <c:pt idx="4">
                  <c:v>1695.3278752627286</c:v>
                </c:pt>
                <c:pt idx="5">
                  <c:v>10955.386720904149</c:v>
                </c:pt>
                <c:pt idx="6">
                  <c:v>7616.2519089394618</c:v>
                </c:pt>
                <c:pt idx="7">
                  <c:v>2054.6964448313515</c:v>
                </c:pt>
                <c:pt idx="8">
                  <c:v>19390.925682908965</c:v>
                </c:pt>
                <c:pt idx="9">
                  <c:v>16960.529214415921</c:v>
                </c:pt>
                <c:pt idx="10">
                  <c:v>34903.20366791205</c:v>
                </c:pt>
              </c:numCache>
            </c:numRef>
          </c:val>
          <c:extLst>
            <c:ext xmlns:c16="http://schemas.microsoft.com/office/drawing/2014/chart" uri="{C3380CC4-5D6E-409C-BE32-E72D297353CC}">
              <c16:uniqueId val="{00000000-22B0-4D28-8F81-D5B26A2609AD}"/>
            </c:ext>
          </c:extLst>
        </c:ser>
        <c:dLbls>
          <c:showLegendKey val="0"/>
          <c:showVal val="0"/>
          <c:showCatName val="0"/>
          <c:showSerName val="0"/>
          <c:showPercent val="0"/>
          <c:showBubbleSize val="0"/>
        </c:dLbls>
        <c:gapWidth val="219"/>
        <c:overlap val="-27"/>
        <c:axId val="1809513871"/>
        <c:axId val="1664560031"/>
      </c:barChart>
      <c:catAx>
        <c:axId val="180951387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Function</a:t>
                </a:r>
              </a:p>
            </c:rich>
          </c:tx>
          <c:layout>
            <c:manualLayout>
              <c:xMode val="edge"/>
              <c:yMode val="edge"/>
              <c:x val="0.50128822362669112"/>
              <c:y val="0.9385202459190162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64560031"/>
        <c:crosses val="autoZero"/>
        <c:auto val="1"/>
        <c:lblAlgn val="ctr"/>
        <c:lblOffset val="100"/>
        <c:noMultiLvlLbl val="0"/>
      </c:catAx>
      <c:valAx>
        <c:axId val="1664560031"/>
        <c:scaling>
          <c:orientation val="minMax"/>
        </c:scaling>
        <c:delete val="0"/>
        <c:axPos val="l"/>
        <c:majorGridlines>
          <c:spPr>
            <a:ln w="9525" cap="flat" cmpd="sng" algn="ctr">
              <a:solidFill>
                <a:srgbClr val="848889"/>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Pipe Length (ft)</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0951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[SBMWD_WRP_PreliminaryAssetInventory_042919.xlsx]Graphics!PivotTable1</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a:t>Age-Based Remaining Useful Life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Graphics!$B$3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Graphics!$A$4:$A$15</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Graphics!$B$4:$B$15</c:f>
              <c:numCache>
                <c:formatCode>General</c:formatCode>
                <c:ptCount val="11"/>
                <c:pt idx="0">
                  <c:v>1384</c:v>
                </c:pt>
                <c:pt idx="1">
                  <c:v>101</c:v>
                </c:pt>
                <c:pt idx="2">
                  <c:v>28</c:v>
                </c:pt>
                <c:pt idx="3">
                  <c:v>78</c:v>
                </c:pt>
                <c:pt idx="4">
                  <c:v>30</c:v>
                </c:pt>
                <c:pt idx="5">
                  <c:v>27</c:v>
                </c:pt>
                <c:pt idx="6">
                  <c:v>186</c:v>
                </c:pt>
                <c:pt idx="7">
                  <c:v>26</c:v>
                </c:pt>
                <c:pt idx="8">
                  <c:v>49</c:v>
                </c:pt>
                <c:pt idx="9">
                  <c:v>5</c:v>
                </c:pt>
                <c:pt idx="10">
                  <c:v>42</c:v>
                </c:pt>
              </c:numCache>
            </c:numRef>
          </c:val>
          <c:extLst>
            <c:ext xmlns:c16="http://schemas.microsoft.com/office/drawing/2014/chart" uri="{C3380CC4-5D6E-409C-BE32-E72D297353CC}">
              <c16:uniqueId val="{00000000-883B-4ACA-AD7E-1B7065AB8954}"/>
            </c:ext>
          </c:extLst>
        </c:ser>
        <c:dLbls>
          <c:dLblPos val="outEnd"/>
          <c:showLegendKey val="0"/>
          <c:showVal val="1"/>
          <c:showCatName val="0"/>
          <c:showSerName val="0"/>
          <c:showPercent val="0"/>
          <c:showBubbleSize val="0"/>
        </c:dLbls>
        <c:gapWidth val="219"/>
        <c:overlap val="-27"/>
        <c:axId val="2086563871"/>
        <c:axId val="38431391"/>
      </c:barChart>
      <c:catAx>
        <c:axId val="208656387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Remaining Useful Life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8431391"/>
        <c:crosses val="autoZero"/>
        <c:auto val="1"/>
        <c:lblAlgn val="ctr"/>
        <c:lblOffset val="100"/>
        <c:noMultiLvlLbl val="0"/>
      </c:catAx>
      <c:valAx>
        <c:axId val="384313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Cout of Assets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86563871"/>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extLst>
    <c:ext xmlns:c14="http://schemas.microsoft.com/office/drawing/2007/8/2/chart" uri="{781A3756-C4B2-4CAC-9D66-4F8BD8637D16}">
      <c14:pivotOptions>
        <c14:dropZoneFilter val="1"/>
        <c14:dropZoneCategories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[Copy of SBMWD_WRP_PreliminaryAssetInventory_052819.xlsx]Graphics!PivotTable5</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Graphics!$B$102:$B$103</c:f>
              <c:strCache>
                <c:ptCount val="1"/>
                <c:pt idx="0">
                  <c:v>Not Inspected</c:v>
                </c:pt>
              </c:strCache>
            </c:strRef>
          </c:tx>
          <c:spPr>
            <a:solidFill>
              <a:schemeClr val="accent1"/>
            </a:solidFill>
            <a:ln>
              <a:noFill/>
            </a:ln>
            <a:effectLst/>
          </c:spPr>
          <c:invertIfNegative val="0"/>
          <c:cat>
            <c:strRef>
              <c:f>Graphics!$A$104:$A$117</c:f>
              <c:strCache>
                <c:ptCount val="13"/>
                <c:pt idx="0">
                  <c:v>Chemical</c:v>
                </c:pt>
                <c:pt idx="1">
                  <c:v>Combined - Primary &amp; Secondary</c:v>
                </c:pt>
                <c:pt idx="2">
                  <c:v>Electrical</c:v>
                </c:pt>
                <c:pt idx="3">
                  <c:v>Gas Handling</c:v>
                </c:pt>
                <c:pt idx="4">
                  <c:v>Lift Stations</c:v>
                </c:pt>
                <c:pt idx="5">
                  <c:v>Non-Process</c:v>
                </c:pt>
                <c:pt idx="6">
                  <c:v>Outfall</c:v>
                </c:pt>
                <c:pt idx="7">
                  <c:v>Preliminary</c:v>
                </c:pt>
                <c:pt idx="8">
                  <c:v>Primary</c:v>
                </c:pt>
                <c:pt idx="9">
                  <c:v>Recycled Water</c:v>
                </c:pt>
                <c:pt idx="10">
                  <c:v>Secondary</c:v>
                </c:pt>
                <c:pt idx="11">
                  <c:v>Solids Handling</c:v>
                </c:pt>
                <c:pt idx="12">
                  <c:v>Solids Treatment</c:v>
                </c:pt>
              </c:strCache>
            </c:strRef>
          </c:cat>
          <c:val>
            <c:numRef>
              <c:f>Graphics!$B$104:$B$117</c:f>
              <c:numCache>
                <c:formatCode>General</c:formatCode>
                <c:ptCount val="13"/>
                <c:pt idx="0">
                  <c:v>27</c:v>
                </c:pt>
                <c:pt idx="1">
                  <c:v>134</c:v>
                </c:pt>
                <c:pt idx="2">
                  <c:v>98</c:v>
                </c:pt>
                <c:pt idx="3">
                  <c:v>59</c:v>
                </c:pt>
                <c:pt idx="4">
                  <c:v>51</c:v>
                </c:pt>
                <c:pt idx="5">
                  <c:v>51</c:v>
                </c:pt>
                <c:pt idx="6">
                  <c:v>19</c:v>
                </c:pt>
                <c:pt idx="7">
                  <c:v>299</c:v>
                </c:pt>
                <c:pt idx="8">
                  <c:v>228</c:v>
                </c:pt>
                <c:pt idx="9">
                  <c:v>57</c:v>
                </c:pt>
                <c:pt idx="10">
                  <c:v>527</c:v>
                </c:pt>
                <c:pt idx="11">
                  <c:v>356</c:v>
                </c:pt>
                <c:pt idx="12">
                  <c:v>164</c:v>
                </c:pt>
              </c:numCache>
            </c:numRef>
          </c:val>
          <c:extLst>
            <c:ext xmlns:c16="http://schemas.microsoft.com/office/drawing/2014/chart" uri="{C3380CC4-5D6E-409C-BE32-E72D297353CC}">
              <c16:uniqueId val="{00000000-A617-4057-8ECB-8A8FEFF64D7E}"/>
            </c:ext>
          </c:extLst>
        </c:ser>
        <c:ser>
          <c:idx val="1"/>
          <c:order val="1"/>
          <c:tx>
            <c:strRef>
              <c:f>Graphics!$C$102:$C$103</c:f>
              <c:strCache>
                <c:ptCount val="1"/>
                <c:pt idx="0">
                  <c:v>Inspected</c:v>
                </c:pt>
              </c:strCache>
            </c:strRef>
          </c:tx>
          <c:spPr>
            <a:solidFill>
              <a:schemeClr val="accent2"/>
            </a:solidFill>
            <a:ln>
              <a:noFill/>
            </a:ln>
            <a:effectLst/>
          </c:spPr>
          <c:invertIfNegative val="0"/>
          <c:cat>
            <c:strRef>
              <c:f>Graphics!$A$104:$A$117</c:f>
              <c:strCache>
                <c:ptCount val="13"/>
                <c:pt idx="0">
                  <c:v>Chemical</c:v>
                </c:pt>
                <c:pt idx="1">
                  <c:v>Combined - Primary &amp; Secondary</c:v>
                </c:pt>
                <c:pt idx="2">
                  <c:v>Electrical</c:v>
                </c:pt>
                <c:pt idx="3">
                  <c:v>Gas Handling</c:v>
                </c:pt>
                <c:pt idx="4">
                  <c:v>Lift Stations</c:v>
                </c:pt>
                <c:pt idx="5">
                  <c:v>Non-Process</c:v>
                </c:pt>
                <c:pt idx="6">
                  <c:v>Outfall</c:v>
                </c:pt>
                <c:pt idx="7">
                  <c:v>Preliminary</c:v>
                </c:pt>
                <c:pt idx="8">
                  <c:v>Primary</c:v>
                </c:pt>
                <c:pt idx="9">
                  <c:v>Recycled Water</c:v>
                </c:pt>
                <c:pt idx="10">
                  <c:v>Secondary</c:v>
                </c:pt>
                <c:pt idx="11">
                  <c:v>Solids Handling</c:v>
                </c:pt>
                <c:pt idx="12">
                  <c:v>Solids Treatment</c:v>
                </c:pt>
              </c:strCache>
            </c:strRef>
          </c:cat>
          <c:val>
            <c:numRef>
              <c:f>Graphics!$C$104:$C$117</c:f>
              <c:numCache>
                <c:formatCode>General</c:formatCode>
                <c:ptCount val="13"/>
                <c:pt idx="1">
                  <c:v>12</c:v>
                </c:pt>
                <c:pt idx="2">
                  <c:v>18</c:v>
                </c:pt>
                <c:pt idx="4">
                  <c:v>56</c:v>
                </c:pt>
                <c:pt idx="5">
                  <c:v>4</c:v>
                </c:pt>
                <c:pt idx="6">
                  <c:v>7</c:v>
                </c:pt>
                <c:pt idx="7">
                  <c:v>230</c:v>
                </c:pt>
                <c:pt idx="8">
                  <c:v>16</c:v>
                </c:pt>
                <c:pt idx="10">
                  <c:v>238</c:v>
                </c:pt>
                <c:pt idx="11">
                  <c:v>162</c:v>
                </c:pt>
                <c:pt idx="12">
                  <c:v>107</c:v>
                </c:pt>
              </c:numCache>
            </c:numRef>
          </c:val>
          <c:extLst>
            <c:ext xmlns:c16="http://schemas.microsoft.com/office/drawing/2014/chart" uri="{C3380CC4-5D6E-409C-BE32-E72D297353CC}">
              <c16:uniqueId val="{00000001-A617-4057-8ECB-8A8FEFF64D7E}"/>
            </c:ext>
          </c:extLst>
        </c:ser>
        <c:dLbls>
          <c:showLegendKey val="0"/>
          <c:showVal val="0"/>
          <c:showCatName val="0"/>
          <c:showSerName val="0"/>
          <c:showPercent val="0"/>
          <c:showBubbleSize val="0"/>
        </c:dLbls>
        <c:gapWidth val="150"/>
        <c:overlap val="100"/>
        <c:axId val="15820639"/>
        <c:axId val="1313653535"/>
      </c:barChart>
      <c:catAx>
        <c:axId val="158206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Process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3653535"/>
        <c:crosses val="autoZero"/>
        <c:auto val="1"/>
        <c:lblAlgn val="ctr"/>
        <c:lblOffset val="100"/>
        <c:noMultiLvlLbl val="0"/>
      </c:catAx>
      <c:valAx>
        <c:axId val="13136535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 of Assets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20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[SBMWD_WRP Asset Register_v83.xlsx]Graphs!PivotTable1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92D050"/>
          </a:solidFill>
          <a:ln>
            <a:noFill/>
          </a:ln>
          <a:effectLst/>
        </c:spPr>
      </c:pivotFmt>
      <c:pivotFmt>
        <c:idx val="2"/>
        <c:spPr>
          <a:solidFill>
            <a:srgbClr val="00B050"/>
          </a:solidFill>
          <a:ln>
            <a:noFill/>
          </a:ln>
          <a:effectLst/>
        </c:spPr>
      </c:pivotFmt>
      <c:pivotFmt>
        <c:idx val="3"/>
        <c:spPr>
          <a:solidFill>
            <a:srgbClr val="FFFF00"/>
          </a:solidFill>
          <a:ln>
            <a:noFill/>
          </a:ln>
          <a:effectLst/>
        </c:spPr>
      </c:pivotFmt>
      <c:pivotFmt>
        <c:idx val="4"/>
        <c:spPr>
          <a:solidFill>
            <a:srgbClr val="FFC000"/>
          </a:solidFill>
          <a:ln>
            <a:noFill/>
          </a:ln>
          <a:effectLst/>
        </c:spPr>
      </c:pivotFmt>
      <c:pivotFmt>
        <c:idx val="5"/>
        <c:spPr>
          <a:solidFill>
            <a:srgbClr val="FF0000"/>
          </a:solidFill>
          <a:ln>
            <a:noFill/>
          </a:ln>
          <a:effectLst/>
        </c:spPr>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00B050"/>
          </a:solidFill>
          <a:ln>
            <a:noFill/>
          </a:ln>
          <a:effectLst/>
        </c:spPr>
      </c:pivotFmt>
      <c:pivotFmt>
        <c:idx val="8"/>
        <c:spPr>
          <a:solidFill>
            <a:srgbClr val="92D050"/>
          </a:solidFill>
          <a:ln>
            <a:noFill/>
          </a:ln>
          <a:effectLst/>
        </c:spPr>
      </c:pivotFmt>
      <c:pivotFmt>
        <c:idx val="9"/>
        <c:spPr>
          <a:solidFill>
            <a:srgbClr val="FFFF00"/>
          </a:solidFill>
          <a:ln>
            <a:noFill/>
          </a:ln>
          <a:effectLst/>
        </c:spPr>
      </c:pivotFmt>
      <c:pivotFmt>
        <c:idx val="10"/>
        <c:spPr>
          <a:solidFill>
            <a:srgbClr val="FFC000"/>
          </a:solidFill>
          <a:ln>
            <a:noFill/>
          </a:ln>
          <a:effectLst/>
        </c:spPr>
      </c:pivotFmt>
      <c:pivotFmt>
        <c:idx val="11"/>
        <c:spPr>
          <a:solidFill>
            <a:srgbClr val="FF0000"/>
          </a:solidFill>
          <a:ln>
            <a:noFill/>
          </a:ln>
          <a:effectLst/>
        </c:spPr>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00B050"/>
          </a:solidFill>
          <a:ln>
            <a:noFill/>
          </a:ln>
          <a:effectLst/>
        </c:spPr>
      </c:pivotFmt>
      <c:pivotFmt>
        <c:idx val="14"/>
        <c:spPr>
          <a:solidFill>
            <a:srgbClr val="92D050"/>
          </a:solidFill>
          <a:ln>
            <a:noFill/>
          </a:ln>
          <a:effectLst/>
        </c:spPr>
      </c:pivotFmt>
      <c:pivotFmt>
        <c:idx val="15"/>
        <c:spPr>
          <a:solidFill>
            <a:srgbClr val="FFFF00"/>
          </a:solidFill>
          <a:ln>
            <a:noFill/>
          </a:ln>
          <a:effectLst/>
        </c:spPr>
      </c:pivotFmt>
      <c:pivotFmt>
        <c:idx val="16"/>
        <c:spPr>
          <a:solidFill>
            <a:srgbClr val="FFC000"/>
          </a:solidFill>
          <a:ln>
            <a:noFill/>
          </a:ln>
          <a:effectLst/>
        </c:spPr>
      </c:pivotFmt>
      <c:pivotFmt>
        <c:idx val="17"/>
        <c:spPr>
          <a:solidFill>
            <a:srgbClr val="FF0000"/>
          </a:solidFill>
          <a:ln>
            <a:noFill/>
          </a:ln>
          <a:effectLst/>
        </c:spPr>
      </c:pivotFmt>
    </c:pivotFmts>
    <c:plotArea>
      <c:layout/>
      <c:barChart>
        <c:barDir val="col"/>
        <c:grouping val="clustered"/>
        <c:varyColors val="0"/>
        <c:ser>
          <c:idx val="0"/>
          <c:order val="0"/>
          <c:tx>
            <c:strRef>
              <c:f>Graphs!$B$3</c:f>
              <c:strCache>
                <c:ptCount val="1"/>
                <c:pt idx="0">
                  <c:v>Total</c:v>
                </c:pt>
              </c:strCache>
            </c:strRef>
          </c:tx>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F3AC-4CA7-9FA9-CF78490A8F12}"/>
              </c:ext>
            </c:extLst>
          </c:dPt>
          <c:dPt>
            <c:idx val="1"/>
            <c:invertIfNegative val="0"/>
            <c:bubble3D val="0"/>
            <c:spPr>
              <a:solidFill>
                <a:srgbClr val="92D050"/>
              </a:solidFill>
              <a:ln>
                <a:noFill/>
              </a:ln>
              <a:effectLst/>
            </c:spPr>
            <c:extLst>
              <c:ext xmlns:c16="http://schemas.microsoft.com/office/drawing/2014/chart" uri="{C3380CC4-5D6E-409C-BE32-E72D297353CC}">
                <c16:uniqueId val="{00000003-F3AC-4CA7-9FA9-CF78490A8F12}"/>
              </c:ext>
            </c:extLst>
          </c:dPt>
          <c:dPt>
            <c:idx val="2"/>
            <c:invertIfNegative val="0"/>
            <c:bubble3D val="0"/>
            <c:spPr>
              <a:solidFill>
                <a:srgbClr val="FFFF00"/>
              </a:solidFill>
              <a:ln>
                <a:noFill/>
              </a:ln>
              <a:effectLst/>
            </c:spPr>
            <c:extLst>
              <c:ext xmlns:c16="http://schemas.microsoft.com/office/drawing/2014/chart" uri="{C3380CC4-5D6E-409C-BE32-E72D297353CC}">
                <c16:uniqueId val="{00000005-F3AC-4CA7-9FA9-CF78490A8F12}"/>
              </c:ext>
            </c:extLst>
          </c:dPt>
          <c:dPt>
            <c:idx val="3"/>
            <c:invertIfNegative val="0"/>
            <c:bubble3D val="0"/>
            <c:spPr>
              <a:solidFill>
                <a:srgbClr val="FFC000"/>
              </a:solidFill>
              <a:ln>
                <a:noFill/>
              </a:ln>
              <a:effectLst/>
            </c:spPr>
            <c:extLst>
              <c:ext xmlns:c16="http://schemas.microsoft.com/office/drawing/2014/chart" uri="{C3380CC4-5D6E-409C-BE32-E72D297353CC}">
                <c16:uniqueId val="{00000007-F3AC-4CA7-9FA9-CF78490A8F12}"/>
              </c:ext>
            </c:extLst>
          </c:dPt>
          <c:dPt>
            <c:idx val="4"/>
            <c:invertIfNegative val="0"/>
            <c:bubble3D val="0"/>
            <c:spPr>
              <a:solidFill>
                <a:srgbClr val="FF0000"/>
              </a:solidFill>
              <a:ln>
                <a:noFill/>
              </a:ln>
              <a:effectLst/>
            </c:spPr>
            <c:extLst>
              <c:ext xmlns:c16="http://schemas.microsoft.com/office/drawing/2014/chart" uri="{C3380CC4-5D6E-409C-BE32-E72D297353CC}">
                <c16:uniqueId val="{00000009-F3AC-4CA7-9FA9-CF78490A8F1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Graphs!$A$4:$A$9</c:f>
              <c:strCache>
                <c:ptCount val="5"/>
                <c:pt idx="0">
                  <c:v>1</c:v>
                </c:pt>
                <c:pt idx="1">
                  <c:v>2</c:v>
                </c:pt>
                <c:pt idx="2">
                  <c:v>3</c:v>
                </c:pt>
                <c:pt idx="3">
                  <c:v>4</c:v>
                </c:pt>
                <c:pt idx="4">
                  <c:v>5</c:v>
                </c:pt>
              </c:strCache>
            </c:strRef>
          </c:cat>
          <c:val>
            <c:numRef>
              <c:f>Graphs!$B$4:$B$9</c:f>
              <c:numCache>
                <c:formatCode>General</c:formatCode>
                <c:ptCount val="5"/>
                <c:pt idx="0">
                  <c:v>163</c:v>
                </c:pt>
                <c:pt idx="1">
                  <c:v>589</c:v>
                </c:pt>
                <c:pt idx="2">
                  <c:v>1944</c:v>
                </c:pt>
                <c:pt idx="3">
                  <c:v>204</c:v>
                </c:pt>
                <c:pt idx="4">
                  <c:v>97</c:v>
                </c:pt>
              </c:numCache>
            </c:numRef>
          </c:val>
          <c:extLst>
            <c:ext xmlns:c16="http://schemas.microsoft.com/office/drawing/2014/chart" uri="{C3380CC4-5D6E-409C-BE32-E72D297353CC}">
              <c16:uniqueId val="{0000000A-F3AC-4CA7-9FA9-CF78490A8F12}"/>
            </c:ext>
          </c:extLst>
        </c:ser>
        <c:dLbls>
          <c:dLblPos val="outEnd"/>
          <c:showLegendKey val="0"/>
          <c:showVal val="1"/>
          <c:showCatName val="0"/>
          <c:showSerName val="0"/>
          <c:showPercent val="0"/>
          <c:showBubbleSize val="0"/>
        </c:dLbls>
        <c:gapWidth val="219"/>
        <c:overlap val="-27"/>
        <c:axId val="518900095"/>
        <c:axId val="1972113791"/>
      </c:barChart>
      <c:catAx>
        <c:axId val="5189000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Condition Score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2113791"/>
        <c:crosses val="autoZero"/>
        <c:auto val="1"/>
        <c:lblAlgn val="ctr"/>
        <c:lblOffset val="100"/>
        <c:noMultiLvlLbl val="0"/>
      </c:catAx>
      <c:valAx>
        <c:axId val="19721137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 of Assets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9000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[SBMWD_WRP Asset Register_v83.xlsx]Graphs!PivotTable5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Remaining Useful Life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rgbClr val="FFFF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rgbClr val="FFFF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rgbClr val="92D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rgbClr val="FFFF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rgbClr val="FFFF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rgbClr val="92D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rgbClr val="FFFF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rgbClr val="92D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Graphs!$B$123:$B$124</c:f>
              <c:strCache>
                <c:ptCount val="1"/>
                <c:pt idx="0">
                  <c:v>Highest CoF</c:v>
                </c:pt>
              </c:strCache>
            </c:strRef>
          </c:tx>
          <c:spPr>
            <a:solidFill>
              <a:srgbClr val="FF0000"/>
            </a:solidFill>
            <a:ln>
              <a:noFill/>
            </a:ln>
            <a:effectLst/>
          </c:spPr>
          <c:invertIfNegative val="0"/>
          <c:cat>
            <c:strRef>
              <c:f>Graphs!$A$125:$A$136</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Graphs!$B$125:$B$136</c:f>
              <c:numCache>
                <c:formatCode>General</c:formatCode>
                <c:ptCount val="11"/>
                <c:pt idx="0">
                  <c:v>48</c:v>
                </c:pt>
                <c:pt idx="3">
                  <c:v>4</c:v>
                </c:pt>
                <c:pt idx="4">
                  <c:v>20</c:v>
                </c:pt>
                <c:pt idx="5">
                  <c:v>2</c:v>
                </c:pt>
                <c:pt idx="6">
                  <c:v>1</c:v>
                </c:pt>
                <c:pt idx="7">
                  <c:v>10</c:v>
                </c:pt>
                <c:pt idx="9">
                  <c:v>115</c:v>
                </c:pt>
              </c:numCache>
            </c:numRef>
          </c:val>
          <c:extLst>
            <c:ext xmlns:c16="http://schemas.microsoft.com/office/drawing/2014/chart" uri="{C3380CC4-5D6E-409C-BE32-E72D297353CC}">
              <c16:uniqueId val="{00000000-A84A-4C79-9DF1-72DFC112A08E}"/>
            </c:ext>
          </c:extLst>
        </c:ser>
        <c:ser>
          <c:idx val="1"/>
          <c:order val="1"/>
          <c:tx>
            <c:strRef>
              <c:f>Graphs!$C$123:$C$124</c:f>
              <c:strCache>
                <c:ptCount val="1"/>
                <c:pt idx="0">
                  <c:v>Higher CoF</c:v>
                </c:pt>
              </c:strCache>
            </c:strRef>
          </c:tx>
          <c:spPr>
            <a:solidFill>
              <a:srgbClr val="FFC000"/>
            </a:solidFill>
            <a:ln>
              <a:noFill/>
            </a:ln>
            <a:effectLst/>
          </c:spPr>
          <c:invertIfNegative val="0"/>
          <c:cat>
            <c:strRef>
              <c:f>Graphs!$A$125:$A$136</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Graphs!$C$125:$C$136</c:f>
              <c:numCache>
                <c:formatCode>General</c:formatCode>
                <c:ptCount val="11"/>
                <c:pt idx="0">
                  <c:v>41</c:v>
                </c:pt>
                <c:pt idx="2">
                  <c:v>1</c:v>
                </c:pt>
                <c:pt idx="3">
                  <c:v>8</c:v>
                </c:pt>
                <c:pt idx="4">
                  <c:v>7</c:v>
                </c:pt>
                <c:pt idx="5">
                  <c:v>5</c:v>
                </c:pt>
                <c:pt idx="6">
                  <c:v>23</c:v>
                </c:pt>
                <c:pt idx="7">
                  <c:v>43</c:v>
                </c:pt>
                <c:pt idx="9">
                  <c:v>152</c:v>
                </c:pt>
                <c:pt idx="10">
                  <c:v>3</c:v>
                </c:pt>
              </c:numCache>
            </c:numRef>
          </c:val>
          <c:extLst>
            <c:ext xmlns:c16="http://schemas.microsoft.com/office/drawing/2014/chart" uri="{C3380CC4-5D6E-409C-BE32-E72D297353CC}">
              <c16:uniqueId val="{00000001-A84A-4C79-9DF1-72DFC112A08E}"/>
            </c:ext>
          </c:extLst>
        </c:ser>
        <c:ser>
          <c:idx val="2"/>
          <c:order val="2"/>
          <c:tx>
            <c:strRef>
              <c:f>Graphs!$D$123:$D$124</c:f>
              <c:strCache>
                <c:ptCount val="1"/>
                <c:pt idx="0">
                  <c:v>High CoF</c:v>
                </c:pt>
              </c:strCache>
            </c:strRef>
          </c:tx>
          <c:spPr>
            <a:solidFill>
              <a:srgbClr val="FFFF00"/>
            </a:solidFill>
            <a:ln>
              <a:noFill/>
            </a:ln>
            <a:effectLst/>
          </c:spPr>
          <c:invertIfNegative val="0"/>
          <c:cat>
            <c:strRef>
              <c:f>Graphs!$A$125:$A$136</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Graphs!$D$125:$D$136</c:f>
              <c:numCache>
                <c:formatCode>General</c:formatCode>
                <c:ptCount val="11"/>
                <c:pt idx="0">
                  <c:v>56</c:v>
                </c:pt>
                <c:pt idx="1">
                  <c:v>1</c:v>
                </c:pt>
                <c:pt idx="3">
                  <c:v>14</c:v>
                </c:pt>
                <c:pt idx="4">
                  <c:v>35</c:v>
                </c:pt>
                <c:pt idx="5">
                  <c:v>28</c:v>
                </c:pt>
                <c:pt idx="6">
                  <c:v>37</c:v>
                </c:pt>
                <c:pt idx="7">
                  <c:v>105</c:v>
                </c:pt>
                <c:pt idx="9">
                  <c:v>27</c:v>
                </c:pt>
                <c:pt idx="10">
                  <c:v>1</c:v>
                </c:pt>
              </c:numCache>
            </c:numRef>
          </c:val>
          <c:extLst>
            <c:ext xmlns:c16="http://schemas.microsoft.com/office/drawing/2014/chart" uri="{C3380CC4-5D6E-409C-BE32-E72D297353CC}">
              <c16:uniqueId val="{00000002-A84A-4C79-9DF1-72DFC112A08E}"/>
            </c:ext>
          </c:extLst>
        </c:ser>
        <c:ser>
          <c:idx val="3"/>
          <c:order val="3"/>
          <c:tx>
            <c:strRef>
              <c:f>Graphs!$E$123:$E$124</c:f>
              <c:strCache>
                <c:ptCount val="1"/>
                <c:pt idx="0">
                  <c:v>Lower CoF</c:v>
                </c:pt>
              </c:strCache>
            </c:strRef>
          </c:tx>
          <c:spPr>
            <a:solidFill>
              <a:srgbClr val="92D050"/>
            </a:solidFill>
            <a:ln>
              <a:noFill/>
            </a:ln>
            <a:effectLst/>
          </c:spPr>
          <c:invertIfNegative val="0"/>
          <c:cat>
            <c:strRef>
              <c:f>Graphs!$A$125:$A$136</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Graphs!$E$125:$E$136</c:f>
              <c:numCache>
                <c:formatCode>General</c:formatCode>
                <c:ptCount val="11"/>
                <c:pt idx="0">
                  <c:v>44</c:v>
                </c:pt>
                <c:pt idx="1">
                  <c:v>1</c:v>
                </c:pt>
                <c:pt idx="2">
                  <c:v>1</c:v>
                </c:pt>
                <c:pt idx="3">
                  <c:v>8</c:v>
                </c:pt>
                <c:pt idx="4">
                  <c:v>33</c:v>
                </c:pt>
                <c:pt idx="5">
                  <c:v>33</c:v>
                </c:pt>
                <c:pt idx="6">
                  <c:v>31</c:v>
                </c:pt>
                <c:pt idx="7">
                  <c:v>82</c:v>
                </c:pt>
                <c:pt idx="8">
                  <c:v>1</c:v>
                </c:pt>
                <c:pt idx="9">
                  <c:v>76</c:v>
                </c:pt>
                <c:pt idx="10">
                  <c:v>6</c:v>
                </c:pt>
              </c:numCache>
            </c:numRef>
          </c:val>
          <c:extLst>
            <c:ext xmlns:c16="http://schemas.microsoft.com/office/drawing/2014/chart" uri="{C3380CC4-5D6E-409C-BE32-E72D297353CC}">
              <c16:uniqueId val="{00000003-A84A-4C79-9DF1-72DFC112A08E}"/>
            </c:ext>
          </c:extLst>
        </c:ser>
        <c:ser>
          <c:idx val="4"/>
          <c:order val="4"/>
          <c:tx>
            <c:strRef>
              <c:f>Graphs!$F$123:$F$124</c:f>
              <c:strCache>
                <c:ptCount val="1"/>
                <c:pt idx="0">
                  <c:v>Lowest CoF</c:v>
                </c:pt>
              </c:strCache>
            </c:strRef>
          </c:tx>
          <c:spPr>
            <a:solidFill>
              <a:srgbClr val="00B050"/>
            </a:solidFill>
            <a:ln>
              <a:noFill/>
            </a:ln>
            <a:effectLst/>
          </c:spPr>
          <c:invertIfNegative val="0"/>
          <c:cat>
            <c:strRef>
              <c:f>Graphs!$A$125:$A$136</c:f>
              <c:strCache>
                <c:ptCount val="11"/>
                <c:pt idx="0">
                  <c:v>0</c:v>
                </c:pt>
                <c:pt idx="1">
                  <c:v>1</c:v>
                </c:pt>
                <c:pt idx="2">
                  <c:v>2</c:v>
                </c:pt>
                <c:pt idx="3">
                  <c:v>3</c:v>
                </c:pt>
                <c:pt idx="4">
                  <c:v>4</c:v>
                </c:pt>
                <c:pt idx="5">
                  <c:v>5</c:v>
                </c:pt>
                <c:pt idx="6">
                  <c:v>6</c:v>
                </c:pt>
                <c:pt idx="7">
                  <c:v>7</c:v>
                </c:pt>
                <c:pt idx="8">
                  <c:v>8</c:v>
                </c:pt>
                <c:pt idx="9">
                  <c:v>9</c:v>
                </c:pt>
                <c:pt idx="10">
                  <c:v>10</c:v>
                </c:pt>
              </c:strCache>
            </c:strRef>
          </c:cat>
          <c:val>
            <c:numRef>
              <c:f>Graphs!$F$125:$F$136</c:f>
              <c:numCache>
                <c:formatCode>General</c:formatCode>
                <c:ptCount val="11"/>
                <c:pt idx="0">
                  <c:v>11</c:v>
                </c:pt>
                <c:pt idx="1">
                  <c:v>1</c:v>
                </c:pt>
                <c:pt idx="3">
                  <c:v>5</c:v>
                </c:pt>
                <c:pt idx="4">
                  <c:v>10</c:v>
                </c:pt>
                <c:pt idx="5">
                  <c:v>4</c:v>
                </c:pt>
                <c:pt idx="6">
                  <c:v>16</c:v>
                </c:pt>
                <c:pt idx="7">
                  <c:v>25</c:v>
                </c:pt>
                <c:pt idx="8">
                  <c:v>3</c:v>
                </c:pt>
                <c:pt idx="10">
                  <c:v>1</c:v>
                </c:pt>
              </c:numCache>
            </c:numRef>
          </c:val>
          <c:extLst>
            <c:ext xmlns:c16="http://schemas.microsoft.com/office/drawing/2014/chart" uri="{C3380CC4-5D6E-409C-BE32-E72D297353CC}">
              <c16:uniqueId val="{00000004-A84A-4C79-9DF1-72DFC112A08E}"/>
            </c:ext>
          </c:extLst>
        </c:ser>
        <c:dLbls>
          <c:showLegendKey val="0"/>
          <c:showVal val="0"/>
          <c:showCatName val="0"/>
          <c:showSerName val="0"/>
          <c:showPercent val="0"/>
          <c:showBubbleSize val="0"/>
        </c:dLbls>
        <c:gapWidth val="219"/>
        <c:overlap val="100"/>
        <c:axId val="643804911"/>
        <c:axId val="1952915455"/>
      </c:barChart>
      <c:catAx>
        <c:axId val="6438049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Remaining Useful Life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2915455"/>
        <c:crosses val="autoZero"/>
        <c:auto val="1"/>
        <c:lblAlgn val="ctr"/>
        <c:lblOffset val="100"/>
        <c:noMultiLvlLbl val="0"/>
      </c:catAx>
      <c:valAx>
        <c:axId val="195291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 of Assets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8049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F80B9A-523C-48A9-A279-1225F18FC536}" type="doc">
      <dgm:prSet loTypeId="urn:microsoft.com/office/officeart/2005/8/layout/equation2" loCatId="process" qsTypeId="urn:microsoft.com/office/officeart/2005/8/quickstyle/simple1" qsCatId="simple" csTypeId="urn:microsoft.com/office/officeart/2005/8/colors/accent1_3" csCatId="accent1" phldr="1"/>
      <dgm:spPr/>
    </dgm:pt>
    <dgm:pt modelId="{719D68EC-E3E2-4F59-BB4D-23ABD4D06670}">
      <dgm:prSet phldrT="[Text]"/>
      <dgm:spPr/>
      <dgm:t>
        <a:bodyPr/>
        <a:lstStyle/>
        <a:p>
          <a:r>
            <a:rPr lang="en-US"/>
            <a:t>Process-Level CoF (1-5)</a:t>
          </a:r>
        </a:p>
      </dgm:t>
    </dgm:pt>
    <dgm:pt modelId="{D3BE07B6-2334-41C7-83A8-8BBF536F8626}" type="parTrans" cxnId="{E41CAA28-8959-48E1-B0FE-D82C7B467BB1}">
      <dgm:prSet/>
      <dgm:spPr/>
      <dgm:t>
        <a:bodyPr/>
        <a:lstStyle/>
        <a:p>
          <a:endParaRPr lang="en-US"/>
        </a:p>
      </dgm:t>
    </dgm:pt>
    <dgm:pt modelId="{949CB113-9320-4081-A7A0-9863C105D54D}" type="sibTrans" cxnId="{E41CAA28-8959-48E1-B0FE-D82C7B467BB1}">
      <dgm:prSet/>
      <dgm:spPr/>
      <dgm:t>
        <a:bodyPr/>
        <a:lstStyle/>
        <a:p>
          <a:endParaRPr lang="en-US"/>
        </a:p>
      </dgm:t>
    </dgm:pt>
    <dgm:pt modelId="{C287FFDE-01B3-4C03-9811-F2049B1AAF1E}">
      <dgm:prSet phldrT="[Text]"/>
      <dgm:spPr>
        <a:solidFill>
          <a:srgbClr val="406F70"/>
        </a:solidFill>
      </dgm:spPr>
      <dgm:t>
        <a:bodyPr/>
        <a:lstStyle/>
        <a:p>
          <a:r>
            <a:rPr lang="en-US"/>
            <a:t>Asset-Level </a:t>
          </a:r>
          <a:r>
            <a:rPr lang="en-US" err="1"/>
            <a:t>CoF</a:t>
          </a:r>
          <a:r>
            <a:rPr lang="en-US"/>
            <a:t> </a:t>
          </a:r>
        </a:p>
        <a:p>
          <a:r>
            <a:rPr lang="en-US"/>
            <a:t>(1-5)</a:t>
          </a:r>
        </a:p>
      </dgm:t>
    </dgm:pt>
    <dgm:pt modelId="{6D3FA770-3757-47F4-B01A-0F932F23E670}" type="parTrans" cxnId="{721253D6-71A3-46F6-AD5F-A1945C4B6DE3}">
      <dgm:prSet/>
      <dgm:spPr/>
      <dgm:t>
        <a:bodyPr/>
        <a:lstStyle/>
        <a:p>
          <a:endParaRPr lang="en-US"/>
        </a:p>
      </dgm:t>
    </dgm:pt>
    <dgm:pt modelId="{B5E02739-9C9B-4B23-85CE-1033FFD1B186}" type="sibTrans" cxnId="{721253D6-71A3-46F6-AD5F-A1945C4B6DE3}">
      <dgm:prSet custT="1"/>
      <dgm:spPr/>
      <dgm:t>
        <a:bodyPr/>
        <a:lstStyle/>
        <a:p>
          <a:r>
            <a:rPr lang="en-US" sz="1050" b="1">
              <a:solidFill>
                <a:srgbClr val="7030A0"/>
              </a:solidFill>
            </a:rPr>
            <a:t>Divided by 2.5</a:t>
          </a:r>
        </a:p>
      </dgm:t>
    </dgm:pt>
    <dgm:pt modelId="{49958D37-5CDD-4534-B865-8026C33DF151}">
      <dgm:prSet phldrT="[Text]" custT="1"/>
      <dgm:spPr/>
      <dgm:t>
        <a:bodyPr/>
        <a:lstStyle/>
        <a:p>
          <a:r>
            <a:rPr lang="en-US" sz="1600" dirty="0"/>
            <a:t>Final CoF Score (1 -10)</a:t>
          </a:r>
        </a:p>
      </dgm:t>
    </dgm:pt>
    <dgm:pt modelId="{0EA55730-C9DB-4508-8AD0-1C88CC4C6BC6}" type="parTrans" cxnId="{4153D9EB-6ED4-469C-B06C-5BF75A5B5BDA}">
      <dgm:prSet/>
      <dgm:spPr/>
      <dgm:t>
        <a:bodyPr/>
        <a:lstStyle/>
        <a:p>
          <a:endParaRPr lang="en-US"/>
        </a:p>
      </dgm:t>
    </dgm:pt>
    <dgm:pt modelId="{F736EAC1-73D3-4053-A2D8-420A6A867B95}" type="sibTrans" cxnId="{4153D9EB-6ED4-469C-B06C-5BF75A5B5BDA}">
      <dgm:prSet/>
      <dgm:spPr/>
      <dgm:t>
        <a:bodyPr/>
        <a:lstStyle/>
        <a:p>
          <a:endParaRPr lang="en-US"/>
        </a:p>
      </dgm:t>
    </dgm:pt>
    <dgm:pt modelId="{27849262-AC72-4831-9AE2-26FD2B911A21}" type="pres">
      <dgm:prSet presAssocID="{6FF80B9A-523C-48A9-A279-1225F18FC536}" presName="Name0" presStyleCnt="0">
        <dgm:presLayoutVars>
          <dgm:dir/>
          <dgm:resizeHandles val="exact"/>
        </dgm:presLayoutVars>
      </dgm:prSet>
      <dgm:spPr/>
    </dgm:pt>
    <dgm:pt modelId="{75833EE4-04D8-4B0F-9D48-41D32DDFE955}" type="pres">
      <dgm:prSet presAssocID="{6FF80B9A-523C-48A9-A279-1225F18FC536}" presName="vNodes" presStyleCnt="0"/>
      <dgm:spPr/>
    </dgm:pt>
    <dgm:pt modelId="{5BBE754E-A1E5-4CA6-83B4-8983916F5147}" type="pres">
      <dgm:prSet presAssocID="{719D68EC-E3E2-4F59-BB4D-23ABD4D06670}" presName="node" presStyleLbl="node1" presStyleIdx="0" presStyleCnt="3">
        <dgm:presLayoutVars>
          <dgm:bulletEnabled val="1"/>
        </dgm:presLayoutVars>
      </dgm:prSet>
      <dgm:spPr/>
    </dgm:pt>
    <dgm:pt modelId="{4A2AEB50-2E87-43E0-980F-22BCADE6A4A5}" type="pres">
      <dgm:prSet presAssocID="{949CB113-9320-4081-A7A0-9863C105D54D}" presName="spacerT" presStyleCnt="0"/>
      <dgm:spPr/>
    </dgm:pt>
    <dgm:pt modelId="{08EDF19A-986C-4A51-ACB7-22C8990BCC9E}" type="pres">
      <dgm:prSet presAssocID="{949CB113-9320-4081-A7A0-9863C105D54D}" presName="sibTrans" presStyleLbl="sibTrans2D1" presStyleIdx="0" presStyleCnt="2" custAng="18854479"/>
      <dgm:spPr/>
    </dgm:pt>
    <dgm:pt modelId="{78F763F3-953D-4360-B648-16BF29C8452A}" type="pres">
      <dgm:prSet presAssocID="{949CB113-9320-4081-A7A0-9863C105D54D}" presName="spacerB" presStyleCnt="0"/>
      <dgm:spPr/>
    </dgm:pt>
    <dgm:pt modelId="{94D15D29-D3A6-464E-94EC-A4F95966F05F}" type="pres">
      <dgm:prSet presAssocID="{C287FFDE-01B3-4C03-9811-F2049B1AAF1E}" presName="node" presStyleLbl="node1" presStyleIdx="1" presStyleCnt="3">
        <dgm:presLayoutVars>
          <dgm:bulletEnabled val="1"/>
        </dgm:presLayoutVars>
      </dgm:prSet>
      <dgm:spPr/>
    </dgm:pt>
    <dgm:pt modelId="{A8D2CCDB-2218-4F3F-A9AF-AFFD4057C23B}" type="pres">
      <dgm:prSet presAssocID="{6FF80B9A-523C-48A9-A279-1225F18FC536}" presName="sibTransLast" presStyleLbl="sibTrans2D1" presStyleIdx="1" presStyleCnt="2" custScaleX="161216" custScaleY="170117" custLinFactNeighborX="-1442"/>
      <dgm:spPr/>
    </dgm:pt>
    <dgm:pt modelId="{28296876-948A-412B-8636-F0ECB72D487B}" type="pres">
      <dgm:prSet presAssocID="{6FF80B9A-523C-48A9-A279-1225F18FC536}" presName="connectorText" presStyleLbl="sibTrans2D1" presStyleIdx="1" presStyleCnt="2"/>
      <dgm:spPr/>
    </dgm:pt>
    <dgm:pt modelId="{7F1FA283-7589-42D5-8F54-B58D9648B095}" type="pres">
      <dgm:prSet presAssocID="{6FF80B9A-523C-48A9-A279-1225F18FC536}" presName="lastNode" presStyleLbl="node1" presStyleIdx="2" presStyleCnt="3" custLinFactX="18911" custLinFactNeighborX="100000" custLinFactNeighborY="-2940">
        <dgm:presLayoutVars>
          <dgm:bulletEnabled val="1"/>
        </dgm:presLayoutVars>
      </dgm:prSet>
      <dgm:spPr/>
    </dgm:pt>
  </dgm:ptLst>
  <dgm:cxnLst>
    <dgm:cxn modelId="{AD35C617-E2BC-4C33-864D-3A06946FA543}" type="presOf" srcId="{6FF80B9A-523C-48A9-A279-1225F18FC536}" destId="{27849262-AC72-4831-9AE2-26FD2B911A21}" srcOrd="0" destOrd="0" presId="urn:microsoft.com/office/officeart/2005/8/layout/equation2"/>
    <dgm:cxn modelId="{E41CAA28-8959-48E1-B0FE-D82C7B467BB1}" srcId="{6FF80B9A-523C-48A9-A279-1225F18FC536}" destId="{719D68EC-E3E2-4F59-BB4D-23ABD4D06670}" srcOrd="0" destOrd="0" parTransId="{D3BE07B6-2334-41C7-83A8-8BBF536F8626}" sibTransId="{949CB113-9320-4081-A7A0-9863C105D54D}"/>
    <dgm:cxn modelId="{26A9E939-76CA-4132-A286-4A5DE5A4FA45}" type="presOf" srcId="{C287FFDE-01B3-4C03-9811-F2049B1AAF1E}" destId="{94D15D29-D3A6-464E-94EC-A4F95966F05F}" srcOrd="0" destOrd="0" presId="urn:microsoft.com/office/officeart/2005/8/layout/equation2"/>
    <dgm:cxn modelId="{C7550E44-3D34-4E57-9824-7C835FB8E42E}" type="presOf" srcId="{B5E02739-9C9B-4B23-85CE-1033FFD1B186}" destId="{28296876-948A-412B-8636-F0ECB72D487B}" srcOrd="1" destOrd="0" presId="urn:microsoft.com/office/officeart/2005/8/layout/equation2"/>
    <dgm:cxn modelId="{CAC0ED7D-ACAD-46A4-AE53-0E3F754A3793}" type="presOf" srcId="{B5E02739-9C9B-4B23-85CE-1033FFD1B186}" destId="{A8D2CCDB-2218-4F3F-A9AF-AFFD4057C23B}" srcOrd="0" destOrd="0" presId="urn:microsoft.com/office/officeart/2005/8/layout/equation2"/>
    <dgm:cxn modelId="{20054DAD-6BEF-40A9-B924-E28A8F463DDA}" type="presOf" srcId="{719D68EC-E3E2-4F59-BB4D-23ABD4D06670}" destId="{5BBE754E-A1E5-4CA6-83B4-8983916F5147}" srcOrd="0" destOrd="0" presId="urn:microsoft.com/office/officeart/2005/8/layout/equation2"/>
    <dgm:cxn modelId="{58C62AB0-F943-45DC-8C4E-2B15FB828357}" type="presOf" srcId="{49958D37-5CDD-4534-B865-8026C33DF151}" destId="{7F1FA283-7589-42D5-8F54-B58D9648B095}" srcOrd="0" destOrd="0" presId="urn:microsoft.com/office/officeart/2005/8/layout/equation2"/>
    <dgm:cxn modelId="{321609D2-9011-4D41-9B75-E946C705C5C9}" type="presOf" srcId="{949CB113-9320-4081-A7A0-9863C105D54D}" destId="{08EDF19A-986C-4A51-ACB7-22C8990BCC9E}" srcOrd="0" destOrd="0" presId="urn:microsoft.com/office/officeart/2005/8/layout/equation2"/>
    <dgm:cxn modelId="{721253D6-71A3-46F6-AD5F-A1945C4B6DE3}" srcId="{6FF80B9A-523C-48A9-A279-1225F18FC536}" destId="{C287FFDE-01B3-4C03-9811-F2049B1AAF1E}" srcOrd="1" destOrd="0" parTransId="{6D3FA770-3757-47F4-B01A-0F932F23E670}" sibTransId="{B5E02739-9C9B-4B23-85CE-1033FFD1B186}"/>
    <dgm:cxn modelId="{4153D9EB-6ED4-469C-B06C-5BF75A5B5BDA}" srcId="{6FF80B9A-523C-48A9-A279-1225F18FC536}" destId="{49958D37-5CDD-4534-B865-8026C33DF151}" srcOrd="2" destOrd="0" parTransId="{0EA55730-C9DB-4508-8AD0-1C88CC4C6BC6}" sibTransId="{F736EAC1-73D3-4053-A2D8-420A6A867B95}"/>
    <dgm:cxn modelId="{C04E20FF-2F11-44AC-A578-25F5FF1336BE}" type="presParOf" srcId="{27849262-AC72-4831-9AE2-26FD2B911A21}" destId="{75833EE4-04D8-4B0F-9D48-41D32DDFE955}" srcOrd="0" destOrd="0" presId="urn:microsoft.com/office/officeart/2005/8/layout/equation2"/>
    <dgm:cxn modelId="{F1C03CC0-E7DF-427E-BECF-82A0E1ACE631}" type="presParOf" srcId="{75833EE4-04D8-4B0F-9D48-41D32DDFE955}" destId="{5BBE754E-A1E5-4CA6-83B4-8983916F5147}" srcOrd="0" destOrd="0" presId="urn:microsoft.com/office/officeart/2005/8/layout/equation2"/>
    <dgm:cxn modelId="{4AA752CB-0D12-4B9D-82D3-334CB346DC3B}" type="presParOf" srcId="{75833EE4-04D8-4B0F-9D48-41D32DDFE955}" destId="{4A2AEB50-2E87-43E0-980F-22BCADE6A4A5}" srcOrd="1" destOrd="0" presId="urn:microsoft.com/office/officeart/2005/8/layout/equation2"/>
    <dgm:cxn modelId="{106F5FF2-2346-4D19-9F75-C67CCA9F0577}" type="presParOf" srcId="{75833EE4-04D8-4B0F-9D48-41D32DDFE955}" destId="{08EDF19A-986C-4A51-ACB7-22C8990BCC9E}" srcOrd="2" destOrd="0" presId="urn:microsoft.com/office/officeart/2005/8/layout/equation2"/>
    <dgm:cxn modelId="{AD524E8C-97EB-4F29-98AD-387DF3D7C083}" type="presParOf" srcId="{75833EE4-04D8-4B0F-9D48-41D32DDFE955}" destId="{78F763F3-953D-4360-B648-16BF29C8452A}" srcOrd="3" destOrd="0" presId="urn:microsoft.com/office/officeart/2005/8/layout/equation2"/>
    <dgm:cxn modelId="{3478539A-144A-437A-9427-CD6242489147}" type="presParOf" srcId="{75833EE4-04D8-4B0F-9D48-41D32DDFE955}" destId="{94D15D29-D3A6-464E-94EC-A4F95966F05F}" srcOrd="4" destOrd="0" presId="urn:microsoft.com/office/officeart/2005/8/layout/equation2"/>
    <dgm:cxn modelId="{0B186F52-17D1-4B4E-A045-C9ABCA15F31D}" type="presParOf" srcId="{27849262-AC72-4831-9AE2-26FD2B911A21}" destId="{A8D2CCDB-2218-4F3F-A9AF-AFFD4057C23B}" srcOrd="1" destOrd="0" presId="urn:microsoft.com/office/officeart/2005/8/layout/equation2"/>
    <dgm:cxn modelId="{761A180E-2492-4E02-8164-3FB0CD8615C2}" type="presParOf" srcId="{A8D2CCDB-2218-4F3F-A9AF-AFFD4057C23B}" destId="{28296876-948A-412B-8636-F0ECB72D487B}" srcOrd="0" destOrd="0" presId="urn:microsoft.com/office/officeart/2005/8/layout/equation2"/>
    <dgm:cxn modelId="{9534DD44-9FFF-4DE2-9521-79A1D79B5A5C}" type="presParOf" srcId="{27849262-AC72-4831-9AE2-26FD2B911A21}" destId="{7F1FA283-7589-42D5-8F54-B58D9648B095}" srcOrd="2" destOrd="0" presId="urn:microsoft.com/office/officeart/2005/8/layout/equation2"/>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BE754E-A1E5-4CA6-83B4-8983916F5147}">
      <dsp:nvSpPr>
        <dsp:cNvPr id="0" name=""/>
        <dsp:cNvSpPr/>
      </dsp:nvSpPr>
      <dsp:spPr>
        <a:xfrm>
          <a:off x="1487413" y="264"/>
          <a:ext cx="741227" cy="741227"/>
        </a:xfrm>
        <a:prstGeom prst="ellipse">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Process-Level CoF (1-5)</a:t>
          </a:r>
        </a:p>
      </dsp:txBody>
      <dsp:txXfrm>
        <a:off x="1595963" y="108814"/>
        <a:ext cx="524127" cy="524127"/>
      </dsp:txXfrm>
    </dsp:sp>
    <dsp:sp modelId="{08EDF19A-986C-4A51-ACB7-22C8990BCC9E}">
      <dsp:nvSpPr>
        <dsp:cNvPr id="0" name=""/>
        <dsp:cNvSpPr/>
      </dsp:nvSpPr>
      <dsp:spPr>
        <a:xfrm rot="18854479">
          <a:off x="1643071" y="801679"/>
          <a:ext cx="429911" cy="429911"/>
        </a:xfrm>
        <a:prstGeom prst="mathPlus">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700056" y="966077"/>
        <a:ext cx="315941" cy="101115"/>
      </dsp:txXfrm>
    </dsp:sp>
    <dsp:sp modelId="{94D15D29-D3A6-464E-94EC-A4F95966F05F}">
      <dsp:nvSpPr>
        <dsp:cNvPr id="0" name=""/>
        <dsp:cNvSpPr/>
      </dsp:nvSpPr>
      <dsp:spPr>
        <a:xfrm>
          <a:off x="1487413" y="1291778"/>
          <a:ext cx="741227" cy="741227"/>
        </a:xfrm>
        <a:prstGeom prst="ellipse">
          <a:avLst/>
        </a:prstGeom>
        <a:solidFill>
          <a:srgbClr val="406F7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Asset-Level </a:t>
          </a:r>
          <a:r>
            <a:rPr lang="en-US" sz="1000" kern="1200" err="1"/>
            <a:t>CoF</a:t>
          </a:r>
          <a:r>
            <a:rPr lang="en-US" sz="1000" kern="1200"/>
            <a:t> </a:t>
          </a:r>
        </a:p>
        <a:p>
          <a:pPr marL="0" lvl="0" indent="0" algn="ctr" defTabSz="444500">
            <a:lnSpc>
              <a:spcPct val="90000"/>
            </a:lnSpc>
            <a:spcBef>
              <a:spcPct val="0"/>
            </a:spcBef>
            <a:spcAft>
              <a:spcPct val="35000"/>
            </a:spcAft>
            <a:buNone/>
          </a:pPr>
          <a:r>
            <a:rPr lang="en-US" sz="1000" kern="1200"/>
            <a:t>(1-5)</a:t>
          </a:r>
        </a:p>
      </dsp:txBody>
      <dsp:txXfrm>
        <a:off x="1595963" y="1400328"/>
        <a:ext cx="524127" cy="524127"/>
      </dsp:txXfrm>
    </dsp:sp>
    <dsp:sp modelId="{A8D2CCDB-2218-4F3F-A9AF-AFFD4057C23B}">
      <dsp:nvSpPr>
        <dsp:cNvPr id="0" name=""/>
        <dsp:cNvSpPr/>
      </dsp:nvSpPr>
      <dsp:spPr>
        <a:xfrm rot="21529094">
          <a:off x="2308771" y="763816"/>
          <a:ext cx="855570" cy="469074"/>
        </a:xfrm>
        <a:prstGeom prst="rightArrow">
          <a:avLst>
            <a:gd name="adj1" fmla="val 60000"/>
            <a:gd name="adj2" fmla="val 50000"/>
          </a:avLst>
        </a:prstGeom>
        <a:solidFill>
          <a:schemeClr val="accent1">
            <a:shade val="90000"/>
            <a:hueOff val="152972"/>
            <a:satOff val="-13862"/>
            <a:lumOff val="3248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r>
            <a:rPr lang="en-US" sz="1050" b="1" kern="1200">
              <a:solidFill>
                <a:srgbClr val="7030A0"/>
              </a:solidFill>
            </a:rPr>
            <a:t>Divided by 2.5</a:t>
          </a:r>
        </a:p>
      </dsp:txBody>
      <dsp:txXfrm>
        <a:off x="2308786" y="859082"/>
        <a:ext cx="714848" cy="281444"/>
      </dsp:txXfrm>
    </dsp:sp>
    <dsp:sp modelId="{7F1FA283-7589-42D5-8F54-B58D9648B095}">
      <dsp:nvSpPr>
        <dsp:cNvPr id="0" name=""/>
        <dsp:cNvSpPr/>
      </dsp:nvSpPr>
      <dsp:spPr>
        <a:xfrm>
          <a:off x="3229587" y="231823"/>
          <a:ext cx="1482454" cy="1482454"/>
        </a:xfrm>
        <a:prstGeom prst="ellipse">
          <a:avLst/>
        </a:prstGeom>
        <a:solidFill>
          <a:schemeClr val="accent1">
            <a:shade val="80000"/>
            <a:hueOff val="153131"/>
            <a:satOff val="-14032"/>
            <a:lumOff val="342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dirty="0"/>
            <a:t>Final CoF Score (1 -10)</a:t>
          </a:r>
        </a:p>
      </dsp:txBody>
      <dsp:txXfrm>
        <a:off x="3446687" y="448923"/>
        <a:ext cx="1048254" cy="1048254"/>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W&amp;C">
  <a:themeElements>
    <a:clrScheme name="W&amp;C">
      <a:dk1>
        <a:sysClr val="windowText" lastClr="000000"/>
      </a:dk1>
      <a:lt1>
        <a:sysClr val="window" lastClr="FFFFFF"/>
      </a:lt1>
      <a:dk2>
        <a:srgbClr val="1F497D"/>
      </a:dk2>
      <a:lt2>
        <a:srgbClr val="EEECE1"/>
      </a:lt2>
      <a:accent1>
        <a:srgbClr val="644459"/>
      </a:accent1>
      <a:accent2>
        <a:srgbClr val="21578A"/>
      </a:accent2>
      <a:accent3>
        <a:srgbClr val="718674"/>
      </a:accent3>
      <a:accent4>
        <a:srgbClr val="C75B12"/>
      </a:accent4>
      <a:accent5>
        <a:srgbClr val="DDCD69"/>
      </a:accent5>
      <a:accent6>
        <a:srgbClr val="B3B38C"/>
      </a:accent6>
      <a:hlink>
        <a:srgbClr val="0000FF"/>
      </a:hlink>
      <a:folHlink>
        <a:srgbClr val="800080"/>
      </a:folHlink>
    </a:clrScheme>
    <a:fontScheme name="W&amp;C">
      <a:majorFont>
        <a:latin typeface="Arial Narrow"/>
        <a:ea typeface=""/>
        <a:cs typeface=""/>
      </a:majorFont>
      <a:minorFont>
        <a:latin typeface="Arial Narrow"/>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fa60db12-2b6a-4eb8-baad-584f0c7a05b3" ContentTypeId="0x010100E5FD1A9FC07024448B3837CC3A25D60A" PreviousValue="false"/>
</file>

<file path=customXml/item2.xml><?xml version="1.0" encoding="utf-8"?>
<b:Sources xmlns:b="http://schemas.openxmlformats.org/officeDocument/2006/bibliography" xmlns="http://schemas.openxmlformats.org/officeDocument/2006/bibliography" SelectedStyle="\APASixthEditionOfficeOnline.xsl" StyleName="APA" Version="6">
  <b:Source>
    <b:Tag>Cit19</b:Tag>
    <b:SourceType>Misc</b:SourceType>
    <b:Guid>{DFABE343-3AC1-42A0-8274-A62F5098035B}</b:Guid>
    <b:Title>Chapter 19.16 Flood Plain Overlay Zone</b:Title>
    <b:PublicationTitle>Municipal Code</b:PublicationTitle>
    <b:Year>2019</b:Year>
    <b:Month>October</b:Month>
    <b:YearAccessed>2019</b:YearAccessed>
    <b:MonthAccessed>October</b:MonthAccessed>
    <b:URL>http://www.ci.san-bernardino.ca.us/civicax/filebank/blobdload.aspx?blobid=19233</b:URL>
    <b:Author>
      <b:Author>
        <b:Corporate>City of San Bernardino</b:Corporate>
      </b:Author>
    </b:Author>
    <b:RefOrder>2</b:RefOrder>
  </b:Source>
  <b:Source>
    <b:Tag>SAW04</b:Tag>
    <b:SourceType>Misc</b:SourceType>
    <b:Guid>{27AD6E04-6C1E-4EAB-838E-FEC4DBABB969}</b:Guid>
    <b:Author>
      <b:Author>
        <b:Corporate>SAWPA</b:Corporate>
      </b:Author>
    </b:Author>
    <b:Title>Santa Ana River Project Flow Impacts Report</b:Title>
    <b:Year>2004</b:Year>
    <b:Month>March</b:Month>
    <b:RefOrder>3</b:RefOrder>
  </b:Source>
  <b:Source>
    <b:Tag>AEC19</b:Tag>
    <b:SourceType>Misc</b:SourceType>
    <b:Guid>{4E06A8D4-DC58-4B26-A1A0-E5478C23E91C}</b:Guid>
    <b:Author>
      <b:Author>
        <b:Corporate>AECOM</b:Corporate>
      </b:Author>
    </b:Author>
    <b:Title>San Bernardino Municipal Water Department, Tertiary Treatment System, Design Plans (Progress Set)</b:Title>
    <b:Year>2019</b:Year>
    <b:Month>October</b:Month>
    <b:RefOrder>4</b:RefOrder>
  </b:Source>
  <b:Source>
    <b:Tag>Haz19</b:Tag>
    <b:SourceType>Misc</b:SourceType>
    <b:Guid>{874A9D21-C5C5-4BA0-BADD-27B448E5DEA1}</b:Guid>
    <b:Author>
      <b:Author>
        <b:Corporate>Hazen and Sawyer</b:Corporate>
      </b:Author>
    </b:Author>
    <b:Title>Spec 1696, Rule 1110.2 Resultant Projects, Preliminary Design Report</b:Title>
    <b:Year>2019</b:Year>
    <b:Month>May</b:Month>
    <b:Day>9</b:Day>
    <b:RefOrder>5</b:RefOrder>
  </b:Source>
  <b:Source>
    <b:Tag>Haz20</b:Tag>
    <b:SourceType>Misc</b:SourceType>
    <b:Guid>{E1C4F5FC-06FA-45B6-B43F-F43651D24C0A}</b:Guid>
    <b:Author>
      <b:Author>
        <b:Corporate>Hazen and Sawyer</b:Corporate>
      </b:Author>
    </b:Author>
    <b:Title>San Bernardino Municipal Water Department WRP Facilities Assessment, Total Dissolved Solids and Total Inorganic Nitrogen Assessment Technical Memorandum - Draft</b:Title>
    <b:Year>2020</b:Year>
    <b:Month>March</b:Month>
    <b:Day>27</b:Day>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Design_x0020_Stage xmlns="5e8f08ee-c940-4e9f-8f1c-433053dacb57">10%</Design_x0020_Stage>
    <Submittal_x0020_Status xmlns="5e8f08ee-c940-4e9f-8f1c-433053dacb57">In Progress</Submittal_x0020_Status>
    <Submittal_x0020_Type xmlns="5e8f08ee-c940-4e9f-8f1c-433053dacb57">Specifications</Submittal_x0020_Typ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Submittal" ma:contentTypeID="0x010100E5FD1A9FC07024448B3837CC3A25D60A00FB50CE535AB3564AAE5715438E00CD1C" ma:contentTypeVersion="0" ma:contentTypeDescription="" ma:contentTypeScope="" ma:versionID="16c04a3f511117c45bd0c4943b1934db">
  <xsd:schema xmlns:xsd="http://www.w3.org/2001/XMLSchema" xmlns:xs="http://www.w3.org/2001/XMLSchema" xmlns:p="http://schemas.microsoft.com/office/2006/metadata/properties" xmlns:ns2="5e8f08ee-c940-4e9f-8f1c-433053dacb57" targetNamespace="http://schemas.microsoft.com/office/2006/metadata/properties" ma:root="true" ma:fieldsID="c00a557bfd4c62814959bdcb4d814fb3" ns2:_="">
    <xsd:import namespace="5e8f08ee-c940-4e9f-8f1c-433053dacb57"/>
    <xsd:element name="properties">
      <xsd:complexType>
        <xsd:sequence>
          <xsd:element name="documentManagement">
            <xsd:complexType>
              <xsd:all>
                <xsd:element ref="ns2:Submittal_x0020_Type" minOccurs="0"/>
                <xsd:element ref="ns2:Submittal_x0020_Status" minOccurs="0"/>
                <xsd:element ref="ns2:Design_x0020_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8f08ee-c940-4e9f-8f1c-433053dacb57" elementFormDefault="qualified">
    <xsd:import namespace="http://schemas.microsoft.com/office/2006/documentManagement/types"/>
    <xsd:import namespace="http://schemas.microsoft.com/office/infopath/2007/PartnerControls"/>
    <xsd:element name="Submittal_x0020_Type" ma:index="8" nillable="true" ma:displayName="Submittal Type" ma:default="Specifications" ma:format="Dropdown" ma:internalName="Submittal_x0020_Type">
      <xsd:simpleType>
        <xsd:restriction base="dms:Choice">
          <xsd:enumeration value="Specifications"/>
          <xsd:enumeration value="Drawings"/>
        </xsd:restriction>
      </xsd:simpleType>
    </xsd:element>
    <xsd:element name="Submittal_x0020_Status" ma:index="9" nillable="true" ma:displayName="Submittal Status" ma:default="In Progress" ma:format="Dropdown" ma:internalName="Submittal_x0020_Status">
      <xsd:simpleType>
        <xsd:restriction base="dms:Choice">
          <xsd:enumeration value="In Progress"/>
          <xsd:enumeration value="Not Applicable"/>
          <xsd:enumeration value="Pending"/>
          <xsd:enumeration value="Submitted"/>
        </xsd:restriction>
      </xsd:simpleType>
    </xsd:element>
    <xsd:element name="Design_x0020_Stage" ma:index="10" nillable="true" ma:displayName="Design Stage" ma:default="10%" ma:format="Dropdown" ma:internalName="Design_x0020_Stage">
      <xsd:simpleType>
        <xsd:restriction base="dms:Choice">
          <xsd:enumeration value="10%"/>
          <xsd:enumeration value="30%"/>
          <xsd:enumeration value="50%"/>
          <xsd:enumeration value="90%"/>
          <xsd:enumeration value="100% (Permitting)"/>
          <xsd:enumeration value="Bid"/>
          <xsd:enumeration value="Addenda"/>
          <xsd:enumeration value="Conformed (As-Bi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480C52-A864-4EAF-A393-DF559322772E}"/>
</file>

<file path=customXml/itemProps2.xml><?xml version="1.0" encoding="utf-8"?>
<ds:datastoreItem xmlns:ds="http://schemas.openxmlformats.org/officeDocument/2006/customXml" ds:itemID="{BA797A20-6C02-4006-88C6-D79F459A2796}">
  <ds:schemaRefs>
    <ds:schemaRef ds:uri="http://schemas.openxmlformats.org/officeDocument/2006/bibliography"/>
  </ds:schemaRefs>
</ds:datastoreItem>
</file>

<file path=customXml/itemProps3.xml><?xml version="1.0" encoding="utf-8"?>
<ds:datastoreItem xmlns:ds="http://schemas.openxmlformats.org/officeDocument/2006/customXml" ds:itemID="{BC0B0F2B-585F-418F-B041-40EA1C5D37B5}">
  <ds:schemaRefs>
    <ds:schemaRef ds:uri="http://schemas.microsoft.com/office/2006/documentManagement/types"/>
    <ds:schemaRef ds:uri="http://purl.org/dc/terms/"/>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b765e27a-43cf-4513-9392-0c53a1ef236e"/>
    <ds:schemaRef ds:uri="f0d68fb5-c1c8-4805-b4ce-d03809ef458c"/>
    <ds:schemaRef ds:uri="http://www.w3.org/XML/1998/namespace"/>
    <ds:schemaRef ds:uri="http://purl.org/dc/dcmitype/"/>
  </ds:schemaRefs>
</ds:datastoreItem>
</file>

<file path=customXml/itemProps4.xml><?xml version="1.0" encoding="utf-8"?>
<ds:datastoreItem xmlns:ds="http://schemas.openxmlformats.org/officeDocument/2006/customXml" ds:itemID="{7B2DE7DD-A741-45FE-82C3-627E32F91D61}">
  <ds:schemaRefs>
    <ds:schemaRef ds:uri="http://schemas.microsoft.com/sharepoint/v3/contenttype/forms"/>
  </ds:schemaRefs>
</ds:datastoreItem>
</file>

<file path=customXml/itemProps5.xml><?xml version="1.0" encoding="utf-8"?>
<ds:datastoreItem xmlns:ds="http://schemas.openxmlformats.org/officeDocument/2006/customXml" ds:itemID="{0B3C89A9-7F35-4356-942C-1090397AA83F}"/>
</file>

<file path=docProps/app.xml><?xml version="1.0" encoding="utf-8"?>
<Properties xmlns="http://schemas.openxmlformats.org/officeDocument/2006/extended-properties" xmlns:vt="http://schemas.openxmlformats.org/officeDocument/2006/docPropsVTypes">
  <Template>Normal</Template>
  <TotalTime>1</TotalTime>
  <Pages>4</Pages>
  <Words>52562</Words>
  <Characters>299607</Characters>
  <Application>Microsoft Office Word</Application>
  <DocSecurity>0</DocSecurity>
  <Lines>2496</Lines>
  <Paragraphs>702</Paragraphs>
  <ScaleCrop>false</ScaleCrop>
  <HeadingPairs>
    <vt:vector size="2" baseType="variant">
      <vt:variant>
        <vt:lpstr>Title</vt:lpstr>
      </vt:variant>
      <vt:variant>
        <vt:i4>1</vt:i4>
      </vt:variant>
    </vt:vector>
  </HeadingPairs>
  <TitlesOfParts>
    <vt:vector size="1" baseType="lpstr">
      <vt:lpstr>Report</vt:lpstr>
    </vt:vector>
  </TitlesOfParts>
  <Company/>
  <LinksUpToDate>false</LinksUpToDate>
  <CharactersWithSpaces>351467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
  <dc:creator>Jennifer Hodgens</dc:creator>
  <cp:keywords/>
  <dc:description/>
  <cp:lastModifiedBy>Dave Jones</cp:lastModifiedBy>
  <cp:revision>2</cp:revision>
  <cp:lastPrinted>2020-05-30T05:46:00Z</cp:lastPrinted>
  <dcterms:created xsi:type="dcterms:W3CDTF">2020-06-09T22:02:00Z</dcterms:created>
  <dcterms:modified xsi:type="dcterms:W3CDTF">2020-06-09T22:02:00Z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0x010100E5FD1A9FC07024448B3837CC3A25D60A00FB50CE535AB3564AAE5715438E00CD1C</vt:lpwstr>
  </property>
  <property fmtid="{D5CDD505-2E9C-101B-9397-08002B2CF9AE}" pid="3" name="Client.">
    <vt:lpwstr>20;#City of San Bernardino Municipal Water Department|8b6116b2-d371-4ec7-8c4f-59340ebfe0ec</vt:lpwstr>
  </property>
  <property fmtid="{D5CDD505-2E9C-101B-9397-08002B2CF9AE}" pid="4" name="la4a482e7a5c451c849f25095c650518">
    <vt:lpwstr>City of San Bernardino Municipal Water Department|8b6116b2-d371-4ec7-8c4f-59340ebfe0ec</vt:lpwstr>
  </property>
  <property fmtid="{D5CDD505-2E9C-101B-9397-08002B2CF9AE}" pid="5" name="TaxCatchAll">
    <vt:lpwstr>20;#City of San Bernardino Municipal Water Department|8b6116b2-d371-4ec7-8c4f-59340ebfe0ec</vt:lpwstr>
  </property>
</Properties>
</file>