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3112" w14:textId="77777777" w:rsidR="00FB790C" w:rsidRPr="00896C11" w:rsidRDefault="00FB790C" w:rsidP="00FB790C">
      <w:pPr>
        <w:pStyle w:val="Heading2"/>
        <w:spacing w:before="0" w:after="0"/>
        <w:ind w:firstLine="720"/>
        <w:rPr>
          <w:b/>
          <w:i/>
        </w:rPr>
      </w:pPr>
      <w:r w:rsidRPr="00896C11">
        <w:rPr>
          <w:b/>
          <w:i/>
          <w:u w:val="single"/>
        </w:rPr>
        <w:t>Education Tuition Assistance</w:t>
      </w:r>
      <w:r w:rsidRPr="00896C11">
        <w:rPr>
          <w:b/>
          <w:i/>
          <w:u w:val="single"/>
        </w:rPr>
        <w:fldChar w:fldCharType="begin"/>
      </w:r>
      <w:r w:rsidRPr="00896C11">
        <w:rPr>
          <w:b/>
          <w:i/>
          <w:u w:val="single"/>
        </w:rPr>
        <w:instrText>tc \l2</w:instrText>
      </w:r>
      <w:r w:rsidRPr="00896C11">
        <w:rPr>
          <w:b/>
          <w:i/>
        </w:rPr>
        <w:instrText xml:space="preserve"> "</w:instrText>
      </w:r>
      <w:bookmarkStart w:id="0" w:name="_Toc100128494"/>
      <w:r w:rsidRPr="00896C11">
        <w:rPr>
          <w:b/>
          <w:i/>
        </w:rPr>
        <w:instrText>6.9</w:instrText>
      </w:r>
      <w:r w:rsidRPr="00896C11">
        <w:rPr>
          <w:b/>
          <w:i/>
        </w:rPr>
        <w:tab/>
        <w:instrText>Education Tuition Assistance</w:instrText>
      </w:r>
      <w:bookmarkEnd w:id="0"/>
      <w:r w:rsidRPr="00896C11">
        <w:rPr>
          <w:b/>
          <w:i/>
        </w:rPr>
        <w:instrText>"</w:instrText>
      </w:r>
      <w:r w:rsidRPr="00896C11">
        <w:rPr>
          <w:b/>
          <w:i/>
          <w:u w:val="single"/>
        </w:rPr>
        <w:fldChar w:fldCharType="end"/>
      </w:r>
      <w:r w:rsidRPr="00896C11">
        <w:rPr>
          <w:b/>
          <w:i/>
          <w:u w:val="single"/>
        </w:rPr>
        <w:t>:</w:t>
      </w:r>
    </w:p>
    <w:p w14:paraId="6773667D" w14:textId="77777777" w:rsidR="00FB790C" w:rsidRPr="00896C11" w:rsidRDefault="00FB790C" w:rsidP="00FB790C">
      <w:pPr>
        <w:pStyle w:val="Heading3"/>
        <w:spacing w:before="0"/>
        <w:ind w:firstLine="1440"/>
        <w:jc w:val="both"/>
        <w:rPr>
          <w:rFonts w:ascii="Courier New" w:hAnsi="Courier New" w:cs="Courier New"/>
        </w:rPr>
      </w:pPr>
      <w:bookmarkStart w:id="1" w:name="_Toc136421977"/>
      <w:r w:rsidRPr="00896C11">
        <w:rPr>
          <w:rFonts w:ascii="Courier New" w:hAnsi="Courier New" w:cs="Courier New"/>
          <w:u w:val="single"/>
        </w:rPr>
        <w:t>Section 1. Purpose</w:t>
      </w:r>
      <w:bookmarkEnd w:id="1"/>
      <w:r w:rsidRPr="00896C11">
        <w:rPr>
          <w:rFonts w:ascii="Courier New" w:hAnsi="Courier New" w:cs="Courier New"/>
          <w:u w:val="single"/>
        </w:rPr>
        <w:fldChar w:fldCharType="begin"/>
      </w:r>
      <w:r w:rsidRPr="00896C11">
        <w:rPr>
          <w:rFonts w:ascii="Courier New" w:hAnsi="Courier New" w:cs="Courier New"/>
          <w:u w:val="single"/>
        </w:rPr>
        <w:instrText>tc \l3</w:instrText>
      </w:r>
      <w:r w:rsidRPr="00896C11">
        <w:rPr>
          <w:rFonts w:ascii="Courier New" w:hAnsi="Courier New" w:cs="Courier New"/>
        </w:rPr>
        <w:instrText xml:space="preserve"> "</w:instrText>
      </w:r>
      <w:bookmarkStart w:id="2" w:name="_Toc100128495"/>
      <w:r w:rsidRPr="00896C11">
        <w:rPr>
          <w:rFonts w:ascii="Courier New" w:hAnsi="Courier New" w:cs="Courier New"/>
        </w:rPr>
        <w:instrText>Section 1. Purpose</w:instrText>
      </w:r>
      <w:bookmarkEnd w:id="2"/>
      <w:r w:rsidRPr="00896C11">
        <w:rPr>
          <w:rFonts w:ascii="Courier New" w:hAnsi="Courier New" w:cs="Courier New"/>
        </w:rPr>
        <w:instrText>"</w:instrText>
      </w:r>
      <w:r w:rsidRPr="00896C11">
        <w:rPr>
          <w:rFonts w:ascii="Courier New" w:hAnsi="Courier New" w:cs="Courier New"/>
          <w:u w:val="single"/>
        </w:rPr>
        <w:fldChar w:fldCharType="end"/>
      </w:r>
    </w:p>
    <w:p w14:paraId="512FB96D" w14:textId="77777777" w:rsidR="00FB790C" w:rsidRPr="00707472" w:rsidRDefault="00FB790C" w:rsidP="00FB790C">
      <w:pPr>
        <w:widowControl w:val="0"/>
        <w:numPr>
          <w:ilvl w:val="0"/>
          <w:numId w:val="1"/>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707472">
        <w:rPr>
          <w:sz w:val="24"/>
        </w:rPr>
        <w:t>To encourage the unit members of the Water Department to take college courses and special training courses, which will better enable them to perform their present duties and prepare them for increased responsibilities.</w:t>
      </w:r>
    </w:p>
    <w:p w14:paraId="2EE979A5" w14:textId="77777777" w:rsidR="00FB790C" w:rsidRPr="00707472" w:rsidRDefault="00FB790C" w:rsidP="00FB790C">
      <w:pPr>
        <w:widowControl w:val="0"/>
        <w:numPr>
          <w:ilvl w:val="0"/>
          <w:numId w:val="1"/>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707472">
        <w:rPr>
          <w:sz w:val="24"/>
        </w:rPr>
        <w:t>To provide financial assistance to eligible unit members for education and training.</w:t>
      </w:r>
    </w:p>
    <w:p w14:paraId="4DEC69C2" w14:textId="77777777" w:rsidR="00FB790C" w:rsidRPr="00707472" w:rsidRDefault="00FB790C" w:rsidP="00FB790C">
      <w:pPr>
        <w:widowControl w:val="0"/>
        <w:numPr>
          <w:ilvl w:val="0"/>
          <w:numId w:val="1"/>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707472">
        <w:rPr>
          <w:sz w:val="24"/>
        </w:rPr>
        <w:t>To establish eligibility requirements, conditions</w:t>
      </w:r>
      <w:r>
        <w:rPr>
          <w:sz w:val="24"/>
        </w:rPr>
        <w:t>,</w:t>
      </w:r>
      <w:r w:rsidRPr="00707472">
        <w:rPr>
          <w:sz w:val="24"/>
        </w:rPr>
        <w:t xml:space="preserve"> and procedures whereby such assistance may be provided.</w:t>
      </w:r>
    </w:p>
    <w:p w14:paraId="01A227E0" w14:textId="77777777" w:rsidR="00FB790C" w:rsidRPr="00707472" w:rsidRDefault="00FB790C" w:rsidP="00FB790C">
      <w:pPr>
        <w:widowControl w:val="0"/>
        <w:numPr>
          <w:ilvl w:val="0"/>
          <w:numId w:val="1"/>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707472">
        <w:rPr>
          <w:sz w:val="24"/>
        </w:rPr>
        <w:t>To provide for continuing education for the purpose of obtaining mandated certificates.</w:t>
      </w:r>
    </w:p>
    <w:p w14:paraId="44E05B2C" w14:textId="77777777" w:rsidR="00FB790C" w:rsidRPr="00896C11" w:rsidRDefault="00FB790C" w:rsidP="00FB790C">
      <w:pPr>
        <w:pStyle w:val="Heading3"/>
        <w:spacing w:before="0"/>
        <w:ind w:firstLine="720"/>
        <w:jc w:val="both"/>
        <w:rPr>
          <w:rFonts w:ascii="Courier New" w:hAnsi="Courier New" w:cs="Courier New"/>
        </w:rPr>
      </w:pPr>
      <w:r w:rsidRPr="00707472">
        <w:tab/>
      </w:r>
      <w:bookmarkStart w:id="3" w:name="_Toc136421978"/>
      <w:r w:rsidRPr="00896C11">
        <w:rPr>
          <w:rFonts w:ascii="Courier New" w:hAnsi="Courier New" w:cs="Courier New"/>
          <w:u w:val="single"/>
        </w:rPr>
        <w:t>Section 2. Eligibility</w:t>
      </w:r>
      <w:bookmarkEnd w:id="3"/>
      <w:r w:rsidRPr="00896C11">
        <w:rPr>
          <w:rFonts w:ascii="Courier New" w:hAnsi="Courier New" w:cs="Courier New"/>
          <w:u w:val="single"/>
        </w:rPr>
        <w:fldChar w:fldCharType="begin"/>
      </w:r>
      <w:r w:rsidRPr="00896C11">
        <w:rPr>
          <w:rFonts w:ascii="Courier New" w:hAnsi="Courier New" w:cs="Courier New"/>
          <w:u w:val="single"/>
        </w:rPr>
        <w:instrText>tc \l3</w:instrText>
      </w:r>
      <w:r w:rsidRPr="00896C11">
        <w:rPr>
          <w:rFonts w:ascii="Courier New" w:hAnsi="Courier New" w:cs="Courier New"/>
        </w:rPr>
        <w:instrText xml:space="preserve"> "</w:instrText>
      </w:r>
      <w:bookmarkStart w:id="4" w:name="_Toc100128496"/>
      <w:r w:rsidRPr="00896C11">
        <w:rPr>
          <w:rFonts w:ascii="Courier New" w:hAnsi="Courier New" w:cs="Courier New"/>
        </w:rPr>
        <w:instrText>Section 2. Eligibility</w:instrText>
      </w:r>
      <w:bookmarkEnd w:id="4"/>
      <w:r w:rsidRPr="00896C11">
        <w:rPr>
          <w:rFonts w:ascii="Courier New" w:hAnsi="Courier New" w:cs="Courier New"/>
        </w:rPr>
        <w:instrText>"</w:instrText>
      </w:r>
      <w:r w:rsidRPr="00896C11">
        <w:rPr>
          <w:rFonts w:ascii="Courier New" w:hAnsi="Courier New" w:cs="Courier New"/>
          <w:u w:val="single"/>
        </w:rPr>
        <w:fldChar w:fldCharType="end"/>
      </w:r>
    </w:p>
    <w:p w14:paraId="6E16738F" w14:textId="77777777" w:rsidR="00FB790C" w:rsidRPr="002C4A0A" w:rsidRDefault="00FB790C" w:rsidP="00FB790C">
      <w:pPr>
        <w:numPr>
          <w:ilvl w:val="0"/>
          <w:numId w:val="2"/>
        </w:numPr>
        <w:ind w:left="0" w:firstLine="1440"/>
        <w:jc w:val="both"/>
        <w:rPr>
          <w:sz w:val="24"/>
          <w:szCs w:val="24"/>
        </w:rPr>
      </w:pPr>
      <w:r w:rsidRPr="002C4A0A">
        <w:rPr>
          <w:sz w:val="24"/>
          <w:szCs w:val="24"/>
        </w:rPr>
        <w:t>Applications for tuition or continuing education reimbursement will be considered only from full-time, permanent, unit members who have completed probation.</w:t>
      </w:r>
    </w:p>
    <w:p w14:paraId="6E5C32AD" w14:textId="77777777" w:rsidR="00FB790C" w:rsidRPr="00707472" w:rsidRDefault="00FB790C" w:rsidP="00FB790C">
      <w:pPr>
        <w:numPr>
          <w:ilvl w:val="0"/>
          <w:numId w:val="2"/>
        </w:numPr>
        <w:ind w:left="0" w:firstLine="1440"/>
        <w:jc w:val="both"/>
        <w:rPr>
          <w:sz w:val="24"/>
        </w:rPr>
      </w:pPr>
      <w:r w:rsidRPr="00707472">
        <w:rPr>
          <w:sz w:val="24"/>
        </w:rPr>
        <w:t xml:space="preserve">Reimbursement is not authorized for courses for which the unit member is receiving financial assistance from other sources such as the GI Bill, Scholarships, etc. </w:t>
      </w:r>
    </w:p>
    <w:p w14:paraId="62110F41" w14:textId="77777777" w:rsidR="00FB790C" w:rsidRPr="00707472" w:rsidRDefault="00FB790C" w:rsidP="00FB790C">
      <w:pPr>
        <w:numPr>
          <w:ilvl w:val="0"/>
          <w:numId w:val="2"/>
        </w:numPr>
        <w:ind w:left="0" w:firstLine="1440"/>
        <w:jc w:val="both"/>
        <w:rPr>
          <w:sz w:val="24"/>
        </w:rPr>
      </w:pPr>
      <w:r w:rsidRPr="00707472">
        <w:rPr>
          <w:sz w:val="24"/>
        </w:rPr>
        <w:t xml:space="preserve">Applications will be approved for courses related to the unit member's job or to a promotional position </w:t>
      </w:r>
      <w:r>
        <w:rPr>
          <w:sz w:val="24"/>
        </w:rPr>
        <w:t>with</w:t>
      </w:r>
      <w:r w:rsidRPr="00707472">
        <w:rPr>
          <w:sz w:val="24"/>
        </w:rPr>
        <w:t xml:space="preserve">in the </w:t>
      </w:r>
      <w:r>
        <w:rPr>
          <w:sz w:val="24"/>
        </w:rPr>
        <w:t>Department or related to the operations/functions of the Department.</w:t>
      </w:r>
    </w:p>
    <w:p w14:paraId="43832CEB" w14:textId="77777777" w:rsidR="00FB790C" w:rsidRPr="00707472" w:rsidRDefault="00FB790C" w:rsidP="00FB790C">
      <w:pPr>
        <w:numPr>
          <w:ilvl w:val="0"/>
          <w:numId w:val="2"/>
        </w:numPr>
        <w:ind w:left="0" w:firstLine="1440"/>
        <w:jc w:val="both"/>
        <w:rPr>
          <w:sz w:val="24"/>
        </w:rPr>
      </w:pPr>
      <w:r w:rsidRPr="00707472">
        <w:rPr>
          <w:sz w:val="24"/>
        </w:rPr>
        <w:t xml:space="preserve">Courses not ostensibly related to the </w:t>
      </w:r>
      <w:r>
        <w:rPr>
          <w:sz w:val="24"/>
        </w:rPr>
        <w:t>above</w:t>
      </w:r>
      <w:r w:rsidRPr="00707472">
        <w:rPr>
          <w:sz w:val="24"/>
        </w:rPr>
        <w:t>, but which are required to qualify for a</w:t>
      </w:r>
      <w:r>
        <w:rPr>
          <w:sz w:val="24"/>
        </w:rPr>
        <w:t xml:space="preserve"> related</w:t>
      </w:r>
      <w:r w:rsidRPr="00707472">
        <w:rPr>
          <w:sz w:val="24"/>
        </w:rPr>
        <w:t xml:space="preserve"> degree may be reimbursable</w:t>
      </w:r>
      <w:r>
        <w:rPr>
          <w:sz w:val="24"/>
        </w:rPr>
        <w:t xml:space="preserve"> with documentation indicating these courses are necessary for the degree being pursued.</w:t>
      </w:r>
      <w:r w:rsidRPr="00707472">
        <w:rPr>
          <w:sz w:val="24"/>
        </w:rPr>
        <w:t xml:space="preserve"> </w:t>
      </w:r>
    </w:p>
    <w:p w14:paraId="1A5F1A53" w14:textId="77777777" w:rsidR="00FB790C" w:rsidRPr="00707472" w:rsidRDefault="00FB790C" w:rsidP="00FB790C">
      <w:pPr>
        <w:numPr>
          <w:ilvl w:val="0"/>
          <w:numId w:val="2"/>
        </w:numPr>
        <w:ind w:left="0" w:firstLine="1440"/>
        <w:jc w:val="both"/>
        <w:rPr>
          <w:sz w:val="24"/>
        </w:rPr>
      </w:pPr>
      <w:r w:rsidRPr="00707472">
        <w:rPr>
          <w:sz w:val="24"/>
        </w:rPr>
        <w:lastRenderedPageBreak/>
        <w:t>Prior to receiving tuition reimbursement, unit members must submit documentary proof of having received a grade of not less than “C" for the course.  If objective ratings are not rendered for a specific course, then a certificate or other applicable documentation of successful completion must be submitted.</w:t>
      </w:r>
    </w:p>
    <w:p w14:paraId="4D81ABA8" w14:textId="77777777" w:rsidR="00FB790C" w:rsidRPr="00707472" w:rsidRDefault="00FB790C" w:rsidP="00FB790C">
      <w:pPr>
        <w:numPr>
          <w:ilvl w:val="0"/>
          <w:numId w:val="2"/>
        </w:numPr>
        <w:ind w:left="0" w:firstLine="1440"/>
        <w:jc w:val="both"/>
        <w:rPr>
          <w:sz w:val="24"/>
        </w:rPr>
      </w:pPr>
      <w:r w:rsidRPr="00707472">
        <w:rPr>
          <w:sz w:val="24"/>
        </w:rPr>
        <w:t xml:space="preserve">Approval will be limited to courses given by accredited colleges, universities, or city colleges.  Workshops, seminars, </w:t>
      </w:r>
      <w:proofErr w:type="gramStart"/>
      <w:r w:rsidRPr="00707472">
        <w:rPr>
          <w:sz w:val="24"/>
        </w:rPr>
        <w:t>conferences</w:t>
      </w:r>
      <w:proofErr w:type="gramEnd"/>
      <w:r w:rsidRPr="00707472">
        <w:rPr>
          <w:sz w:val="24"/>
        </w:rPr>
        <w:t xml:space="preserve"> and similar activities not identifiable as a formal course of instruction or continuing education do not fall within the purview of this program but may be authorized and funded by the interested Division upon approval of the Deputy General Manager.</w:t>
      </w:r>
    </w:p>
    <w:p w14:paraId="02A32D24" w14:textId="77777777" w:rsidR="00FB790C" w:rsidRPr="00707472" w:rsidRDefault="00FB790C" w:rsidP="00FB790C">
      <w:pPr>
        <w:numPr>
          <w:ilvl w:val="0"/>
          <w:numId w:val="2"/>
        </w:numPr>
        <w:ind w:left="0" w:firstLine="1440"/>
        <w:jc w:val="both"/>
        <w:rPr>
          <w:sz w:val="24"/>
        </w:rPr>
      </w:pPr>
      <w:r w:rsidRPr="00707472">
        <w:rPr>
          <w:sz w:val="24"/>
        </w:rPr>
        <w:t>When a unit member is required by his/her Division Director to attend a particular course or seminar, the expense shall be borne entirely by the Department.</w:t>
      </w:r>
    </w:p>
    <w:p w14:paraId="49078124" w14:textId="77777777" w:rsidR="00FB790C" w:rsidRPr="00896C11" w:rsidRDefault="00FB790C" w:rsidP="00FB790C">
      <w:pPr>
        <w:pStyle w:val="Heading3"/>
        <w:spacing w:before="0"/>
        <w:ind w:firstLine="720"/>
        <w:jc w:val="both"/>
        <w:rPr>
          <w:rFonts w:ascii="Courier New" w:hAnsi="Courier New" w:cs="Courier New"/>
        </w:rPr>
      </w:pPr>
      <w:r w:rsidRPr="00707472">
        <w:tab/>
      </w:r>
      <w:bookmarkStart w:id="5" w:name="_Toc136421979"/>
      <w:r w:rsidRPr="00896C11">
        <w:rPr>
          <w:rFonts w:ascii="Courier New" w:hAnsi="Courier New" w:cs="Courier New"/>
          <w:u w:val="single"/>
        </w:rPr>
        <w:t>Section 3. Reimbursement</w:t>
      </w:r>
      <w:bookmarkEnd w:id="5"/>
      <w:r w:rsidRPr="00896C11">
        <w:rPr>
          <w:rFonts w:ascii="Courier New" w:hAnsi="Courier New" w:cs="Courier New"/>
          <w:u w:val="single"/>
        </w:rPr>
        <w:fldChar w:fldCharType="begin"/>
      </w:r>
      <w:r w:rsidRPr="00896C11">
        <w:rPr>
          <w:rFonts w:ascii="Courier New" w:hAnsi="Courier New" w:cs="Courier New"/>
          <w:u w:val="single"/>
        </w:rPr>
        <w:instrText>tc \l3</w:instrText>
      </w:r>
      <w:r w:rsidRPr="00896C11">
        <w:rPr>
          <w:rFonts w:ascii="Courier New" w:hAnsi="Courier New" w:cs="Courier New"/>
        </w:rPr>
        <w:instrText xml:space="preserve"> "</w:instrText>
      </w:r>
      <w:bookmarkStart w:id="6" w:name="_Toc100128497"/>
      <w:r w:rsidRPr="00896C11">
        <w:rPr>
          <w:rFonts w:ascii="Courier New" w:hAnsi="Courier New" w:cs="Courier New"/>
        </w:rPr>
        <w:instrText>Section 3. Reimbursement</w:instrText>
      </w:r>
      <w:bookmarkEnd w:id="6"/>
      <w:r w:rsidRPr="00896C11">
        <w:rPr>
          <w:rFonts w:ascii="Courier New" w:hAnsi="Courier New" w:cs="Courier New"/>
        </w:rPr>
        <w:instrText>"</w:instrText>
      </w:r>
      <w:r w:rsidRPr="00896C11">
        <w:rPr>
          <w:rFonts w:ascii="Courier New" w:hAnsi="Courier New" w:cs="Courier New"/>
          <w:u w:val="single"/>
        </w:rPr>
        <w:fldChar w:fldCharType="end"/>
      </w:r>
    </w:p>
    <w:p w14:paraId="3FF20B5C" w14:textId="77777777" w:rsidR="00FB790C" w:rsidRPr="00917290" w:rsidRDefault="00FB790C" w:rsidP="00FB790C">
      <w:pPr>
        <w:numPr>
          <w:ilvl w:val="0"/>
          <w:numId w:val="3"/>
        </w:numPr>
        <w:ind w:left="0" w:firstLine="1440"/>
        <w:jc w:val="both"/>
        <w:rPr>
          <w:rFonts w:cs="Courier New"/>
          <w:sz w:val="24"/>
          <w:szCs w:val="24"/>
        </w:rPr>
      </w:pPr>
      <w:r w:rsidRPr="00917290">
        <w:rPr>
          <w:rFonts w:cs="Courier New"/>
          <w:sz w:val="24"/>
          <w:szCs w:val="24"/>
        </w:rPr>
        <w:t>Reimbursement will be for the cost of tuition or registration fees</w:t>
      </w:r>
      <w:r>
        <w:rPr>
          <w:rFonts w:cs="Courier New"/>
          <w:sz w:val="24"/>
          <w:szCs w:val="24"/>
        </w:rPr>
        <w:t xml:space="preserve"> including mandatory fees such as student fees, health fees, etc.</w:t>
      </w:r>
      <w:r w:rsidRPr="00917290">
        <w:rPr>
          <w:rFonts w:cs="Courier New"/>
          <w:sz w:val="24"/>
          <w:szCs w:val="24"/>
        </w:rPr>
        <w:t xml:space="preserve"> and the required texts and related material for each course.  Additional expenses such as meals and parking fees are not reimbursable.</w:t>
      </w:r>
    </w:p>
    <w:p w14:paraId="43AAABA1" w14:textId="77777777" w:rsidR="00FB790C" w:rsidRPr="00917290" w:rsidRDefault="00FB790C" w:rsidP="00FB790C">
      <w:pPr>
        <w:numPr>
          <w:ilvl w:val="0"/>
          <w:numId w:val="3"/>
        </w:numPr>
        <w:ind w:left="0" w:firstLine="1440"/>
        <w:jc w:val="both"/>
        <w:rPr>
          <w:rFonts w:cs="Courier New"/>
          <w:sz w:val="24"/>
          <w:szCs w:val="24"/>
        </w:rPr>
      </w:pPr>
      <w:r w:rsidRPr="00917290">
        <w:rPr>
          <w:rFonts w:cs="Courier New"/>
          <w:sz w:val="24"/>
          <w:szCs w:val="24"/>
        </w:rPr>
        <w:t xml:space="preserve">Copies of receipts of required materials purchased must be submitted for reimbursement.  </w:t>
      </w:r>
    </w:p>
    <w:p w14:paraId="058705DA" w14:textId="77777777" w:rsidR="00FB790C" w:rsidRPr="00B15E34" w:rsidRDefault="00FB790C" w:rsidP="00FB790C">
      <w:pPr>
        <w:numPr>
          <w:ilvl w:val="0"/>
          <w:numId w:val="3"/>
        </w:numPr>
        <w:ind w:left="0" w:firstLine="1440"/>
        <w:jc w:val="both"/>
        <w:rPr>
          <w:rFonts w:cs="Courier New"/>
          <w:sz w:val="24"/>
          <w:szCs w:val="24"/>
        </w:rPr>
      </w:pPr>
      <w:r>
        <w:rPr>
          <w:rFonts w:cs="Courier New"/>
          <w:sz w:val="24"/>
          <w:szCs w:val="24"/>
        </w:rPr>
        <w:t>Ninety percent (90%)</w:t>
      </w:r>
      <w:r w:rsidRPr="00917290">
        <w:rPr>
          <w:rFonts w:cs="Courier New"/>
          <w:sz w:val="24"/>
          <w:szCs w:val="24"/>
        </w:rPr>
        <w:t xml:space="preserve"> of tuition or registration fees</w:t>
      </w:r>
      <w:r>
        <w:rPr>
          <w:rFonts w:cs="Courier New"/>
          <w:sz w:val="24"/>
          <w:szCs w:val="24"/>
        </w:rPr>
        <w:t>, mandatory fees,</w:t>
      </w:r>
      <w:r w:rsidRPr="00917290">
        <w:rPr>
          <w:rFonts w:cs="Courier New"/>
          <w:sz w:val="24"/>
          <w:szCs w:val="24"/>
        </w:rPr>
        <w:t xml:space="preserve"> and the required text</w:t>
      </w:r>
      <w:r>
        <w:rPr>
          <w:rFonts w:cs="Courier New"/>
          <w:sz w:val="24"/>
          <w:szCs w:val="24"/>
        </w:rPr>
        <w:t>s</w:t>
      </w:r>
      <w:r w:rsidRPr="00917290">
        <w:rPr>
          <w:rFonts w:cs="Courier New"/>
          <w:sz w:val="24"/>
          <w:szCs w:val="24"/>
        </w:rPr>
        <w:t xml:space="preserve"> and related material for each course are reimbursable up to a maximum of $</w:t>
      </w:r>
      <w:r>
        <w:rPr>
          <w:rFonts w:cs="Courier New"/>
          <w:sz w:val="24"/>
          <w:szCs w:val="24"/>
        </w:rPr>
        <w:t>5,000</w:t>
      </w:r>
      <w:r w:rsidRPr="00917290">
        <w:rPr>
          <w:rFonts w:cs="Courier New"/>
          <w:sz w:val="24"/>
          <w:szCs w:val="24"/>
        </w:rPr>
        <w:t xml:space="preserve"> per </w:t>
      </w:r>
      <w:r w:rsidRPr="00917290">
        <w:rPr>
          <w:rFonts w:cs="Courier New"/>
          <w:sz w:val="24"/>
          <w:szCs w:val="24"/>
        </w:rPr>
        <w:lastRenderedPageBreak/>
        <w:t>calendar year.  To maximize this benefit, a unit member will need to have a total of $</w:t>
      </w:r>
      <w:r>
        <w:rPr>
          <w:rFonts w:cs="Courier New"/>
          <w:sz w:val="24"/>
          <w:szCs w:val="24"/>
        </w:rPr>
        <w:t>5,556</w:t>
      </w:r>
      <w:r w:rsidRPr="00917290">
        <w:rPr>
          <w:rFonts w:cs="Courier New"/>
          <w:sz w:val="24"/>
          <w:szCs w:val="24"/>
        </w:rPr>
        <w:t xml:space="preserve"> in eligible expenses.</w:t>
      </w:r>
    </w:p>
    <w:p w14:paraId="27F81ED0" w14:textId="77777777" w:rsidR="00FB790C" w:rsidRPr="00896C11" w:rsidRDefault="00FB790C" w:rsidP="00FB790C">
      <w:pPr>
        <w:pStyle w:val="Heading3"/>
        <w:spacing w:before="0"/>
        <w:ind w:firstLine="720"/>
        <w:jc w:val="both"/>
        <w:rPr>
          <w:rFonts w:ascii="Courier New" w:hAnsi="Courier New" w:cs="Courier New"/>
        </w:rPr>
      </w:pPr>
      <w:r w:rsidRPr="00707472">
        <w:tab/>
      </w:r>
      <w:bookmarkStart w:id="7" w:name="_Toc136421980"/>
      <w:r w:rsidRPr="00896C11">
        <w:rPr>
          <w:rFonts w:ascii="Courier New" w:hAnsi="Courier New" w:cs="Courier New"/>
          <w:u w:val="single"/>
        </w:rPr>
        <w:t>Section 4. Procedures</w:t>
      </w:r>
      <w:bookmarkEnd w:id="7"/>
      <w:r w:rsidRPr="00896C11">
        <w:rPr>
          <w:rFonts w:ascii="Courier New" w:hAnsi="Courier New" w:cs="Courier New"/>
          <w:u w:val="single"/>
        </w:rPr>
        <w:fldChar w:fldCharType="begin"/>
      </w:r>
      <w:r w:rsidRPr="00896C11">
        <w:rPr>
          <w:rFonts w:ascii="Courier New" w:hAnsi="Courier New" w:cs="Courier New"/>
          <w:u w:val="single"/>
        </w:rPr>
        <w:instrText>tc \l2</w:instrText>
      </w:r>
      <w:r w:rsidRPr="00896C11">
        <w:rPr>
          <w:rFonts w:ascii="Courier New" w:hAnsi="Courier New" w:cs="Courier New"/>
        </w:rPr>
        <w:instrText xml:space="preserve"> "</w:instrText>
      </w:r>
      <w:bookmarkStart w:id="8" w:name="_Toc100128498"/>
      <w:r w:rsidRPr="00896C11">
        <w:rPr>
          <w:rFonts w:ascii="Courier New" w:hAnsi="Courier New" w:cs="Courier New"/>
        </w:rPr>
        <w:instrText>Section 4. Procedure</w:instrText>
      </w:r>
      <w:bookmarkEnd w:id="8"/>
      <w:r w:rsidRPr="00896C11">
        <w:rPr>
          <w:rFonts w:ascii="Courier New" w:hAnsi="Courier New" w:cs="Courier New"/>
        </w:rPr>
        <w:instrText>"</w:instrText>
      </w:r>
      <w:r w:rsidRPr="00896C11">
        <w:rPr>
          <w:rFonts w:ascii="Courier New" w:hAnsi="Courier New" w:cs="Courier New"/>
          <w:u w:val="single"/>
        </w:rPr>
        <w:fldChar w:fldCharType="end"/>
      </w:r>
    </w:p>
    <w:p w14:paraId="74C2E840" w14:textId="77777777" w:rsidR="00FB790C" w:rsidRPr="00917290" w:rsidRDefault="00FB790C" w:rsidP="00FB790C">
      <w:pPr>
        <w:numPr>
          <w:ilvl w:val="0"/>
          <w:numId w:val="4"/>
        </w:numPr>
        <w:ind w:left="0" w:firstLine="1440"/>
        <w:jc w:val="both"/>
        <w:rPr>
          <w:sz w:val="24"/>
          <w:szCs w:val="24"/>
        </w:rPr>
      </w:pPr>
      <w:r w:rsidRPr="00917290">
        <w:rPr>
          <w:sz w:val="24"/>
          <w:szCs w:val="24"/>
        </w:rPr>
        <w:t xml:space="preserve">A unit member who desires to seek tuition reimbursement under the provisions of this Article must complete the application form prescribed by the Department and submit it to his/her Division Director for </w:t>
      </w:r>
      <w:r w:rsidRPr="00917290">
        <w:rPr>
          <w:sz w:val="24"/>
          <w:szCs w:val="24"/>
          <w:u w:val="single"/>
        </w:rPr>
        <w:t>advance</w:t>
      </w:r>
      <w:r w:rsidRPr="00917290">
        <w:rPr>
          <w:sz w:val="24"/>
          <w:szCs w:val="24"/>
        </w:rPr>
        <w:t xml:space="preserve"> approval.</w:t>
      </w:r>
    </w:p>
    <w:p w14:paraId="7454E585" w14:textId="77777777" w:rsidR="00FB790C" w:rsidRDefault="00FB790C" w:rsidP="00FB790C">
      <w:pPr>
        <w:numPr>
          <w:ilvl w:val="0"/>
          <w:numId w:val="4"/>
        </w:numPr>
        <w:ind w:left="0" w:firstLine="1440"/>
        <w:jc w:val="both"/>
        <w:rPr>
          <w:sz w:val="24"/>
          <w:szCs w:val="24"/>
        </w:rPr>
      </w:pPr>
      <w:r w:rsidRPr="005A07F9">
        <w:rPr>
          <w:sz w:val="24"/>
          <w:szCs w:val="24"/>
        </w:rPr>
        <w:t>The Division Director will recommend approval or disapproval and forward the application form to Human Resources to obtain approval from the Deputy General Manager.</w:t>
      </w:r>
    </w:p>
    <w:p w14:paraId="77F60C56" w14:textId="77777777" w:rsidR="00FB790C" w:rsidRDefault="00FB790C" w:rsidP="00FB790C">
      <w:pPr>
        <w:numPr>
          <w:ilvl w:val="0"/>
          <w:numId w:val="4"/>
        </w:numPr>
        <w:ind w:left="0" w:firstLine="1440"/>
        <w:jc w:val="both"/>
        <w:rPr>
          <w:sz w:val="24"/>
          <w:szCs w:val="24"/>
        </w:rPr>
      </w:pPr>
      <w:r>
        <w:rPr>
          <w:sz w:val="24"/>
          <w:szCs w:val="24"/>
        </w:rPr>
        <w:t xml:space="preserve">One copy will be returned to the unit member. Unit member </w:t>
      </w:r>
      <w:r>
        <w:rPr>
          <w:sz w:val="24"/>
          <w:szCs w:val="24"/>
          <w:u w:val="single"/>
        </w:rPr>
        <w:t>must</w:t>
      </w:r>
      <w:r>
        <w:rPr>
          <w:sz w:val="24"/>
          <w:szCs w:val="24"/>
        </w:rPr>
        <w:t xml:space="preserve"> complete the approval process prior to the inception of </w:t>
      </w:r>
    </w:p>
    <w:p w14:paraId="3544242C" w14:textId="77777777" w:rsidR="00FB790C" w:rsidRPr="005A07F9" w:rsidRDefault="00FB790C" w:rsidP="00FB790C">
      <w:pPr>
        <w:jc w:val="both"/>
        <w:rPr>
          <w:sz w:val="24"/>
          <w:szCs w:val="24"/>
        </w:rPr>
      </w:pPr>
      <w:r w:rsidRPr="005A07F9">
        <w:rPr>
          <w:sz w:val="24"/>
          <w:szCs w:val="24"/>
        </w:rPr>
        <w:t xml:space="preserve">the course or class.  </w:t>
      </w:r>
    </w:p>
    <w:p w14:paraId="122C793D" w14:textId="77777777" w:rsidR="00FB790C" w:rsidRDefault="00FB790C" w:rsidP="00FB790C">
      <w:pPr>
        <w:ind w:firstLine="1440"/>
        <w:jc w:val="both"/>
        <w:rPr>
          <w:sz w:val="24"/>
          <w:szCs w:val="24"/>
        </w:rPr>
      </w:pPr>
      <w:r>
        <w:rPr>
          <w:sz w:val="24"/>
          <w:szCs w:val="24"/>
        </w:rPr>
        <w:t xml:space="preserve">D. </w:t>
      </w:r>
      <w:r w:rsidRPr="00917290">
        <w:rPr>
          <w:sz w:val="24"/>
          <w:szCs w:val="24"/>
        </w:rPr>
        <w:t>The unit member will submit a copy of the approved application to Human Resources for reimbursement within three (3) months after completion of the course and final grade has been received in the case of college course work.  The unit member must submit official verification of his/her final grade with appropriate receipts for tuition and textbook costs.  These will be returned to the unit member upon request.  Approved applications not submitted to Human Resources within three (3) months following completion of the course will not be reimbursed.</w:t>
      </w:r>
    </w:p>
    <w:p w14:paraId="34682782" w14:textId="4E5451FD" w:rsidR="00DA6838" w:rsidRPr="00590697" w:rsidRDefault="00DA6838" w:rsidP="00590697"/>
    <w:sectPr w:rsidR="00DA6838" w:rsidRPr="0059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8BF"/>
    <w:multiLevelType w:val="hybridMultilevel"/>
    <w:tmpl w:val="DC227E92"/>
    <w:lvl w:ilvl="0" w:tplc="0B76F4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092E71"/>
    <w:multiLevelType w:val="singleLevel"/>
    <w:tmpl w:val="5C8A6D66"/>
    <w:lvl w:ilvl="0">
      <w:start w:val="1"/>
      <w:numFmt w:val="upperLetter"/>
      <w:lvlText w:val="%1."/>
      <w:lvlJc w:val="left"/>
      <w:pPr>
        <w:tabs>
          <w:tab w:val="num" w:pos="1800"/>
        </w:tabs>
        <w:ind w:left="0" w:firstLine="1440"/>
      </w:pPr>
    </w:lvl>
  </w:abstractNum>
  <w:abstractNum w:abstractNumId="2" w15:restartNumberingAfterBreak="0">
    <w:nsid w:val="106B01DA"/>
    <w:multiLevelType w:val="hybridMultilevel"/>
    <w:tmpl w:val="78A619D4"/>
    <w:lvl w:ilvl="0" w:tplc="4D24CD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465600"/>
    <w:multiLevelType w:val="hybridMultilevel"/>
    <w:tmpl w:val="D2BADB70"/>
    <w:lvl w:ilvl="0" w:tplc="872E6B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8747213">
    <w:abstractNumId w:val="1"/>
  </w:num>
  <w:num w:numId="2" w16cid:durableId="7172823">
    <w:abstractNumId w:val="3"/>
  </w:num>
  <w:num w:numId="3" w16cid:durableId="1747452904">
    <w:abstractNumId w:val="0"/>
  </w:num>
  <w:num w:numId="4" w16cid:durableId="148134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AF"/>
    <w:rsid w:val="000822B0"/>
    <w:rsid w:val="001A050B"/>
    <w:rsid w:val="00253C82"/>
    <w:rsid w:val="00276126"/>
    <w:rsid w:val="00295BAF"/>
    <w:rsid w:val="003002B5"/>
    <w:rsid w:val="004307AE"/>
    <w:rsid w:val="00590697"/>
    <w:rsid w:val="00665710"/>
    <w:rsid w:val="00716C5B"/>
    <w:rsid w:val="00745E30"/>
    <w:rsid w:val="0079381F"/>
    <w:rsid w:val="008A0175"/>
    <w:rsid w:val="009544ED"/>
    <w:rsid w:val="009D0983"/>
    <w:rsid w:val="00A40640"/>
    <w:rsid w:val="00A57343"/>
    <w:rsid w:val="00A61702"/>
    <w:rsid w:val="00AC1F3C"/>
    <w:rsid w:val="00B2111E"/>
    <w:rsid w:val="00B27D38"/>
    <w:rsid w:val="00BC0C9A"/>
    <w:rsid w:val="00DA6838"/>
    <w:rsid w:val="00EC0CA1"/>
    <w:rsid w:val="00F06313"/>
    <w:rsid w:val="00FB790C"/>
    <w:rsid w:val="00F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AF2D"/>
  <w15:chartTrackingRefBased/>
  <w15:docId w15:val="{55A731EF-C2E7-4EC9-97BD-8295FC60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75"/>
    <w:pPr>
      <w:spacing w:after="0" w:line="455" w:lineRule="exact"/>
    </w:pPr>
    <w:rPr>
      <w:rFonts w:ascii="Courier New" w:eastAsia="Times New Roman" w:hAnsi="Courier New" w:cs="Times New Roman"/>
      <w:kern w:val="0"/>
      <w:sz w:val="18"/>
      <w:szCs w:val="20"/>
      <w14:ligatures w14:val="none"/>
    </w:rPr>
  </w:style>
  <w:style w:type="paragraph" w:styleId="Heading2">
    <w:name w:val="heading 2"/>
    <w:basedOn w:val="Normal"/>
    <w:next w:val="Normal"/>
    <w:link w:val="Heading2Char"/>
    <w:qFormat/>
    <w:rsid w:val="00EC0CA1"/>
    <w:pPr>
      <w:keepNext/>
      <w:widowControl w:val="0"/>
      <w:tabs>
        <w:tab w:val="left" w:pos="0"/>
        <w:tab w:val="left" w:pos="720"/>
        <w:tab w:val="left" w:pos="1440"/>
        <w:tab w:val="left" w:pos="1530"/>
      </w:tabs>
      <w:spacing w:before="240" w:after="60"/>
      <w:jc w:val="both"/>
      <w:outlineLvl w:val="1"/>
    </w:pPr>
    <w:rPr>
      <w:rFonts w:cs="Courier New"/>
      <w:sz w:val="24"/>
      <w:szCs w:val="24"/>
    </w:rPr>
  </w:style>
  <w:style w:type="paragraph" w:styleId="Heading3">
    <w:name w:val="heading 3"/>
    <w:basedOn w:val="Normal"/>
    <w:next w:val="Normal"/>
    <w:link w:val="Heading3Char"/>
    <w:uiPriority w:val="9"/>
    <w:semiHidden/>
    <w:unhideWhenUsed/>
    <w:qFormat/>
    <w:rsid w:val="00A5734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307AE"/>
    <w:pPr>
      <w:widowControl w:val="0"/>
      <w:tabs>
        <w:tab w:val="left" w:pos="-1440"/>
      </w:tabs>
      <w:spacing w:line="240" w:lineRule="exact"/>
      <w:ind w:left="720" w:hanging="720"/>
      <w:jc w:val="both"/>
    </w:pPr>
    <w:rPr>
      <w:snapToGrid w:val="0"/>
      <w:sz w:val="24"/>
    </w:rPr>
  </w:style>
  <w:style w:type="character" w:customStyle="1" w:styleId="BodyTextIndentChar">
    <w:name w:val="Body Text Indent Char"/>
    <w:basedOn w:val="DefaultParagraphFont"/>
    <w:link w:val="BodyTextIndent"/>
    <w:rsid w:val="004307AE"/>
    <w:rPr>
      <w:rFonts w:ascii="Courier New" w:eastAsia="Times New Roman" w:hAnsi="Courier New" w:cs="Times New Roman"/>
      <w:snapToGrid w:val="0"/>
      <w:kern w:val="0"/>
      <w:sz w:val="24"/>
      <w:szCs w:val="20"/>
      <w14:ligatures w14:val="none"/>
    </w:rPr>
  </w:style>
  <w:style w:type="character" w:customStyle="1" w:styleId="Heading2Char">
    <w:name w:val="Heading 2 Char"/>
    <w:basedOn w:val="DefaultParagraphFont"/>
    <w:link w:val="Heading2"/>
    <w:rsid w:val="00EC0CA1"/>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57343"/>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Janice.Reins</dc:creator>
  <cp:keywords/>
  <dc:description/>
  <cp:lastModifiedBy>Janice.Reins</cp:lastModifiedBy>
  <cp:revision>25</cp:revision>
  <dcterms:created xsi:type="dcterms:W3CDTF">2023-07-18T22:12:00Z</dcterms:created>
  <dcterms:modified xsi:type="dcterms:W3CDTF">2023-07-20T23:22:00Z</dcterms:modified>
</cp:coreProperties>
</file>